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MineOps — PRD Gap Analysis</w:t>
      </w:r>
    </w:p>
    <w:p>
      <w:r>
        <w:rPr>
          <w:i/>
          <w:color w:val="555555"/>
          <w:sz w:val="22"/>
        </w:rPr>
        <w:t>Comparing MineOps Concept Document v3 (June 2026) against the current codebase</w:t>
        <w:br/>
        <w:t>Prepared for MineOps · July 2026</w:t>
      </w:r>
    </w:p>
    <w:p/>
    <w:p>
      <w:r>
        <w:rPr>
          <w:b w:val="0"/>
          <w:i w:val="0"/>
        </w:rPr>
        <w:t>This report compares every feature described in MineOps_Concept_v3.docx against what actually exists today across the three repositories: MineOpsApp (frontend), MineOpsBackend (Spring Boot API), and MineOpsAuditService. The concept document describes a much larger platform — a multi-sided marketplace, a national regulator dashboard, an AI layer, worker pay/insurance, and an industry social network — sitting on top of the site operations and safety tool that has actually been built. The current build is solid within its scope (worker/supervisor/safety-officer/guest operations and safety), but roughly two thirds of the concept document's feature surface does not exist yet.</w:t>
      </w:r>
    </w:p>
    <w:p>
      <w:pPr>
        <w:pStyle w:val="Heading1"/>
      </w:pPr>
      <w:r>
        <w:rPr>
          <w:color w:val="1F1F1F"/>
        </w:rPr>
        <w:t>1. Status at a Glance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2E5C8A"/>
          </w:tcPr>
          <w:p>
            <w:r>
              <w:rPr>
                <w:b/>
                <w:color w:val="FFFFFF"/>
              </w:rPr>
              <w:t>Section</w:t>
            </w:r>
          </w:p>
        </w:tc>
        <w:tc>
          <w:tcPr>
            <w:tcW w:type="dxa" w:w="1584"/>
            <w:shd w:val="clear" w:color="auto" w:fill="2E5C8A"/>
          </w:tcPr>
          <w:p>
            <w:r>
              <w:rPr>
                <w:b/>
                <w:color w:val="FFFFFF"/>
              </w:rPr>
              <w:t>Status</w:t>
            </w:r>
          </w:p>
        </w:tc>
        <w:tc>
          <w:tcPr>
            <w:tcW w:type="dxa" w:w="6192"/>
            <w:shd w:val="clear" w:color="auto" w:fill="2E5C8A"/>
          </w:tcPr>
          <w:p>
            <w:r>
              <w:rPr>
                <w:b/>
                <w:color w:val="FFFFFF"/>
              </w:rPr>
              <w:t>Notes</w:t>
            </w:r>
          </w:p>
        </w:tc>
      </w:tr>
      <w:tr>
        <w:tc>
          <w:tcPr>
            <w:tcW w:type="dxa" w:w="2736"/>
          </w:tcPr>
          <w:p>
            <w:pPr>
              <w:spacing w:after="40"/>
            </w:pPr>
            <w:r>
              <w:rPr>
                <w:sz w:val="20"/>
              </w:rPr>
              <w:t>00 — Portal &amp; Role Structure</w:t>
            </w:r>
          </w:p>
        </w:tc>
        <w:tc>
          <w:tcPr>
            <w:tcW w:type="dxa" w:w="1584"/>
            <w:shd w:val="clear" w:color="auto" w:fill="FFE699"/>
          </w:tcPr>
          <w:p>
            <w:pPr>
              <w:spacing w:after="40"/>
            </w:pPr>
            <w:r>
              <w:rPr>
                <w:sz w:val="20"/>
              </w:rPr>
              <w:t>Partial</w:t>
            </w:r>
          </w:p>
        </w:tc>
        <w:tc>
          <w:tcPr>
            <w:tcW w:type="dxa" w:w="6192"/>
          </w:tcPr>
          <w:p>
            <w:pPr>
              <w:spacing w:after="40"/>
            </w:pPr>
            <w:r>
              <w:rPr>
                <w:sz w:val="20"/>
              </w:rPr>
              <w:t>Worker/Supervisor/Safety Officer/Guest built. Admin is backend-only (no admin portal UI). GoldBod &amp; Government portal does not exist.</w:t>
            </w:r>
          </w:p>
        </w:tc>
      </w:tr>
      <w:tr>
        <w:tc>
          <w:tcPr>
            <w:tcW w:type="dxa" w:w="2736"/>
          </w:tcPr>
          <w:p>
            <w:pPr>
              <w:spacing w:after="40"/>
            </w:pPr>
            <w:r>
              <w:rPr>
                <w:sz w:val="20"/>
              </w:rPr>
              <w:t>01 — Hazard &amp; Safety</w:t>
            </w:r>
          </w:p>
        </w:tc>
        <w:tc>
          <w:tcPr>
            <w:tcW w:type="dxa" w:w="1584"/>
            <w:shd w:val="clear" w:color="auto" w:fill="C6E0B4"/>
          </w:tcPr>
          <w:p>
            <w:pPr>
              <w:spacing w:after="40"/>
            </w:pPr>
            <w:r>
              <w:rPr>
                <w:sz w:val="20"/>
              </w:rPr>
              <w:t>Mostly built</w:t>
            </w:r>
          </w:p>
        </w:tc>
        <w:tc>
          <w:tcPr>
            <w:tcW w:type="dxa" w:w="6192"/>
          </w:tcPr>
          <w:p>
            <w:pPr>
              <w:spacing w:after="40"/>
            </w:pPr>
            <w:r>
              <w:rPr>
                <w:sz w:val="20"/>
              </w:rPr>
              <w:t>Hazard reporting, SOS, and audit trail all work. SOS → live map highlight not possible (no map).</w:t>
            </w:r>
          </w:p>
        </w:tc>
      </w:tr>
      <w:tr>
        <w:tc>
          <w:tcPr>
            <w:tcW w:type="dxa" w:w="2736"/>
          </w:tcPr>
          <w:p>
            <w:pPr>
              <w:spacing w:after="40"/>
            </w:pPr>
            <w:r>
              <w:rPr>
                <w:sz w:val="20"/>
              </w:rPr>
              <w:t>02 — Operations &amp; Logging</w:t>
            </w:r>
          </w:p>
        </w:tc>
        <w:tc>
          <w:tcPr>
            <w:tcW w:type="dxa" w:w="1584"/>
            <w:shd w:val="clear" w:color="auto" w:fill="FFE699"/>
          </w:tcPr>
          <w:p>
            <w:pPr>
              <w:spacing w:after="40"/>
            </w:pPr>
            <w:r>
              <w:rPr>
                <w:sz w:val="20"/>
              </w:rPr>
              <w:t>Partial</w:t>
            </w:r>
          </w:p>
        </w:tc>
        <w:tc>
          <w:tcPr>
            <w:tcW w:type="dxa" w:w="6192"/>
          </w:tcPr>
          <w:p>
            <w:pPr>
              <w:spacing w:after="40"/>
            </w:pPr>
            <w:r>
              <w:rPr>
                <w:sz w:val="20"/>
              </w:rPr>
              <w:t>Shift production logging and equipment tracking exist. Offline sync, AI baselines, and pay linkage do not.</w:t>
            </w:r>
          </w:p>
        </w:tc>
      </w:tr>
      <w:tr>
        <w:tc>
          <w:tcPr>
            <w:tcW w:type="dxa" w:w="2736"/>
          </w:tcPr>
          <w:p>
            <w:pPr>
              <w:spacing w:after="40"/>
            </w:pPr>
            <w:r>
              <w:rPr>
                <w:sz w:val="20"/>
              </w:rPr>
              <w:t>03 — Communication &amp; Planning</w:t>
            </w:r>
          </w:p>
        </w:tc>
        <w:tc>
          <w:tcPr>
            <w:tcW w:type="dxa" w:w="1584"/>
            <w:shd w:val="clear" w:color="auto" w:fill="FFE699"/>
          </w:tcPr>
          <w:p>
            <w:pPr>
              <w:spacing w:after="40"/>
            </w:pPr>
            <w:r>
              <w:rPr>
                <w:sz w:val="20"/>
              </w:rPr>
              <w:t>Partial</w:t>
            </w:r>
          </w:p>
        </w:tc>
        <w:tc>
          <w:tcPr>
            <w:tcW w:type="dxa" w:w="6192"/>
          </w:tcPr>
          <w:p>
            <w:pPr>
              <w:spacing w:after="40"/>
            </w:pPr>
            <w:r>
              <w:rPr>
                <w:sz w:val="20"/>
              </w:rPr>
              <w:t>Notices, acknowledgment, and shift handover exist. No AI-drafted briefings/summaries; briefing is a plain broadcast, not a structured daily brief.</w:t>
            </w:r>
          </w:p>
        </w:tc>
      </w:tr>
      <w:tr>
        <w:tc>
          <w:tcPr>
            <w:tcW w:type="dxa" w:w="2736"/>
          </w:tcPr>
          <w:p>
            <w:pPr>
              <w:spacing w:after="40"/>
            </w:pPr>
            <w:r>
              <w:rPr>
                <w:sz w:val="20"/>
              </w:rPr>
              <w:t>04 — Training &amp; Procedures</w:t>
            </w:r>
          </w:p>
        </w:tc>
        <w:tc>
          <w:tcPr>
            <w:tcW w:type="dxa" w:w="1584"/>
            <w:shd w:val="clear" w:color="auto" w:fill="C6E0B4"/>
          </w:tcPr>
          <w:p>
            <w:pPr>
              <w:spacing w:after="40"/>
            </w:pPr>
            <w:r>
              <w:rPr>
                <w:sz w:val="20"/>
              </w:rPr>
              <w:t>Built</w:t>
            </w:r>
          </w:p>
        </w:tc>
        <w:tc>
          <w:tcPr>
            <w:tcW w:type="dxa" w:w="6192"/>
          </w:tcPr>
          <w:p>
            <w:pPr>
              <w:spacing w:after="40"/>
            </w:pPr>
            <w:r>
              <w:rPr>
                <w:sz w:val="20"/>
              </w:rPr>
              <w:t>Drill breakdown sign-off flow matches the concept closely.</w:t>
            </w:r>
          </w:p>
        </w:tc>
      </w:tr>
      <w:tr>
        <w:tc>
          <w:tcPr>
            <w:tcW w:type="dxa" w:w="2736"/>
          </w:tcPr>
          <w:p>
            <w:pPr>
              <w:spacing w:after="40"/>
            </w:pPr>
            <w:r>
              <w:rPr>
                <w:sz w:val="20"/>
              </w:rPr>
              <w:t>05 — Audit &amp; Compliance</w:t>
            </w:r>
          </w:p>
        </w:tc>
        <w:tc>
          <w:tcPr>
            <w:tcW w:type="dxa" w:w="1584"/>
            <w:shd w:val="clear" w:color="auto" w:fill="C6E0B4"/>
          </w:tcPr>
          <w:p>
            <w:pPr>
              <w:spacing w:after="40"/>
            </w:pPr>
            <w:r>
              <w:rPr>
                <w:sz w:val="20"/>
              </w:rPr>
              <w:t>Built (scoped)</w:t>
            </w:r>
          </w:p>
        </w:tc>
        <w:tc>
          <w:tcPr>
            <w:tcW w:type="dxa" w:w="6192"/>
          </w:tcPr>
          <w:p>
            <w:pPr>
              <w:spacing w:after="40"/>
            </w:pPr>
            <w:r>
              <w:rPr>
                <w:sz w:val="20"/>
              </w:rPr>
              <w:t>Immutable audit trail exists and works well, but only covers the subsystems that exist — no pay, permit, or marketplace events to log yet.</w:t>
            </w:r>
          </w:p>
        </w:tc>
      </w:tr>
      <w:tr>
        <w:tc>
          <w:tcPr>
            <w:tcW w:type="dxa" w:w="2736"/>
          </w:tcPr>
          <w:p>
            <w:pPr>
              <w:spacing w:after="40"/>
            </w:pPr>
            <w:r>
              <w:rPr>
                <w:sz w:val="20"/>
              </w:rPr>
              <w:t>06 — Guest Access &amp; Visitor Mgmt</w:t>
            </w:r>
          </w:p>
        </w:tc>
        <w:tc>
          <w:tcPr>
            <w:tcW w:type="dxa" w:w="1584"/>
            <w:shd w:val="clear" w:color="auto" w:fill="FFE699"/>
          </w:tcPr>
          <w:p>
            <w:pPr>
              <w:spacing w:after="40"/>
            </w:pPr>
            <w:r>
              <w:rPr>
                <w:sz w:val="20"/>
              </w:rPr>
              <w:t>Partial</w:t>
            </w:r>
          </w:p>
        </w:tc>
        <w:tc>
          <w:tcPr>
            <w:tcW w:type="dxa" w:w="6192"/>
          </w:tcPr>
          <w:p>
            <w:pPr>
              <w:spacing w:after="40"/>
            </w:pPr>
            <w:r>
              <w:rPr>
                <w:sz w:val="20"/>
              </w:rPr>
              <w:t>Role-based guest access, session expiry, and a simplified one-tap induction exist. No QR/PIN issuance, tour mode, 50-guest group sessions, or SOS override to guests.</w:t>
            </w:r>
          </w:p>
        </w:tc>
      </w:tr>
      <w:tr>
        <w:tc>
          <w:tcPr>
            <w:tcW w:type="dxa" w:w="2736"/>
          </w:tcPr>
          <w:p>
            <w:pPr>
              <w:spacing w:after="40"/>
            </w:pPr>
            <w:r>
              <w:rPr>
                <w:sz w:val="20"/>
              </w:rPr>
              <w:t>07 — Live Map &amp; Danger Zones</w:t>
            </w:r>
          </w:p>
        </w:tc>
        <w:tc>
          <w:tcPr>
            <w:tcW w:type="dxa" w:w="1584"/>
            <w:shd w:val="clear" w:color="auto" w:fill="F4B183"/>
          </w:tcPr>
          <w:p>
            <w:pPr>
              <w:spacing w:after="40"/>
            </w:pPr>
            <w:r>
              <w:rPr>
                <w:sz w:val="20"/>
              </w:rPr>
              <w:t>Mostly not built</w:t>
            </w:r>
          </w:p>
        </w:tc>
        <w:tc>
          <w:tcPr>
            <w:tcW w:type="dxa" w:w="6192"/>
          </w:tcPr>
          <w:p>
            <w:pPr>
              <w:spacing w:after="40"/>
            </w:pPr>
            <w:r>
              <w:rPr>
                <w:sz w:val="20"/>
              </w:rPr>
              <w:t>Danger zones are a flat list (name + risk level), not a map. No live map, icons, GPS zone-entry warnings, offline map cache, or heat-map overlay.</w:t>
            </w:r>
          </w:p>
        </w:tc>
      </w:tr>
      <w:tr>
        <w:tc>
          <w:tcPr>
            <w:tcW w:type="dxa" w:w="2736"/>
          </w:tcPr>
          <w:p>
            <w:pPr>
              <w:spacing w:after="40"/>
            </w:pPr>
            <w:r>
              <w:rPr>
                <w:sz w:val="20"/>
              </w:rPr>
              <w:t>08 — Live Location Tracking</w:t>
            </w:r>
          </w:p>
        </w:tc>
        <w:tc>
          <w:tcPr>
            <w:tcW w:type="dxa" w:w="1584"/>
            <w:shd w:val="clear" w:color="auto" w:fill="F8CBAD"/>
          </w:tcPr>
          <w:p>
            <w:pPr>
              <w:spacing w:after="40"/>
            </w:pPr>
            <w:r>
              <w:rPr>
                <w:sz w:val="20"/>
              </w:rPr>
              <w:t>Not built</w:t>
            </w:r>
          </w:p>
        </w:tc>
        <w:tc>
          <w:tcPr>
            <w:tcW w:type="dxa" w:w="6192"/>
          </w:tcPr>
          <w:p>
            <w:pPr>
              <w:spacing w:after="40"/>
            </w:pPr>
            <w:r>
              <w:rPr>
                <w:sz w:val="20"/>
              </w:rPr>
              <w:t>Explicitly skipped per project notes. Lone Worker uses a timer check-in instead of GPS — a deliberate, reasonable call for underground sites, but it means none of section 08's map/accountability features exist.</w:t>
            </w:r>
          </w:p>
        </w:tc>
      </w:tr>
      <w:tr>
        <w:tc>
          <w:tcPr>
            <w:tcW w:type="dxa" w:w="2736"/>
          </w:tcPr>
          <w:p>
            <w:pPr>
              <w:spacing w:after="40"/>
            </w:pPr>
            <w:r>
              <w:rPr>
                <w:sz w:val="20"/>
              </w:rPr>
              <w:t>09 — Mineral Inventory &amp; Buyer Updates</w:t>
            </w:r>
          </w:p>
        </w:tc>
        <w:tc>
          <w:tcPr>
            <w:tcW w:type="dxa" w:w="1584"/>
            <w:shd w:val="clear" w:color="auto" w:fill="FFE699"/>
          </w:tcPr>
          <w:p>
            <w:pPr>
              <w:spacing w:after="40"/>
            </w:pPr>
            <w:r>
              <w:rPr>
                <w:sz w:val="20"/>
              </w:rPr>
              <w:t>Partial</w:t>
            </w:r>
          </w:p>
        </w:tc>
        <w:tc>
          <w:tcPr>
            <w:tcW w:type="dxa" w:w="6192"/>
          </w:tcPr>
          <w:p>
            <w:pPr>
              <w:spacing w:after="40"/>
            </w:pPr>
            <w:r>
              <w:rPr>
                <w:sz w:val="20"/>
              </w:rPr>
              <w:t>Inventory ledger auto-updates from approved shift logs. No buyer accounts, buyer feed, notifications, or visibility controls (Public/Private/Internal).</w:t>
            </w:r>
          </w:p>
        </w:tc>
      </w:tr>
      <w:tr>
        <w:tc>
          <w:tcPr>
            <w:tcW w:type="dxa" w:w="2736"/>
          </w:tcPr>
          <w:p>
            <w:pPr>
              <w:spacing w:after="40"/>
            </w:pPr>
            <w:r>
              <w:rPr>
                <w:sz w:val="20"/>
              </w:rPr>
              <w:t>10 — Mineral Marketplace &amp; Trading</w:t>
            </w:r>
          </w:p>
        </w:tc>
        <w:tc>
          <w:tcPr>
            <w:tcW w:type="dxa" w:w="1584"/>
            <w:shd w:val="clear" w:color="auto" w:fill="F8CBAD"/>
          </w:tcPr>
          <w:p>
            <w:pPr>
              <w:spacing w:after="40"/>
            </w:pPr>
            <w:r>
              <w:rPr>
                <w:sz w:val="20"/>
              </w:rPr>
              <w:t>Not built</w:t>
            </w:r>
          </w:p>
        </w:tc>
        <w:tc>
          <w:tcPr>
            <w:tcW w:type="dxa" w:w="6192"/>
          </w:tcPr>
          <w:p>
            <w:pPr>
              <w:spacing w:after="40"/>
            </w:pPr>
            <w:r>
              <w:rPr>
                <w:sz w:val="20"/>
              </w:rPr>
              <w:t>No listings, offers, buyer verification, escrow handoff, or batch tracking.</w:t>
            </w:r>
          </w:p>
        </w:tc>
      </w:tr>
      <w:tr>
        <w:tc>
          <w:tcPr>
            <w:tcW w:type="dxa" w:w="2736"/>
          </w:tcPr>
          <w:p>
            <w:pPr>
              <w:spacing w:after="40"/>
            </w:pPr>
            <w:r>
              <w:rPr>
                <w:sz w:val="20"/>
              </w:rPr>
              <w:t>11 — Market Data &amp; Stock Trends</w:t>
            </w:r>
          </w:p>
        </w:tc>
        <w:tc>
          <w:tcPr>
            <w:tcW w:type="dxa" w:w="1584"/>
            <w:shd w:val="clear" w:color="auto" w:fill="FFD966"/>
          </w:tcPr>
          <w:p>
            <w:pPr>
              <w:spacing w:after="40"/>
            </w:pPr>
            <w:r>
              <w:rPr>
                <w:sz w:val="20"/>
              </w:rPr>
              <w:t>Minimal</w:t>
            </w:r>
          </w:p>
        </w:tc>
        <w:tc>
          <w:tcPr>
            <w:tcW w:type="dxa" w:w="6192"/>
          </w:tcPr>
          <w:p>
            <w:pPr>
              <w:spacing w:after="40"/>
            </w:pPr>
            <w:r>
              <w:rPr>
                <w:sz w:val="20"/>
              </w:rPr>
              <w:t>A live price endpoint exists but covers general commodities (gold, silver, copper, platinum, palladium, crude oil, natural gas) via a third-party API — not the mining-specific mineral list (lithium, cobalt, manganese, bauxite, iron ore). No charts, alerts, regional indexing, sentiment feed, or export.</w:t>
            </w:r>
          </w:p>
        </w:tc>
      </w:tr>
      <w:tr>
        <w:tc>
          <w:tcPr>
            <w:tcW w:type="dxa" w:w="2736"/>
          </w:tcPr>
          <w:p>
            <w:pPr>
              <w:spacing w:after="40"/>
            </w:pPr>
            <w:r>
              <w:rPr>
                <w:sz w:val="20"/>
              </w:rPr>
              <w:t>12 — MineOps Community</w:t>
            </w:r>
          </w:p>
        </w:tc>
        <w:tc>
          <w:tcPr>
            <w:tcW w:type="dxa" w:w="1584"/>
            <w:shd w:val="clear" w:color="auto" w:fill="F8CBAD"/>
          </w:tcPr>
          <w:p>
            <w:pPr>
              <w:spacing w:after="40"/>
            </w:pPr>
            <w:r>
              <w:rPr>
                <w:sz w:val="20"/>
              </w:rPr>
              <w:t>Not built</w:t>
            </w:r>
          </w:p>
        </w:tc>
        <w:tc>
          <w:tcPr>
            <w:tcW w:type="dxa" w:w="6192"/>
          </w:tcPr>
          <w:p>
            <w:pPr>
              <w:spacing w:after="40"/>
            </w:pPr>
            <w:r>
              <w:rPr>
                <w:sz w:val="20"/>
              </w:rPr>
              <w:t>No profiles/directory, forums, events calendar, job board, ratings, or dispute resolution.</w:t>
            </w:r>
          </w:p>
        </w:tc>
      </w:tr>
      <w:tr>
        <w:tc>
          <w:tcPr>
            <w:tcW w:type="dxa" w:w="2736"/>
          </w:tcPr>
          <w:p>
            <w:pPr>
              <w:spacing w:after="40"/>
            </w:pPr>
            <w:r>
              <w:rPr>
                <w:sz w:val="20"/>
              </w:rPr>
              <w:t>13 — AI Automation &amp; Intelligence</w:t>
            </w:r>
          </w:p>
        </w:tc>
        <w:tc>
          <w:tcPr>
            <w:tcW w:type="dxa" w:w="1584"/>
            <w:shd w:val="clear" w:color="auto" w:fill="F8CBAD"/>
          </w:tcPr>
          <w:p>
            <w:pPr>
              <w:spacing w:after="40"/>
            </w:pPr>
            <w:r>
              <w:rPr>
                <w:sz w:val="20"/>
              </w:rPr>
              <w:t>Not built</w:t>
            </w:r>
          </w:p>
        </w:tc>
        <w:tc>
          <w:tcPr>
            <w:tcW w:type="dxa" w:w="6192"/>
          </w:tcPr>
          <w:p>
            <w:pPr>
              <w:spacing w:after="40"/>
            </w:pPr>
            <w:r>
              <w:rPr>
                <w:sz w:val="20"/>
              </w:rPr>
              <w:t>No AI/ML integration anywhere in the codebase — none of the four subsections (safety, operations, marketplace, communication intelligence) exist.</w:t>
            </w:r>
          </w:p>
        </w:tc>
      </w:tr>
      <w:tr>
        <w:tc>
          <w:tcPr>
            <w:tcW w:type="dxa" w:w="2736"/>
          </w:tcPr>
          <w:p>
            <w:pPr>
              <w:spacing w:after="40"/>
            </w:pPr>
            <w:r>
              <w:rPr>
                <w:sz w:val="20"/>
              </w:rPr>
              <w:t>14 — Revenue Model</w:t>
            </w:r>
          </w:p>
        </w:tc>
        <w:tc>
          <w:tcPr>
            <w:tcW w:type="dxa" w:w="1584"/>
            <w:shd w:val="clear" w:color="auto" w:fill="F8CBAD"/>
          </w:tcPr>
          <w:p>
            <w:pPr>
              <w:spacing w:after="40"/>
            </w:pPr>
            <w:r>
              <w:rPr>
                <w:sz w:val="20"/>
              </w:rPr>
              <w:t>Not built</w:t>
            </w:r>
          </w:p>
        </w:tc>
        <w:tc>
          <w:tcPr>
            <w:tcW w:type="dxa" w:w="6192"/>
          </w:tcPr>
          <w:p>
            <w:pPr>
              <w:spacing w:after="40"/>
            </w:pPr>
            <w:r>
              <w:rPr>
                <w:sz w:val="20"/>
              </w:rPr>
              <w:t>No subscription billing, tiering, or commission infrastructure.</w:t>
            </w:r>
          </w:p>
        </w:tc>
      </w:tr>
      <w:tr>
        <w:tc>
          <w:tcPr>
            <w:tcW w:type="dxa" w:w="2736"/>
          </w:tcPr>
          <w:p>
            <w:pPr>
              <w:spacing w:after="40"/>
            </w:pPr>
            <w:r>
              <w:rPr>
                <w:sz w:val="20"/>
              </w:rPr>
              <w:t>15 — GoldBod &amp; Government Dashboard</w:t>
            </w:r>
          </w:p>
        </w:tc>
        <w:tc>
          <w:tcPr>
            <w:tcW w:type="dxa" w:w="1584"/>
            <w:shd w:val="clear" w:color="auto" w:fill="F8CBAD"/>
          </w:tcPr>
          <w:p>
            <w:pPr>
              <w:spacing w:after="40"/>
            </w:pPr>
            <w:r>
              <w:rPr>
                <w:sz w:val="20"/>
              </w:rPr>
              <w:t>Not built</w:t>
            </w:r>
          </w:p>
        </w:tc>
        <w:tc>
          <w:tcPr>
            <w:tcW w:type="dxa" w:w="6192"/>
          </w:tcPr>
          <w:p>
            <w:pPr>
              <w:spacing w:after="40"/>
            </w:pPr>
            <w:r>
              <w:rPr>
                <w:sz w:val="20"/>
              </w:rPr>
              <w:t>No GoldBod role, bulk purchase engine, permit application/renewal workflow, or dual (illegal-mine / misconduct) reporting system.</w:t>
            </w:r>
          </w:p>
        </w:tc>
      </w:tr>
      <w:tr>
        <w:tc>
          <w:tcPr>
            <w:tcW w:type="dxa" w:w="2736"/>
          </w:tcPr>
          <w:p>
            <w:pPr>
              <w:spacing w:after="40"/>
            </w:pPr>
            <w:r>
              <w:rPr>
                <w:sz w:val="20"/>
              </w:rPr>
              <w:t>16 — Worker Pay &amp; Disbursement</w:t>
            </w:r>
          </w:p>
        </w:tc>
        <w:tc>
          <w:tcPr>
            <w:tcW w:type="dxa" w:w="1584"/>
            <w:shd w:val="clear" w:color="auto" w:fill="F8CBAD"/>
          </w:tcPr>
          <w:p>
            <w:pPr>
              <w:spacing w:after="40"/>
            </w:pPr>
            <w:r>
              <w:rPr>
                <w:sz w:val="20"/>
              </w:rPr>
              <w:t>Not built</w:t>
            </w:r>
          </w:p>
        </w:tc>
        <w:tc>
          <w:tcPr>
            <w:tcW w:type="dxa" w:w="6192"/>
          </w:tcPr>
          <w:p>
            <w:pPr>
              <w:spacing w:after="40"/>
            </w:pPr>
            <w:r>
              <w:rPr>
                <w:sz w:val="20"/>
              </w:rPr>
              <w:t>No pay calculation, dual authorization, or Mobile Money integration.</w:t>
            </w:r>
          </w:p>
        </w:tc>
      </w:tr>
      <w:tr>
        <w:tc>
          <w:tcPr>
            <w:tcW w:type="dxa" w:w="2736"/>
          </w:tcPr>
          <w:p>
            <w:pPr>
              <w:spacing w:after="40"/>
            </w:pPr>
            <w:r>
              <w:rPr>
                <w:sz w:val="20"/>
              </w:rPr>
              <w:t>17 — Worker Insurance</w:t>
            </w:r>
          </w:p>
        </w:tc>
        <w:tc>
          <w:tcPr>
            <w:tcW w:type="dxa" w:w="1584"/>
            <w:shd w:val="clear" w:color="auto" w:fill="F8CBAD"/>
          </w:tcPr>
          <w:p>
            <w:pPr>
              <w:spacing w:after="40"/>
            </w:pPr>
            <w:r>
              <w:rPr>
                <w:sz w:val="20"/>
              </w:rPr>
              <w:t>Not built</w:t>
            </w:r>
          </w:p>
        </w:tc>
        <w:tc>
          <w:tcPr>
            <w:tcW w:type="dxa" w:w="6192"/>
          </w:tcPr>
          <w:p>
            <w:pPr>
              <w:spacing w:after="40"/>
            </w:pPr>
            <w:r>
              <w:rPr>
                <w:sz w:val="20"/>
              </w:rPr>
              <w:t>No provider integration or coverage status on worker profiles.</w:t>
            </w:r>
          </w:p>
        </w:tc>
      </w:tr>
    </w:tbl>
    <w:p/>
    <w:p>
      <w:pPr>
        <w:pStyle w:val="Heading1"/>
      </w:pPr>
      <w:r>
        <w:rPr>
          <w:color w:val="1F1F1F"/>
        </w:rPr>
        <w:t>2. Not Built At All</w:t>
      </w:r>
    </w:p>
    <w:p>
      <w:r>
        <w:rPr>
          <w:b w:val="0"/>
          <w:i w:val="0"/>
        </w:rPr>
        <w:t>These are entire concept-document sections with no corresponding code in any of the three repos. They represent the biggest gap between the vision document and the shipped product.</w:t>
      </w:r>
    </w:p>
    <w:p>
      <w:pPr>
        <w:pStyle w:val="ListBullet"/>
      </w:pPr>
      <w:r>
        <w:rPr>
          <w:b/>
        </w:rPr>
        <w:t xml:space="preserve">Mineral Marketplace (Section 10): </w:t>
      </w:r>
      <w:r>
        <w:t>No mine listings, buyer verification, offer/counter-offer negotiation, transaction records, escrow handoff, or batch dispatch tracking. This is the core of the B2B trading vision and doesn't exist in any form.</w:t>
      </w:r>
    </w:p>
    <w:p>
      <w:pPr>
        <w:pStyle w:val="ListBullet"/>
      </w:pPr>
      <w:r>
        <w:rPr>
          <w:b/>
        </w:rPr>
        <w:t xml:space="preserve">MineOps Community (Section 12): </w:t>
      </w:r>
      <w:r>
        <w:t>No mine/buyer public profiles, verification badges, forums, expert Q&amp;A, events calendar, job board, transaction ratings, safety-score reputation system, or dispute resolution.</w:t>
      </w:r>
    </w:p>
    <w:p>
      <w:pPr>
        <w:pStyle w:val="ListBullet"/>
      </w:pPr>
      <w:r>
        <w:rPr>
          <w:b/>
        </w:rPr>
        <w:t xml:space="preserve">AI Automation &amp; Intelligence (Section 13): </w:t>
      </w:r>
      <w:r>
        <w:t>No AI integration of any kind — not hazard pattern detection, predictive risk scoring, incident narrative drafting, regulatory report drafting, production anomaly detection, equipment health alerts, shift summary generation, shift planning suggestions, listing price suggestions, buyer-mine matching, demand forecasting, smart briefing composition, acknowledgment reminders, or translation assist. All four subsections (13.1–13.4) are unbuilt.</w:t>
      </w:r>
    </w:p>
    <w:p>
      <w:pPr>
        <w:pStyle w:val="ListBullet"/>
      </w:pPr>
      <w:r>
        <w:rPr>
          <w:b/>
        </w:rPr>
        <w:t xml:space="preserve">Revenue Model (Section 14): </w:t>
      </w:r>
      <w:r>
        <w:t>No subscription tiers, billing, compliance-export paywall, onboarding-services invoicing, marketplace commission handling, buyer verification fees, or market-data API monetization. This is expected — billing naturally comes after the features it charges for — but it means there is currently no monetization path wired into the app at all.</w:t>
      </w:r>
    </w:p>
    <w:p>
      <w:pPr>
        <w:pStyle w:val="ListBullet"/>
      </w:pPr>
      <w:r>
        <w:rPr>
          <w:b/>
        </w:rPr>
        <w:t xml:space="preserve">GoldBod &amp; Government Regulatory Dashboard (Section 15): </w:t>
      </w:r>
      <w:r>
        <w:t>No GoldBod official role, no national cross-mine inventory dashboard, no bulk purchase engine with Bank of Ghana reference pricing, no permit application/renewal/approval workflow, and no illegal-mining or regulator-misconduct dual reporting system. Note: the existing “Certifications” feature tracks individual worker certifications, not mine operating permits — these are different concepts and Section 15.3 (Permit Management) remains fully unbuilt.</w:t>
      </w:r>
    </w:p>
    <w:p>
      <w:pPr>
        <w:pStyle w:val="ListBullet"/>
      </w:pPr>
      <w:r>
        <w:rPr>
          <w:b/>
        </w:rPr>
        <w:t xml:space="preserve">Worker Pay &amp; Disbursement (Section 16): </w:t>
      </w:r>
      <w:r>
        <w:t>No pay calculation engine, no configurable split formula, no dual manager/supervisor authorization, and no Mobile Money (MTN MoMo, Telecel Cash, AirtelTigo) disbursement integration. Attendance clock-in/out exists and could feed an hours-based split formula later, but nothing currently calculates or moves money.</w:t>
      </w:r>
    </w:p>
    <w:p>
      <w:pPr>
        <w:pStyle w:val="ListBullet"/>
      </w:pPr>
      <w:r>
        <w:rPr>
          <w:b/>
        </w:rPr>
        <w:t xml:space="preserve">Worker Insurance (Section 17): </w:t>
      </w:r>
      <w:r>
        <w:t>No insurance provider API integration, no enrolment flow, no coverage-status field on the worker profile, and no premium deduction logic in the pay flow (which also doesn't exist).</w:t>
      </w:r>
    </w:p>
    <w:p>
      <w:pPr>
        <w:pStyle w:val="ListBullet"/>
      </w:pPr>
      <w:r>
        <w:rPr>
          <w:b/>
        </w:rPr>
        <w:t xml:space="preserve">Live Site Map (Section 07, majority): </w:t>
      </w:r>
      <w:r>
        <w:t>No interactive map at all. Danger zones exist only as a flat database list with a name and risk level — there's no visual map, no colour-coded zone icons, no real-time propagation to devices, no GPS zone-entry warnings, no offline map caching, and no historical hazard heat-map.</w:t>
      </w:r>
    </w:p>
    <w:p>
      <w:pPr>
        <w:pStyle w:val="ListBullet"/>
      </w:pPr>
      <w:r>
        <w:rPr>
          <w:b/>
        </w:rPr>
        <w:t xml:space="preserve">Live Location Tracking (Section 08): </w:t>
      </w:r>
      <w:r>
        <w:t>No worker or equipment GPS tracking, no zone headcount accountability, no last-known-location retention, and no location-based emergency dispatch. This was a deliberate product decision (documented as “not appropriate for underground”) rather than an oversight, and Lone Worker mode's timer-based check-in is a sensible substitute — but it's worth being explicit that this is a permanent scope decision, not a temporary gap, if that hasn't been decided formally.</w:t>
      </w:r>
    </w:p>
    <w:p>
      <w:pPr>
        <w:pStyle w:val="Heading1"/>
      </w:pPr>
      <w:r>
        <w:rPr>
          <w:color w:val="1F1F1F"/>
        </w:rPr>
        <w:t>3. Partially Built or Diverged From Spec</w:t>
      </w:r>
    </w:p>
    <w:p>
      <w:r>
        <w:rPr>
          <w:b w:val="0"/>
          <w:i w:val="0"/>
        </w:rPr>
        <w:t>These features have real, working code, but fall short of the concept document's scope or took a different shape in practice.</w:t>
      </w:r>
    </w:p>
    <w:p>
      <w:pPr>
        <w:pStyle w:val="ListBullet"/>
      </w:pPr>
      <w:r>
        <w:rPr>
          <w:b/>
        </w:rPr>
        <w:t xml:space="preserve">Guest access &amp; visitor management: </w:t>
      </w:r>
      <w:r>
        <w:t>Role-based guest access (visitor/inspector/investor), session expiry, and induction all exist, but induction is a single “Complete Safety Induction” button that logs an audit event — there's no actual induction content, walkthrough, or quiz for the guest to complete. QR-code/PIN-based session issuance, Tour Mode, 50-person group guest sessions with a live join list, and automatic SOS override alerts to active guests are all absent.</w:t>
      </w:r>
    </w:p>
    <w:p>
      <w:pPr>
        <w:pStyle w:val="ListBullet"/>
      </w:pPr>
      <w:r>
        <w:rPr>
          <w:b/>
        </w:rPr>
        <w:t xml:space="preserve">Mineral market data: </w:t>
      </w:r>
      <w:r>
        <w:t>MarketController hits a real third-party commodities API, but for generic global commodities (gold, silver, copper, platinum, palladium, crude oil, natural gas) rather than the mining-specific mineral list the concept calls for (lithium, cobalt, manganese, bauxite, iron ore, etc.), and with no charts, price alerts, regional (West Africa) indexing against global spot, sentiment feed, or CSV export. Notably, the project briefing states this screen was “removed — out of place in a mine ops app,” yet MarketScreen.tsx, getMarketPrices(), and MarketController.java are all still present and reachable — worth clarifying whether this should be finished or actually removed.</w:t>
      </w:r>
    </w:p>
    <w:p>
      <w:pPr>
        <w:pStyle w:val="ListBullet"/>
      </w:pPr>
      <w:r>
        <w:rPr>
          <w:b/>
        </w:rPr>
        <w:t xml:space="preserve">Supervisor briefing / shift handover: </w:t>
      </w:r>
      <w:r>
        <w:t>Announcements (≤200 characters) and a 24-hour handover summary exist, but neither is the “structured daily briefing” (goals, assigned zones, hazard alerts) the concept describes, and none of it is AI-generated or AI-pre-populated.</w:t>
      </w:r>
    </w:p>
    <w:p>
      <w:pPr>
        <w:pStyle w:val="ListBullet"/>
      </w:pPr>
      <w:r>
        <w:rPr>
          <w:b/>
        </w:rPr>
        <w:t xml:space="preserve">Mineral inventory: </w:t>
      </w:r>
      <w:r>
        <w:t>The ledger and auto-update-from-approved-shift-log pipeline work well and match the concept. Missing: opt-in live buyer feed, buyer watch-list notifications, per-mineral visibility controls (Public/Private/Internal), and reason-code-gated inventory reductions.</w:t>
      </w:r>
    </w:p>
    <w:p>
      <w:pPr>
        <w:pStyle w:val="ListBullet"/>
      </w:pPr>
      <w:r>
        <w:rPr>
          <w:b/>
        </w:rPr>
        <w:t xml:space="preserve">Danger zones: </w:t>
      </w:r>
      <w:r>
        <w:t>Exist as a reportable, listable entity with risk level — a reasonable stand-in given no map exists — but none of the real-time propagation, GPS proximity warning, or visual iconography from Section 07 is present.</w:t>
      </w:r>
    </w:p>
    <w:p>
      <w:pPr>
        <w:pStyle w:val="ListBullet"/>
      </w:pPr>
      <w:r>
        <w:rPr>
          <w:b/>
        </w:rPr>
        <w:t xml:space="preserve">Offline support: </w:t>
      </w:r>
      <w:r>
        <w:t>No evidence of an offline write-queue/sync layer in the frontend; the app appears to require connectivity for all actions. The concept treats offline queuing as a baseline requirement for underground/low-signal sites.</w:t>
      </w:r>
    </w:p>
    <w:p>
      <w:pPr>
        <w:pStyle w:val="Heading1"/>
      </w:pPr>
      <w:r>
        <w:rPr>
          <w:color w:val="1F1F1F"/>
        </w:rPr>
        <w:t>4. Solidly Built (Matches or Exceeds the Concept)</w:t>
      </w:r>
    </w:p>
    <w:p>
      <w:pPr>
        <w:pStyle w:val="ListBullet"/>
      </w:pPr>
      <w:r>
        <w:t>Hazard reporting with photo, GPS tagging, and severity classification, feeding an immutable audit trail.</w:t>
      </w:r>
    </w:p>
    <w:p>
      <w:pPr>
        <w:pStyle w:val="ListBullet"/>
      </w:pPr>
      <w:r>
        <w:t>SOS one-tap emergency alert to supervisors and safety officers.</w:t>
      </w:r>
    </w:p>
    <w:p>
      <w:pPr>
        <w:pStyle w:val="ListBullet"/>
      </w:pPr>
      <w:r>
        <w:t>Drill Operations step-by-step sign-off (setup → drilling → blasting → cleanup) — a close match to the concept's Drill Breakdown feature.</w:t>
      </w:r>
    </w:p>
    <w:p>
      <w:pPr>
        <w:pStyle w:val="ListBullet"/>
      </w:pPr>
      <w:r>
        <w:t>Full audit trail via a dedicated Audit Service with a transactional outbox relay, immutable once written, matching the “single compliance spine” principle.</w:t>
      </w:r>
    </w:p>
    <w:p>
      <w:pPr>
        <w:pStyle w:val="ListBullet"/>
      </w:pPr>
      <w:r>
        <w:t>Notice board with mandatory acknowledgment and expiry.</w:t>
      </w:r>
    </w:p>
    <w:p>
      <w:pPr>
        <w:pStyle w:val="ListBullet"/>
      </w:pPr>
      <w:r>
        <w:t>Shift production logging that automatically updates the mineral inventory ledger, exactly as the concept describes for Section 09.</w:t>
      </w:r>
    </w:p>
    <w:p>
      <w:pPr>
        <w:pStyle w:val="ListBullet"/>
      </w:pPr>
      <w:r>
        <w:t>Equipment tracking with status states, faults, and maintenance requests.</w:t>
      </w:r>
    </w:p>
    <w:p>
      <w:r>
        <w:rPr>
          <w:b w:val="0"/>
          <w:i w:val="0"/>
        </w:rPr>
        <w:t>The build also includes several solid features the concept document doesn't mention at all: biometric login, JWT refresh tokens, worker-to-supervisor messaging, a certifications/expiry tracker, first-aid-kit registries, emergency contacts, attendance clock-in/out, and account suspension/reinstatement. These are reasonable, practical additions.</w:t>
      </w:r>
    </w:p>
    <w:p>
      <w:pPr>
        <w:pStyle w:val="Heading1"/>
      </w:pPr>
      <w:r>
        <w:rPr>
          <w:color w:val="1F1F1F"/>
        </w:rPr>
        <w:t>5. Technical Improvements (Independent of the PRD)</w:t>
      </w:r>
    </w:p>
    <w:p>
      <w:r>
        <w:rPr>
          <w:b w:val="0"/>
          <w:i w:val="0"/>
        </w:rPr>
        <w:t>These are code-quality and architecture observations from reviewing the repos directly — not gaps against the concept document, but things worth cleaning up regardless of which features get built next.</w:t>
      </w:r>
    </w:p>
    <w:p>
      <w:pPr>
        <w:pStyle w:val="ListBullet"/>
      </w:pPr>
      <w:r>
        <w:rPr>
          <w:b/>
        </w:rPr>
        <w:t xml:space="preserve">Hardcoded API host: </w:t>
      </w:r>
      <w:r>
        <w:t>The frontend's API_BASE_URL is a hardcoded LAN IP (172.20.10.4). It should move to an environment-configurable value (Expo config/env variable) so the app doesn't break every time the dev machine's network changes, and so it can actually point at a real server for anything beyond local testing.</w:t>
      </w:r>
    </w:p>
    <w:p>
      <w:pPr>
        <w:pStyle w:val="ListBullet"/>
      </w:pPr>
      <w:r>
        <w:rPr>
          <w:b/>
        </w:rPr>
        <w:t xml:space="preserve">Monolithic API client: </w:t>
      </w:r>
      <w:r>
        <w:t>src/services/api.ts is ~1,150 lines covering every domain (auth, hazards, inventory, drills, blasts, messaging, certifications, etc.) in one file. Splitting it by domain would make it far easier to navigate and maintain.</w:t>
      </w:r>
    </w:p>
    <w:p>
      <w:pPr>
        <w:pStyle w:val="ListBullet"/>
      </w:pPr>
      <w:r>
        <w:rPr>
          <w:b/>
        </w:rPr>
        <w:t xml:space="preserve">Loose typing on API responses: </w:t>
      </w:r>
      <w:r>
        <w:t>Many endpoints are typed as request&lt;any&gt;(...) (shift logs in places, drill operations, blasts, incidents, equipment) which throws away TypeScript's main benefit. Worth defining real response types as those features stabilize.</w:t>
      </w:r>
    </w:p>
    <w:p>
      <w:pPr>
        <w:pStyle w:val="ListBullet"/>
      </w:pPr>
      <w:r>
        <w:rPr>
          <w:b/>
        </w:rPr>
        <w:t xml:space="preserve">Leftover/contradictory market feature: </w:t>
      </w:r>
      <w:r>
        <w:t>MarketController, MarketScreen.tsx, and getMarketPrices() are live and reachable despite being described elsewhere as removed. Either finish it properly (tie it to real mineral prices per the concept) or delete it — right now it's ambiguous, half-built scope.</w:t>
      </w:r>
    </w:p>
    <w:p>
      <w:pPr>
        <w:pStyle w:val="ListBullet"/>
      </w:pPr>
      <w:r>
        <w:rPr>
          <w:b/>
        </w:rPr>
        <w:t xml:space="preserve">No automated test coverage: </w:t>
      </w:r>
      <w:r>
        <w:t>Aside from the default generated BackendApplicationTests.java placeholder, there's no unit, integration, or frontend test coverage found. Given the app is handling safety-critical data (hazards, incidents, SOS), some test coverage on the approval/audit flows would reduce risk.</w:t>
      </w:r>
    </w:p>
    <w:p>
      <w:pPr>
        <w:pStyle w:val="ListBullet"/>
      </w:pPr>
      <w:r>
        <w:rPr>
          <w:b/>
        </w:rPr>
        <w:t xml:space="preserve">Build artifacts checked into the backend repo: </w:t>
      </w:r>
      <w:r>
        <w:t>backend/target/classes/... (compiled classes and copies of the Flyway migration SQL) appear alongside the source tree. These should be gitignored — tracking build output bloats history and risks confusion with the real migration source.</w:t>
      </w:r>
    </w:p>
    <w:p>
      <w:pPr>
        <w:pStyle w:val="ListBullet"/>
      </w:pPr>
      <w:r>
        <w:rPr>
          <w:b/>
        </w:rPr>
        <w:t xml:space="preserve">Inconsistent schema management between services: </w:t>
      </w:r>
      <w:r>
        <w:t>The main backend uses Flyway with ddl-auto=validate (safe, versioned). The Audit Service uses ddl-auto=update against the same physical Postgres instance (different schema, but same database). Auto-DDL on a service sharing a database with a Flyway-managed service is riskier than it needs to be — worth bringing the audit service onto Flyway too, or at minimum documenting why it's intentionally excluded.</w:t>
      </w:r>
    </w:p>
    <w:p>
      <w:pPr>
        <w:pStyle w:val="ListBullet"/>
      </w:pPr>
      <w:r>
        <w:rPr>
          <w:b/>
        </w:rPr>
        <w:t xml:space="preserve">No visible rate limiting on auth endpoints: </w:t>
      </w:r>
      <w:r>
        <w:t>/api/auth/login and /api/auth/register are public (permitAll) with no evident throttling or lockout — worth adding basic rate limiting given they're the only unauthenticated write surface.</w:t>
      </w:r>
    </w:p>
    <w:p>
      <w:pPr>
        <w:pStyle w:val="ListBullet"/>
      </w:pPr>
      <w:r>
        <w:rPr>
          <w:b/>
        </w:rPr>
        <w:t xml:space="preserve">Inconsistent pagination: </w:t>
      </w:r>
      <w:r>
        <w:t>Some list endpoints return paginated {content: [...]} responses (hazards, notices, SOS, danger zones) while others return raw, unpaginated lists (shift logs, incidents, drill operations, blasts). Standardizing this will matter once sites accumulate more history.</w:t>
      </w:r>
    </w:p>
    <w:p/>
    <w:p>
      <w:r>
        <w:rPr>
          <w:i/>
          <w:color w:val="777777"/>
          <w:sz w:val="18"/>
        </w:rPr>
        <w:t>Prepared by reviewing MineOpsApp, MineOpsBackend, and MineOpsAuditService against MineOps_Concept_v3.docx.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