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MineOps Reference Guide</w:t>
      </w:r>
    </w:p>
    <w:p>
      <w:pPr>
        <w:pStyle w:val="Author"/>
      </w:pPr>
      <w:r>
        <w:t xml:space="preserve">Prepared</w:t>
      </w:r>
      <w:r>
        <w:t xml:space="preserve"> </w:t>
      </w:r>
      <w:r>
        <w:t xml:space="preserve">for</w:t>
      </w:r>
      <w:r>
        <w:t xml:space="preserve"> </w:t>
      </w:r>
      <w:r>
        <w:t xml:space="preserve">MineOps</w:t>
      </w:r>
    </w:p>
    <w:p>
      <w:pPr>
        <w:pStyle w:val="Date"/>
      </w:pPr>
      <w:r>
        <w:t xml:space="preserve">July</w:t>
      </w:r>
      <w:r>
        <w:t xml:space="preserve"> </w:t>
      </w:r>
      <w:r>
        <w:t xml:space="preserve">2026</w:t>
      </w:r>
    </w:p>
    <w:p>
      <w:pPr>
        <w:pStyle w:val="Heading1"/>
      </w:pPr>
      <w:bookmarkStart w:id="20" w:name="introduction"/>
      <w:r>
        <w:t xml:space="preserve">Introduction</w:t>
      </w:r>
      <w:bookmarkEnd w:id="20"/>
    </w:p>
    <w:p>
      <w:pPr>
        <w:pStyle w:val="FirstParagraph"/>
      </w:pPr>
      <w:r>
        <w:t xml:space="preserve">This guide covers four sections of the MineOps app: Marketplace, Regulatory (Government/Compliance), Mineral Inventory, and Pay &amp; Billing. For each, it explains what the feature does, which roles can use it, the business rules enforced in the code, and the real-world Ghanaian mining law each feature is built around. A reference section at the end summarizes the actual statutes involved.</w:t>
      </w:r>
    </w:p>
    <w:p>
      <w:pPr>
        <w:pStyle w:val="BodyText"/>
      </w:pPr>
      <w:r>
        <w:t xml:space="preserve">One point applies across all four sections: MineOps is a reporting and workflow tool, not a government system of record. Permit status, inventory figures, and inspection findings are self-reported by site supervisors or entered by government users of the app — the app does not connect to the Minerals Commission, GoldBod, or EPA’s own databases. It gives all parties a shared, auditable place to track compliance, but it is not itself a legal filing system.</w:t>
      </w:r>
    </w:p>
    <w:p>
      <w:pPr>
        <w:pStyle w:val="Heading1"/>
      </w:pPr>
      <w:bookmarkStart w:id="21" w:name="marketplace-section"/>
      <w:r>
        <w:t xml:space="preserve">1. Marketplace Section</w:t>
      </w:r>
      <w:bookmarkEnd w:id="21"/>
    </w:p>
    <w:p>
      <w:pPr>
        <w:pStyle w:val="Heading2"/>
      </w:pPr>
      <w:bookmarkStart w:id="22" w:name="what-it-does"/>
      <w:r>
        <w:t xml:space="preserve">What it does</w:t>
      </w:r>
      <w:bookmarkEnd w:id="22"/>
    </w:p>
    <w:p>
      <w:pPr>
        <w:pStyle w:val="FirstParagraph"/>
      </w:pPr>
      <w:r>
        <w:t xml:space="preserve">The Marketplace lets supervisors list minerals for sale and buyers make offers on them, moving through a structured lifecycle from listing to a completed, tracked transaction.</w:t>
      </w:r>
    </w:p>
    <w:p>
      <w:pPr>
        <w:pStyle w:val="BodyText"/>
      </w:pPr>
      <w:r>
        <w:rPr>
          <w:b/>
        </w:rPr>
        <w:t xml:space="preserve">Listings.</w:t>
      </w:r>
      <w:r>
        <w:t xml:space="preserve"> </w:t>
      </w:r>
      <w:r>
        <w:t xml:space="preserve">A supervisor creates a listing for their site: mineral type, quantity, unit, grade, asking price, location, optional minimum order quantity, optional photo, and an</w:t>
      </w:r>
      <w:r>
        <w:t xml:space="preserve"> </w:t>
      </w:r>
      <w:r>
        <w:t xml:space="preserve">“</w:t>
      </w:r>
      <w:r>
        <w:t xml:space="preserve">available from</w:t>
      </w:r>
      <w:r>
        <w:t xml:space="preserve">”</w:t>
      </w:r>
      <w:r>
        <w:t xml:space="preserve"> </w:t>
      </w:r>
      <w:r>
        <w:t xml:space="preserve">date. Listings start as</w:t>
      </w:r>
      <w:r>
        <w:t xml:space="preserve"> </w:t>
      </w:r>
      <w:r>
        <w:rPr>
          <w:rStyle w:val="VerbatimChar"/>
        </w:rPr>
        <w:t xml:space="preserve">ACTIVE</w:t>
      </w:r>
      <w:r>
        <w:t xml:space="preserve"> </w:t>
      </w:r>
      <w:r>
        <w:t xml:space="preserve">and can be withdrawn by the supervisor at any time while still active.</w:t>
      </w:r>
    </w:p>
    <w:p>
      <w:pPr>
        <w:pStyle w:val="BodyText"/>
      </w:pPr>
      <w:r>
        <w:rPr>
          <w:b/>
        </w:rPr>
        <w:t xml:space="preserve">Offers.</w:t>
      </w:r>
      <w:r>
        <w:t xml:space="preserve"> </w:t>
      </w:r>
      <w:r>
        <w:t xml:space="preserve">A verified buyer can make an offer against an active listing (price and quantity). The supervisor can accept, reject, or counter it. A counter-offer creates a new linked offer back to the buyer, who can accept it in turn (by making a fresh offer) or let it lapse. Offers move through the states</w:t>
      </w:r>
      <w:r>
        <w:t xml:space="preserve"> </w:t>
      </w:r>
      <w:r>
        <w:rPr>
          <w:rStyle w:val="VerbatimChar"/>
        </w:rPr>
        <w:t xml:space="preserve">PENDING → ACCEPTED / REJECTED / COUNTERED / WITHDRAWN</w:t>
      </w:r>
      <w:r>
        <w:t xml:space="preserve">.</w:t>
      </w:r>
    </w:p>
    <w:p>
      <w:pPr>
        <w:pStyle w:val="BodyText"/>
      </w:pPr>
      <w:r>
        <w:rPr>
          <w:b/>
        </w:rPr>
        <w:t xml:space="preserve">Transactions.</w:t>
      </w:r>
      <w:r>
        <w:t xml:space="preserve"> </w:t>
      </w:r>
      <w:r>
        <w:t xml:space="preserve">Accepting an offer automatically creates a transaction record and marks the listing</w:t>
      </w:r>
      <w:r>
        <w:t xml:space="preserve"> </w:t>
      </w:r>
      <w:r>
        <w:rPr>
          <w:rStyle w:val="VerbatimChar"/>
        </w:rPr>
        <w:t xml:space="preserve">SOLD</w:t>
      </w:r>
      <w:r>
        <w:t xml:space="preserve">. The transaction then moves through a delivery pipeline the supervisor updates manually: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Batch status</w:t>
            </w:r>
          </w:p>
        </w:tc>
        <w:tc>
          <w:tcPr>
            <w:tcBorders>
              <w:bottom w:val="single"/>
            </w:tcBorders>
            <w:vAlign w:val="bottom"/>
          </w:tcPr>
          <w:p>
            <w:pPr>
              <w:pStyle w:val="Compact"/>
              <w:jc w:val="left"/>
            </w:pPr>
            <w:r>
              <w:t xml:space="preserve">Meaning</w:t>
            </w:r>
          </w:p>
        </w:tc>
      </w:tr>
      <w:tr>
        <w:tc>
          <w:p>
            <w:pPr>
              <w:pStyle w:val="Compact"/>
              <w:jc w:val="left"/>
            </w:pPr>
            <w:r>
              <w:t xml:space="preserve">PREPARING</w:t>
            </w:r>
          </w:p>
        </w:tc>
        <w:tc>
          <w:p>
            <w:pPr>
              <w:pStyle w:val="Compact"/>
              <w:jc w:val="left"/>
            </w:pPr>
            <w:r>
              <w:t xml:space="preserve">Order accepted, being readied for dispatch</w:t>
            </w:r>
          </w:p>
        </w:tc>
      </w:tr>
      <w:tr>
        <w:tc>
          <w:p>
            <w:pPr>
              <w:pStyle w:val="Compact"/>
              <w:jc w:val="left"/>
            </w:pPr>
            <w:r>
              <w:t xml:space="preserve">DISPATCHED</w:t>
            </w:r>
          </w:p>
        </w:tc>
        <w:tc>
          <w:p>
            <w:pPr>
              <w:pStyle w:val="Compact"/>
              <w:jc w:val="left"/>
            </w:pPr>
            <w:r>
              <w:t xml:space="preserve">Left the site</w:t>
            </w:r>
          </w:p>
        </w:tc>
      </w:tr>
      <w:tr>
        <w:tc>
          <w:p>
            <w:pPr>
              <w:pStyle w:val="Compact"/>
              <w:jc w:val="left"/>
            </w:pPr>
            <w:r>
              <w:t xml:space="preserve">IN_TRANSIT</w:t>
            </w:r>
          </w:p>
        </w:tc>
        <w:tc>
          <w:p>
            <w:pPr>
              <w:pStyle w:val="Compact"/>
              <w:jc w:val="left"/>
            </w:pPr>
            <w:r>
              <w:t xml:space="preserve">En route to buyer</w:t>
            </w:r>
          </w:p>
        </w:tc>
      </w:tr>
      <w:tr>
        <w:tc>
          <w:p>
            <w:pPr>
              <w:pStyle w:val="Compact"/>
              <w:jc w:val="left"/>
            </w:pPr>
            <w:r>
              <w:t xml:space="preserve">DELIVERED</w:t>
            </w:r>
          </w:p>
        </w:tc>
        <w:tc>
          <w:p>
            <w:pPr>
              <w:pStyle w:val="Compact"/>
              <w:jc w:val="left"/>
            </w:pPr>
            <w:r>
              <w:t xml:space="preserve">Received by buyer</w:t>
            </w:r>
          </w:p>
        </w:tc>
      </w:tr>
    </w:tbl>
    <w:p>
      <w:pPr>
        <w:pStyle w:val="BodyText"/>
      </w:pPr>
      <w:r>
        <w:rPr>
          <w:b/>
        </w:rPr>
        <w:t xml:space="preserve">Disputes.</w:t>
      </w:r>
      <w:r>
        <w:t xml:space="preserve"> </w:t>
      </w:r>
      <w:r>
        <w:t xml:space="preserve">Either the buyer or a supervisor/safety officer at the site can raise a dispute on a transaction if something goes wrong (only one open dispute per transaction). A supervisor or safety officer resolves it with written resolution notes; disputes cannot be reopened once resolved.</w:t>
      </w:r>
    </w:p>
    <w:p>
      <w:pPr>
        <w:pStyle w:val="BodyText"/>
      </w:pPr>
      <w:r>
        <w:rPr>
          <w:b/>
        </w:rPr>
        <w:t xml:space="preserve">Ratings &amp; exports.</w:t>
      </w:r>
      <w:r>
        <w:t xml:space="preserve"> </w:t>
      </w:r>
      <w:r>
        <w:t xml:space="preserve">Completed transactions can be rated, and a supervisor can export their site’s full transaction history to CSV for their own records.</w:t>
      </w:r>
    </w:p>
    <w:p>
      <w:pPr>
        <w:pStyle w:val="Heading2"/>
      </w:pPr>
      <w:bookmarkStart w:id="23" w:name="roles"/>
      <w:r>
        <w:t xml:space="preserve">Roles</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Can do</w:t>
            </w:r>
          </w:p>
        </w:tc>
      </w:tr>
      <w:tr>
        <w:tc>
          <w:p>
            <w:pPr>
              <w:pStyle w:val="Compact"/>
              <w:jc w:val="left"/>
            </w:pPr>
            <w:r>
              <w:t xml:space="preserve">Supervisor</w:t>
            </w:r>
          </w:p>
        </w:tc>
        <w:tc>
          <w:p>
            <w:pPr>
              <w:pStyle w:val="Compact"/>
              <w:jc w:val="left"/>
            </w:pPr>
            <w:r>
              <w:t xml:space="preserve">Create/withdraw listings, view and respond to offers on their site’s listings, accept/reject/counter, update batch status, export CSV, resolve disputes</w:t>
            </w:r>
          </w:p>
        </w:tc>
      </w:tr>
      <w:tr>
        <w:tc>
          <w:p>
            <w:pPr>
              <w:pStyle w:val="Compact"/>
              <w:jc w:val="left"/>
            </w:pPr>
            <w:r>
              <w:t xml:space="preserve">Buyer</w:t>
            </w:r>
          </w:p>
        </w:tc>
        <w:tc>
          <w:p>
            <w:pPr>
              <w:pStyle w:val="Compact"/>
              <w:jc w:val="left"/>
            </w:pPr>
            <w:r>
              <w:t xml:space="preserve">Browse active listings, make/withdraw offers, view their own transactions, raise disputes</w:t>
            </w:r>
          </w:p>
        </w:tc>
      </w:tr>
      <w:tr>
        <w:tc>
          <w:p>
            <w:pPr>
              <w:pStyle w:val="Compact"/>
              <w:jc w:val="left"/>
            </w:pPr>
            <w:r>
              <w:t xml:space="preserve">Safety Officer</w:t>
            </w:r>
          </w:p>
        </w:tc>
        <w:tc>
          <w:p>
            <w:pPr>
              <w:pStyle w:val="Compact"/>
              <w:jc w:val="left"/>
            </w:pPr>
            <w:r>
              <w:t xml:space="preserve">Resolve disputes for their site</w:t>
            </w:r>
          </w:p>
        </w:tc>
      </w:tr>
    </w:tbl>
    <w:p>
      <w:pPr>
        <w:pStyle w:val="Heading2"/>
      </w:pPr>
      <w:bookmarkStart w:id="24" w:name="business-rules-that-matter"/>
      <w:r>
        <w:t xml:space="preserve">Business rules that matter</w:t>
      </w:r>
      <w:bookmarkEnd w:id="24"/>
    </w:p>
    <w:p>
      <w:pPr>
        <w:numPr>
          <w:ilvl w:val="0"/>
          <w:numId w:val="1001"/>
        </w:numPr>
        <w:pStyle w:val="Compact"/>
      </w:pPr>
      <w:r>
        <w:rPr>
          <w:b/>
        </w:rPr>
        <w:t xml:space="preserve">Buyer verification is mandatory.</w:t>
      </w:r>
      <w:r>
        <w:t xml:space="preserve"> </w:t>
      </w:r>
      <w:r>
        <w:t xml:space="preserve">A buyer cannot even view listings, let alone make an offer, until their account is marked</w:t>
      </w:r>
      <w:r>
        <w:t xml:space="preserve"> </w:t>
      </w:r>
      <w:r>
        <w:rPr>
          <w:rStyle w:val="VerbatimChar"/>
        </w:rPr>
        <w:t xml:space="preserve">VERIFIED</w:t>
      </w:r>
      <w:r>
        <w:t xml:space="preserve">. This is the app’s KYC gate before anyone can transact.</w:t>
      </w:r>
    </w:p>
    <w:p>
      <w:pPr>
        <w:numPr>
          <w:ilvl w:val="0"/>
          <w:numId w:val="1001"/>
        </w:numPr>
        <w:pStyle w:val="Compact"/>
      </w:pPr>
      <w:r>
        <w:rPr>
          <w:b/>
        </w:rPr>
        <w:t xml:space="preserve">Gold requires a GoldBod license, enforced at the point of offer.</w:t>
      </w:r>
      <w:r>
        <w:t xml:space="preserve"> </w:t>
      </w:r>
      <w:r>
        <w:t xml:space="preserve">If a listing’s mineral type is gold, the buyer’s account must have a non-blank GoldBod license number on file, or the offer is rejected outright with an explicit error. This is a direct, hard-coded reflection of Ghana’s 2025 gold trading law (details below) — the app will not let an unlicensed party even attempt to buy gold.</w:t>
      </w:r>
    </w:p>
    <w:p>
      <w:pPr>
        <w:numPr>
          <w:ilvl w:val="0"/>
          <w:numId w:val="1001"/>
        </w:numPr>
        <w:pStyle w:val="Compact"/>
      </w:pPr>
      <w:r>
        <w:rPr>
          <w:b/>
        </w:rPr>
        <w:t xml:space="preserve">Site isolation.</w:t>
      </w:r>
      <w:r>
        <w:t xml:space="preserve"> </w:t>
      </w:r>
      <w:r>
        <w:t xml:space="preserve">A supervisor can only see and act on listings, offers, and transactions belonging to their own assigned site — never another site’s.</w:t>
      </w:r>
    </w:p>
    <w:p>
      <w:pPr>
        <w:numPr>
          <w:ilvl w:val="0"/>
          <w:numId w:val="1001"/>
        </w:numPr>
        <w:pStyle w:val="Compact"/>
      </w:pPr>
      <w:r>
        <w:rPr>
          <w:b/>
        </w:rPr>
        <w:t xml:space="preserve">One dispute per transaction, and only a party to the transaction can raise or view it.</w:t>
      </w:r>
    </w:p>
    <w:p>
      <w:pPr>
        <w:numPr>
          <w:ilvl w:val="0"/>
          <w:numId w:val="1001"/>
        </w:numPr>
        <w:pStyle w:val="Compact"/>
      </w:pPr>
      <w:r>
        <w:t xml:space="preserve">Every listing, offer, and transaction action is written to an audit log (who, when, what).</w:t>
      </w:r>
    </w:p>
    <w:p>
      <w:pPr>
        <w:pStyle w:val="Heading1"/>
      </w:pPr>
      <w:bookmarkStart w:id="25" w:name="regulatory-section"/>
      <w:r>
        <w:t xml:space="preserve">2. Regulatory Section</w:t>
      </w:r>
      <w:bookmarkEnd w:id="25"/>
    </w:p>
    <w:p>
      <w:pPr>
        <w:pStyle w:val="Heading2"/>
      </w:pPr>
      <w:bookmarkStart w:id="26" w:name="what-it-does-1"/>
      <w:r>
        <w:t xml:space="preserve">What it does</w:t>
      </w:r>
      <w:bookmarkEnd w:id="26"/>
    </w:p>
    <w:p>
      <w:pPr>
        <w:pStyle w:val="FirstParagraph"/>
      </w:pPr>
      <w:r>
        <w:t xml:space="preserve">This is the Government-role side of the app: a place for regulators to see self-reported compliance data across every registered mine site, and for site supervisors to keep that data current.</w:t>
      </w:r>
    </w:p>
    <w:p>
      <w:pPr>
        <w:pStyle w:val="BodyText"/>
      </w:pPr>
      <w:r>
        <w:rPr>
          <w:b/>
        </w:rPr>
        <w:t xml:space="preserve">Mining permit tracking.</w:t>
      </w:r>
      <w:r>
        <w:t xml:space="preserve"> </w:t>
      </w:r>
      <w:r>
        <w:t xml:space="preserve">Each site has a permit-status record covering four checkpoints a supervisor updates as they progress: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Checkpoint</w:t>
            </w:r>
          </w:p>
        </w:tc>
        <w:tc>
          <w:tcPr>
            <w:tcBorders>
              <w:bottom w:val="single"/>
            </w:tcBorders>
            <w:vAlign w:val="bottom"/>
          </w:tcPr>
          <w:p>
            <w:pPr>
              <w:pStyle w:val="Compact"/>
              <w:jc w:val="left"/>
            </w:pPr>
            <w:r>
              <w:t xml:space="preserve">Field</w:t>
            </w:r>
          </w:p>
        </w:tc>
      </w:tr>
      <w:tr>
        <w:tc>
          <w:p>
            <w:pPr>
              <w:pStyle w:val="Compact"/>
              <w:jc w:val="left"/>
            </w:pPr>
            <w:r>
              <w:t xml:space="preserve">Application submitted to the Minerals Commission</w:t>
            </w:r>
          </w:p>
        </w:tc>
        <w:tc>
          <w:p>
            <w:pPr>
              <w:pStyle w:val="Compact"/>
              <w:jc w:val="left"/>
            </w:pPr>
            <w:r>
              <w:rPr>
                <w:rStyle w:val="VerbatimChar"/>
              </w:rPr>
              <w:t xml:space="preserve">applicationSubmitted</w:t>
            </w:r>
          </w:p>
        </w:tc>
      </w:tr>
      <w:tr>
        <w:tc>
          <w:p>
            <w:pPr>
              <w:pStyle w:val="Compact"/>
              <w:jc w:val="left"/>
            </w:pPr>
            <w:r>
              <w:t xml:space="preserve">Community notified/consulted</w:t>
            </w:r>
          </w:p>
        </w:tc>
        <w:tc>
          <w:p>
            <w:pPr>
              <w:pStyle w:val="Compact"/>
              <w:jc w:val="left"/>
            </w:pPr>
            <w:r>
              <w:rPr>
                <w:rStyle w:val="VerbatimChar"/>
              </w:rPr>
              <w:t xml:space="preserve">communityNotificationDone</w:t>
            </w:r>
          </w:p>
        </w:tc>
      </w:tr>
      <w:tr>
        <w:tc>
          <w:p>
            <w:pPr>
              <w:pStyle w:val="Compact"/>
              <w:jc w:val="left"/>
            </w:pPr>
            <w:r>
              <w:t xml:space="preserve">EPA environmental permit obtained</w:t>
            </w:r>
          </w:p>
        </w:tc>
        <w:tc>
          <w:p>
            <w:pPr>
              <w:pStyle w:val="Compact"/>
              <w:jc w:val="left"/>
            </w:pPr>
            <w:r>
              <w:rPr>
                <w:rStyle w:val="VerbatimChar"/>
              </w:rPr>
              <w:t xml:space="preserve">epaPermitObtained</w:t>
            </w:r>
          </w:p>
        </w:tc>
      </w:tr>
      <w:tr>
        <w:tc>
          <w:p>
            <w:pPr>
              <w:pStyle w:val="Compact"/>
              <w:jc w:val="left"/>
            </w:pPr>
            <w:r>
              <w:t xml:space="preserve">Ministerial review status</w:t>
            </w:r>
          </w:p>
        </w:tc>
        <w:tc>
          <w:p>
            <w:pPr>
              <w:pStyle w:val="Compact"/>
              <w:jc w:val="left"/>
            </w:pPr>
            <w:r>
              <w:rPr>
                <w:rStyle w:val="VerbatimChar"/>
              </w:rPr>
              <w:t xml:space="preserve">ministerialReviewStatus</w:t>
            </w:r>
            <w:r>
              <w:t xml:space="preserve"> </w:t>
            </w:r>
            <w:r>
              <w:t xml:space="preserve">(Pending / Approved / Rejected)</w:t>
            </w:r>
          </w:p>
        </w:tc>
      </w:tr>
    </w:tbl>
    <w:p>
      <w:pPr>
        <w:pStyle w:val="BodyText"/>
      </w:pPr>
      <w:r>
        <w:t xml:space="preserve">Government users see this rolled up across every site in one dashboard, filterable by site name.</w:t>
      </w:r>
    </w:p>
    <w:p>
      <w:pPr>
        <w:pStyle w:val="BodyText"/>
      </w:pPr>
      <w:r>
        <w:rPr>
          <w:b/>
        </w:rPr>
        <w:t xml:space="preserve">Inspections.</w:t>
      </w:r>
      <w:r>
        <w:t xml:space="preserve"> </w:t>
      </w:r>
      <w:r>
        <w:t xml:space="preserve">A government user (an inspector) can log a formal inspection against a site: inspection type, an official inspection reference number, scope, and a legal authority reference — i.e., which specific law or regulation empowers the inspection. The inspector starts and ends the inspection (timestamped), then submits findings: zones inspected, a findings summary, a compliance status, whether follow-up is required, whether a formal report was filed, and the next scheduled inspection date. Supervisors and safety officers at the site can see inspections logged against them; inspectors only see their own.</w:t>
      </w:r>
    </w:p>
    <w:p>
      <w:pPr>
        <w:pStyle w:val="BodyText"/>
      </w:pPr>
      <w:r>
        <w:rPr>
          <w:b/>
        </w:rPr>
        <w:t xml:space="preserve">Illegal mining reports.</w:t>
      </w:r>
      <w:r>
        <w:t xml:space="preserve"> </w:t>
      </w:r>
      <w:r>
        <w:t xml:space="preserve">Any worker, supervisor, safety officer, or buyer can submit a report of suspected illegal (</w:t>
      </w:r>
      <w:r>
        <w:t xml:space="preserve">“</w:t>
      </w:r>
      <w:r>
        <w:t xml:space="preserve">galamsey</w:t>
      </w:r>
      <w:r>
        <w:t xml:space="preserve">”</w:t>
      </w:r>
      <w:r>
        <w:t xml:space="preserve">) mining activity — location description (required), free-text details, optional photo, and GPS coordinates. Government users triage every report through a review workflow:</w:t>
      </w:r>
      <w:r>
        <w:t xml:space="preserve"> </w:t>
      </w:r>
      <w:r>
        <w:rPr>
          <w:rStyle w:val="VerbatimChar"/>
        </w:rPr>
        <w:t xml:space="preserve">UNDER_REVIEW → ACTIONED</w:t>
      </w:r>
      <w:r>
        <w:t xml:space="preserve"> </w:t>
      </w:r>
      <w:r>
        <w:t xml:space="preserve">or</w:t>
      </w:r>
      <w:r>
        <w:t xml:space="preserve"> </w:t>
      </w:r>
      <w:r>
        <w:rPr>
          <w:rStyle w:val="VerbatimChar"/>
        </w:rPr>
        <w:t xml:space="preserve">DISMISSED</w:t>
      </w:r>
      <w:r>
        <w:t xml:space="preserve">, with review notes attached.</w:t>
      </w:r>
    </w:p>
    <w:p>
      <w:pPr>
        <w:pStyle w:val="BodyText"/>
      </w:pPr>
      <w:r>
        <w:rPr>
          <w:b/>
        </w:rPr>
        <w:t xml:space="preserve">Bulk purchase requests.</w:t>
      </w:r>
      <w:r>
        <w:t xml:space="preserve"> </w:t>
      </w:r>
      <w:r>
        <w:t xml:space="preserve">A supervisor can flag surplus mineral stock as available for bulk purchase (mineral type, quantity, unit). This appears on the government dashboard, where it can be marked</w:t>
      </w:r>
      <w:r>
        <w:t xml:space="preserve"> </w:t>
      </w:r>
      <w:r>
        <w:rPr>
          <w:rStyle w:val="VerbatimChar"/>
        </w:rPr>
        <w:t xml:space="preserve">FULFILLED</w:t>
      </w:r>
      <w:r>
        <w:t xml:space="preserve">. This effectively mirrors the government’s right of first look/pre-emptive purchase interest over strategic minerals.</w:t>
      </w:r>
    </w:p>
    <w:p>
      <w:pPr>
        <w:pStyle w:val="Heading2"/>
      </w:pPr>
      <w:bookmarkStart w:id="27" w:name="roles-1"/>
      <w:r>
        <w:t xml:space="preserve">Roles</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Can do</w:t>
            </w:r>
          </w:p>
        </w:tc>
      </w:tr>
      <w:tr>
        <w:tc>
          <w:p>
            <w:pPr>
              <w:pStyle w:val="Compact"/>
              <w:jc w:val="left"/>
            </w:pPr>
            <w:r>
              <w:t xml:space="preserve">Government</w:t>
            </w:r>
          </w:p>
        </w:tc>
        <w:tc>
          <w:p>
            <w:pPr>
              <w:pStyle w:val="Compact"/>
              <w:jc w:val="left"/>
            </w:pPr>
            <w:r>
              <w:t xml:space="preserve">View all sites’ permits and inventory, log/manage inspections, review illegal mining reports, view/fulfill bulk purchase requests</w:t>
            </w:r>
          </w:p>
        </w:tc>
      </w:tr>
      <w:tr>
        <w:tc>
          <w:p>
            <w:pPr>
              <w:pStyle w:val="Compact"/>
              <w:jc w:val="left"/>
            </w:pPr>
            <w:r>
              <w:t xml:space="preserve">Supervisor</w:t>
            </w:r>
          </w:p>
        </w:tc>
        <w:tc>
          <w:p>
            <w:pPr>
              <w:pStyle w:val="Compact"/>
              <w:jc w:val="left"/>
            </w:pPr>
            <w:r>
              <w:t xml:space="preserve">Update their own site’s permit checklist, flag bulk purchase availability, view inspections logged against their site</w:t>
            </w:r>
          </w:p>
        </w:tc>
      </w:tr>
      <w:tr>
        <w:tc>
          <w:p>
            <w:pPr>
              <w:pStyle w:val="Compact"/>
              <w:jc w:val="left"/>
            </w:pPr>
            <w:r>
              <w:t xml:space="preserve">Worker / Safety Officer / Buyer</w:t>
            </w:r>
          </w:p>
        </w:tc>
        <w:tc>
          <w:p>
            <w:pPr>
              <w:pStyle w:val="Compact"/>
              <w:jc w:val="left"/>
            </w:pPr>
            <w:r>
              <w:t xml:space="preserve">Submit illegal mining reports</w:t>
            </w:r>
          </w:p>
        </w:tc>
      </w:tr>
    </w:tbl>
    <w:p>
      <w:pPr>
        <w:pStyle w:val="Heading2"/>
      </w:pPr>
      <w:bookmarkStart w:id="28" w:name="legal-grounding"/>
      <w:r>
        <w:t xml:space="preserve">Legal grounding</w:t>
      </w:r>
      <w:bookmarkEnd w:id="28"/>
    </w:p>
    <w:p>
      <w:pPr>
        <w:numPr>
          <w:ilvl w:val="0"/>
          <w:numId w:val="1002"/>
        </w:numPr>
        <w:pStyle w:val="Compact"/>
      </w:pPr>
      <w:r>
        <w:t xml:space="preserve">The</w:t>
      </w:r>
      <w:r>
        <w:t xml:space="preserve"> </w:t>
      </w:r>
      <w:r>
        <w:rPr>
          <w:b/>
        </w:rPr>
        <w:t xml:space="preserve">permit checklist</w:t>
      </w:r>
      <w:r>
        <w:t xml:space="preserve"> </w:t>
      </w:r>
      <w:r>
        <w:t xml:space="preserve">(application, community notice, EPA permit, ministerial review) mirrors the actual approval chain under Ghana’s Minerals and Mining Act, 2006 (Act 703) — mineral rights are granted by the Minerals Commission, and a mining operation additionally needs an environmental permit from the EPA (typically following an environmental impact assessment) before operations can lawfully begin.</w:t>
      </w:r>
    </w:p>
    <w:p>
      <w:pPr>
        <w:numPr>
          <w:ilvl w:val="0"/>
          <w:numId w:val="1002"/>
        </w:numPr>
        <w:pStyle w:val="Compact"/>
      </w:pPr>
      <w:r>
        <w:rPr>
          <w:b/>
        </w:rPr>
        <w:t xml:space="preserve">Inspections</w:t>
      </w:r>
      <w:r>
        <w:t xml:space="preserve"> </w:t>
      </w:r>
      <w:r>
        <w:t xml:space="preserve">carry a</w:t>
      </w:r>
      <w:r>
        <w:t xml:space="preserve"> </w:t>
      </w:r>
      <w:r>
        <w:t xml:space="preserve">“</w:t>
      </w:r>
      <w:r>
        <w:t xml:space="preserve">legal authority reference</w:t>
      </w:r>
      <w:r>
        <w:t xml:space="preserve">”</w:t>
      </w:r>
      <w:r>
        <w:t xml:space="preserve"> </w:t>
      </w:r>
      <w:r>
        <w:t xml:space="preserve">field specifically so an inspector records which statute or regulation authorizes that particular inspection — standard practice for compliance visits under Act 703 and its subordinate regulations.</w:t>
      </w:r>
    </w:p>
    <w:p>
      <w:pPr>
        <w:numPr>
          <w:ilvl w:val="0"/>
          <w:numId w:val="1002"/>
        </w:numPr>
        <w:pStyle w:val="Compact"/>
      </w:pPr>
      <w:r>
        <w:rPr>
          <w:b/>
        </w:rPr>
        <w:t xml:space="preserve">Illegal mining reporting</w:t>
      </w:r>
      <w:r>
        <w:t xml:space="preserve"> </w:t>
      </w:r>
      <w:r>
        <w:t xml:space="preserve">exists because unlicensed artisanal/small-scale mining (</w:t>
      </w:r>
      <w:r>
        <w:t xml:space="preserve">“</w:t>
      </w:r>
      <w:r>
        <w:t xml:space="preserve">galamsey</w:t>
      </w:r>
      <w:r>
        <w:t xml:space="preserve">”</w:t>
      </w:r>
      <w:r>
        <w:t xml:space="preserve">) is a major, ongoing enforcement priority in Ghana, historically under the Small-Scale Gold Mining Law of 1989 and Act 703, and more recently under intensified state operations (Operation Vanguard, Operation Halt, Galamstop) run through the Minerals Commission and security services. The app’s report feature gives ordinary site staff and buyers a direct channel to flag suspected illegal activity for government follow-up.</w:t>
      </w:r>
    </w:p>
    <w:p>
      <w:pPr>
        <w:pStyle w:val="Heading1"/>
      </w:pPr>
      <w:bookmarkStart w:id="29" w:name="mineral-inventory-section"/>
      <w:r>
        <w:t xml:space="preserve">3. Mineral Inventory Section</w:t>
      </w:r>
      <w:bookmarkEnd w:id="29"/>
    </w:p>
    <w:p>
      <w:pPr>
        <w:pStyle w:val="Heading2"/>
      </w:pPr>
      <w:bookmarkStart w:id="30" w:name="what-it-does-2"/>
      <w:r>
        <w:t xml:space="preserve">What it does</w:t>
      </w:r>
      <w:bookmarkEnd w:id="30"/>
    </w:p>
    <w:p>
      <w:pPr>
        <w:pStyle w:val="FirstParagraph"/>
      </w:pPr>
      <w:r>
        <w:t xml:space="preserve">Tracks how much of each mineral a site has on hand, and every movement in or out of that stock.</w:t>
      </w:r>
    </w:p>
    <w:p>
      <w:pPr>
        <w:numPr>
          <w:ilvl w:val="0"/>
          <w:numId w:val="1003"/>
        </w:numPr>
        <w:pStyle w:val="Compact"/>
      </w:pPr>
      <w:r>
        <w:rPr>
          <w:b/>
        </w:rPr>
        <w:t xml:space="preserve">Site inventory</w:t>
      </w:r>
      <w:r>
        <w:t xml:space="preserve"> </w:t>
      </w:r>
      <w:r>
        <w:t xml:space="preserve">— current on-hand quantity per mineral type at the supervisor’s site, visible to supervisors and safety officers.</w:t>
      </w:r>
    </w:p>
    <w:p>
      <w:pPr>
        <w:numPr>
          <w:ilvl w:val="0"/>
          <w:numId w:val="1003"/>
        </w:numPr>
        <w:pStyle w:val="Compact"/>
      </w:pPr>
      <w:r>
        <w:rPr>
          <w:b/>
        </w:rPr>
        <w:t xml:space="preserve">Inventory history</w:t>
      </w:r>
      <w:r>
        <w:t xml:space="preserve"> </w:t>
      </w:r>
      <w:r>
        <w:t xml:space="preserve">— a full paginated transaction log (additions/removals) for the site.</w:t>
      </w:r>
    </w:p>
    <w:p>
      <w:pPr>
        <w:numPr>
          <w:ilvl w:val="0"/>
          <w:numId w:val="1003"/>
        </w:numPr>
        <w:pStyle w:val="Compact"/>
      </w:pPr>
      <w:r>
        <w:rPr>
          <w:b/>
        </w:rPr>
        <w:t xml:space="preserve">Worker contributions</w:t>
      </w:r>
      <w:r>
        <w:t xml:space="preserve"> </w:t>
      </w:r>
      <w:r>
        <w:t xml:space="preserve">— individual workers can see their own logged contributions to inventory (e.g., extraction volumes they’re responsible for), which is also what feeds pay calculations (see Section 4).</w:t>
      </w:r>
    </w:p>
    <w:p>
      <w:pPr>
        <w:numPr>
          <w:ilvl w:val="0"/>
          <w:numId w:val="1003"/>
        </w:numPr>
        <w:pStyle w:val="Compact"/>
      </w:pPr>
      <w:r>
        <w:rPr>
          <w:b/>
        </w:rPr>
        <w:t xml:space="preserve">Public/guest visibility (opt-in)</w:t>
      </w:r>
      <w:r>
        <w:t xml:space="preserve"> </w:t>
      </w:r>
      <w:r>
        <w:t xml:space="preserve">— a site can choose to expose its current inventory to guest users (e.g., community members, visitors) via a site-level toggle (</w:t>
      </w:r>
      <w:r>
        <w:rPr>
          <w:rStyle w:val="VerbatimChar"/>
        </w:rPr>
        <w:t xml:space="preserve">inventoryVisibleToGuests</w:t>
      </w:r>
      <w:r>
        <w:t xml:space="preserve">). If a site hasn’t opted in, guest requests are blocked outright.</w:t>
      </w:r>
    </w:p>
    <w:p>
      <w:pPr>
        <w:numPr>
          <w:ilvl w:val="0"/>
          <w:numId w:val="1003"/>
        </w:numPr>
        <w:pStyle w:val="Compact"/>
      </w:pPr>
      <w:r>
        <w:rPr>
          <w:b/>
        </w:rPr>
        <w:t xml:space="preserve">National rollup</w:t>
      </w:r>
      <w:r>
        <w:t xml:space="preserve"> </w:t>
      </w:r>
      <w:r>
        <w:t xml:space="preserve">— government users see inventory across every registered site in one view, grouped by site, as a national picture of mineral stock.</w:t>
      </w:r>
    </w:p>
    <w:p>
      <w:pPr>
        <w:pStyle w:val="Heading2"/>
      </w:pPr>
      <w:bookmarkStart w:id="31" w:name="roles-2"/>
      <w:r>
        <w:t xml:space="preserve">Roles</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Can do</w:t>
            </w:r>
          </w:p>
        </w:tc>
      </w:tr>
      <w:tr>
        <w:tc>
          <w:p>
            <w:pPr>
              <w:pStyle w:val="Compact"/>
              <w:jc w:val="left"/>
            </w:pPr>
            <w:r>
              <w:t xml:space="preserve">Supervisor / Safety Officer</w:t>
            </w:r>
          </w:p>
        </w:tc>
        <w:tc>
          <w:p>
            <w:pPr>
              <w:pStyle w:val="Compact"/>
              <w:jc w:val="left"/>
            </w:pPr>
            <w:r>
              <w:t xml:space="preserve">View site inventory and transaction history</w:t>
            </w:r>
          </w:p>
        </w:tc>
      </w:tr>
      <w:tr>
        <w:tc>
          <w:p>
            <w:pPr>
              <w:pStyle w:val="Compact"/>
              <w:jc w:val="left"/>
            </w:pPr>
            <w:r>
              <w:t xml:space="preserve">Worker</w:t>
            </w:r>
          </w:p>
        </w:tc>
        <w:tc>
          <w:p>
            <w:pPr>
              <w:pStyle w:val="Compact"/>
              <w:jc w:val="left"/>
            </w:pPr>
            <w:r>
              <w:t xml:space="preserve">View their own contribution history</w:t>
            </w:r>
          </w:p>
        </w:tc>
      </w:tr>
      <w:tr>
        <w:tc>
          <w:p>
            <w:pPr>
              <w:pStyle w:val="Compact"/>
              <w:jc w:val="left"/>
            </w:pPr>
            <w:r>
              <w:t xml:space="preserve">Guest</w:t>
            </w:r>
          </w:p>
        </w:tc>
        <w:tc>
          <w:p>
            <w:pPr>
              <w:pStyle w:val="Compact"/>
              <w:jc w:val="left"/>
            </w:pPr>
            <w:r>
              <w:t xml:space="preserve">View site inventory only if that site has opted in</w:t>
            </w:r>
          </w:p>
        </w:tc>
      </w:tr>
      <w:tr>
        <w:tc>
          <w:p>
            <w:pPr>
              <w:pStyle w:val="Compact"/>
              <w:jc w:val="left"/>
            </w:pPr>
            <w:r>
              <w:t xml:space="preserve">Government</w:t>
            </w:r>
          </w:p>
        </w:tc>
        <w:tc>
          <w:p>
            <w:pPr>
              <w:pStyle w:val="Compact"/>
              <w:jc w:val="left"/>
            </w:pPr>
            <w:r>
              <w:t xml:space="preserve">View national inventory rollup across all sites</w:t>
            </w:r>
          </w:p>
        </w:tc>
      </w:tr>
    </w:tbl>
    <w:p>
      <w:pPr>
        <w:pStyle w:val="Heading2"/>
      </w:pPr>
      <w:bookmarkStart w:id="32" w:name="why-it-matters"/>
      <w:r>
        <w:t xml:space="preserve">Why it matters</w:t>
      </w:r>
      <w:bookmarkEnd w:id="32"/>
    </w:p>
    <w:p>
      <w:pPr>
        <w:pStyle w:val="FirstParagraph"/>
      </w:pPr>
      <w:r>
        <w:t xml:space="preserve">This is the data source both the Marketplace (what’s available to list) and the Regulatory dashboard (what’s produced, nationally) draw from. It’s also explicitly labeled</w:t>
      </w:r>
      <w:r>
        <w:t xml:space="preserve"> </w:t>
      </w:r>
      <w:r>
        <w:t xml:space="preserve">“</w:t>
      </w:r>
      <w:r>
        <w:t xml:space="preserve">self-reported</w:t>
      </w:r>
      <w:r>
        <w:t xml:space="preserve">”</w:t>
      </w:r>
      <w:r>
        <w:t xml:space="preserve"> </w:t>
      </w:r>
      <w:r>
        <w:t xml:space="preserve">to government users — it’s a transparency and coordination tool, not an independently audited stock count.</w:t>
      </w:r>
    </w:p>
    <w:p>
      <w:pPr>
        <w:pStyle w:val="Heading1"/>
      </w:pPr>
      <w:bookmarkStart w:id="33" w:name="pay-billing-section"/>
      <w:r>
        <w:t xml:space="preserve">4. Pay &amp; Billing Section</w:t>
      </w:r>
      <w:bookmarkEnd w:id="33"/>
    </w:p>
    <w:p>
      <w:pPr>
        <w:pStyle w:val="FirstParagraph"/>
      </w:pPr>
      <w:r>
        <w:t xml:space="preserve">This section actually covers two distinct kinds of money movement: paying workers, and the site’s own subscription to MineOps.</w:t>
      </w:r>
    </w:p>
    <w:p>
      <w:pPr>
        <w:pStyle w:val="Heading2"/>
      </w:pPr>
      <w:bookmarkStart w:id="34" w:name="worker-pay-cycles"/>
      <w:r>
        <w:t xml:space="preserve">4.1 Worker pay cycles</w:t>
      </w:r>
      <w:bookmarkEnd w:id="34"/>
    </w:p>
    <w:p>
      <w:pPr>
        <w:pStyle w:val="FirstParagraph"/>
      </w:pPr>
      <w:r>
        <w:rPr>
          <w:b/>
        </w:rPr>
        <w:t xml:space="preserve">The lifecycle:</w:t>
      </w:r>
    </w:p>
    <w:p>
      <w:pPr>
        <w:numPr>
          <w:ilvl w:val="0"/>
          <w:numId w:val="1004"/>
        </w:numPr>
      </w:pPr>
      <w:r>
        <w:rPr>
          <w:b/>
        </w:rPr>
        <w:t xml:space="preserve">Preview</w:t>
      </w:r>
      <w:r>
        <w:t xml:space="preserve"> </w:t>
      </w:r>
      <w:r>
        <w:t xml:space="preserve">— a supervisor picks a mineral type, a date range, and a price per unit. The system pulls every approved-but-unpaid shift log for that mineral/period, totals the volume extracted, and computes a gross total (volume × price). This creates a</w:t>
      </w:r>
      <w:r>
        <w:t xml:space="preserve"> </w:t>
      </w:r>
      <w:r>
        <w:rPr>
          <w:rStyle w:val="VerbatimChar"/>
        </w:rPr>
        <w:t xml:space="preserve">DRAFT</w:t>
      </w:r>
      <w:r>
        <w:t xml:space="preserve"> </w:t>
      </w:r>
      <w:r>
        <w:t xml:space="preserve">pay cycle. Re-previewing the same site/period/mineral silently replaces the previous draft, so there’s never a duplicate draft sitting around.</w:t>
      </w:r>
    </w:p>
    <w:p>
      <w:pPr>
        <w:numPr>
          <w:ilvl w:val="0"/>
          <w:numId w:val="1004"/>
        </w:numPr>
      </w:pPr>
      <w:r>
        <w:rPr>
          <w:b/>
        </w:rPr>
        <w:t xml:space="preserve">Splitting the gross total between workers</w:t>
      </w:r>
      <w:r>
        <w:t xml:space="preserve"> </w:t>
      </w:r>
      <w:r>
        <w:t xml:space="preserve">happens by one of two formulas, configured per site:</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Formula</w:t>
            </w:r>
          </w:p>
        </w:tc>
        <w:tc>
          <w:tcPr>
            <w:tcBorders>
              <w:bottom w:val="single"/>
            </w:tcBorders>
            <w:vAlign w:val="bottom"/>
          </w:tcPr>
          <w:p>
            <w:pPr>
              <w:numPr>
                <w:ilvl w:val="0"/>
                <w:numId w:val="1000"/>
              </w:numPr>
              <w:pStyle w:val="Compact"/>
              <w:jc w:val="left"/>
            </w:pPr>
            <w:r>
              <w:t xml:space="preserve">How it splits</w:t>
            </w:r>
          </w:p>
        </w:tc>
      </w:tr>
      <w:tr>
        <w:tc>
          <w:p>
            <w:pPr>
              <w:numPr>
                <w:ilvl w:val="0"/>
                <w:numId w:val="1000"/>
              </w:numPr>
              <w:pStyle w:val="Compact"/>
              <w:jc w:val="left"/>
            </w:pPr>
            <w:r>
              <w:t xml:space="preserve">EQUAL_PER_HEAD</w:t>
            </w:r>
          </w:p>
        </w:tc>
        <w:tc>
          <w:p>
            <w:pPr>
              <w:numPr>
                <w:ilvl w:val="0"/>
                <w:numId w:val="1000"/>
              </w:numPr>
              <w:pStyle w:val="Compact"/>
              <w:jc w:val="left"/>
            </w:pPr>
            <w:r>
              <w:t xml:space="preserve">Gross total divided evenly across every worker with a qualifying shift log</w:t>
            </w:r>
          </w:p>
        </w:tc>
      </w:tr>
      <w:tr>
        <w:tc>
          <w:p>
            <w:pPr>
              <w:numPr>
                <w:ilvl w:val="0"/>
                <w:numId w:val="1000"/>
              </w:numPr>
              <w:pStyle w:val="Compact"/>
              <w:jc w:val="left"/>
            </w:pPr>
            <w:r>
              <w:t xml:space="preserve">WEIGHTED_BY_HOURS</w:t>
            </w:r>
          </w:p>
        </w:tc>
        <w:tc>
          <w:p>
            <w:pPr>
              <w:numPr>
                <w:ilvl w:val="0"/>
                <w:numId w:val="1000"/>
              </w:numPr>
              <w:pStyle w:val="Compact"/>
              <w:jc w:val="left"/>
            </w:pPr>
            <w:r>
              <w:t xml:space="preserve">Split proportionally to each worker’s actual clocked hours in the period (from attendance records); a worker with no attendance record defaults to an assumed 8-hour day</w:t>
            </w:r>
          </w:p>
        </w:tc>
      </w:tr>
    </w:tbl>
    <w:p>
      <w:pPr>
        <w:numPr>
          <w:ilvl w:val="0"/>
          <w:numId w:val="1004"/>
        </w:numPr>
      </w:pPr>
      <w:r>
        <w:rPr>
          <w:b/>
        </w:rPr>
        <w:t xml:space="preserve">Insurance deduction</w:t>
      </w:r>
      <w:r>
        <w:t xml:space="preserve"> </w:t>
      </w:r>
      <w:r>
        <w:t xml:space="preserve">— if the site has worker insurance enabled and set to</w:t>
      </w:r>
      <w:r>
        <w:t xml:space="preserve"> </w:t>
      </w:r>
      <w:r>
        <w:t xml:space="preserve">“</w:t>
      </w:r>
      <w:r>
        <w:t xml:space="preserve">deduct from pay,</w:t>
      </w:r>
      <w:r>
        <w:t xml:space="preserve">”</w:t>
      </w:r>
      <w:r>
        <w:t xml:space="preserve"> </w:t>
      </w:r>
      <w:r>
        <w:t xml:space="preserve">any worker enrolled in insurance has the site’s premium amount subtracted from their share to arrive at net pay.</w:t>
      </w:r>
    </w:p>
    <w:p>
      <w:pPr>
        <w:numPr>
          <w:ilvl w:val="0"/>
          <w:numId w:val="1004"/>
        </w:numPr>
      </w:pPr>
      <w:r>
        <w:rPr>
          <w:b/>
        </w:rPr>
        <w:t xml:space="preserve">Two-person approval, enforced in code</w:t>
      </w:r>
      <w:r>
        <w:t xml:space="preserve"> </w:t>
      </w:r>
      <w:r>
        <w:t xml:space="preserve">— a pay cycle needs sign-off from two different people before money moves:</w:t>
      </w:r>
    </w:p>
    <w:p>
      <w:pPr>
        <w:numPr>
          <w:ilvl w:val="1"/>
          <w:numId w:val="1005"/>
        </w:numPr>
        <w:pStyle w:val="Compact"/>
      </w:pPr>
      <w:r>
        <w:t xml:space="preserve">First approval (</w:t>
      </w:r>
      <w:r>
        <w:t xml:space="preserve">“</w:t>
      </w:r>
      <w:r>
        <w:t xml:space="preserve">manager approved</w:t>
      </w:r>
      <w:r>
        <w:t xml:space="preserve">”</w:t>
      </w:r>
      <w:r>
        <w:t xml:space="preserve">) on a</w:t>
      </w:r>
      <w:r>
        <w:t xml:space="preserve"> </w:t>
      </w:r>
      <w:r>
        <w:rPr>
          <w:rStyle w:val="VerbatimChar"/>
        </w:rPr>
        <w:t xml:space="preserve">DRAFT</w:t>
      </w:r>
      <w:r>
        <w:t xml:space="preserve"> </w:t>
      </w:r>
      <w:r>
        <w:t xml:space="preserve">cycle.</w:t>
      </w:r>
    </w:p>
    <w:p>
      <w:pPr>
        <w:numPr>
          <w:ilvl w:val="1"/>
          <w:numId w:val="1005"/>
        </w:numPr>
        <w:pStyle w:val="Compact"/>
      </w:pPr>
      <w:r>
        <w:t xml:space="preserve">Second approval (</w:t>
      </w:r>
      <w:r>
        <w:t xml:space="preserve">“</w:t>
      </w:r>
      <w:r>
        <w:t xml:space="preserve">supervisor approved</w:t>
      </w:r>
      <w:r>
        <w:t xml:space="preserve">”</w:t>
      </w:r>
      <w:r>
        <w:t xml:space="preserve">) — the system explicitly rejects this if the same person who gave the first approval tries to give the second. This is a segregation-of-duties control: no single person can both approve and disburse a pay run alone.</w:t>
      </w:r>
    </w:p>
    <w:p>
      <w:pPr>
        <w:numPr>
          <w:ilvl w:val="0"/>
          <w:numId w:val="1004"/>
        </w:numPr>
      </w:pPr>
      <w:r>
        <w:rPr>
          <w:b/>
        </w:rPr>
        <w:t xml:space="preserve">Disbursement</w:t>
      </w:r>
      <w:r>
        <w:t xml:space="preserve"> </w:t>
      </w:r>
      <w:r>
        <w:t xml:space="preserve">— the second approval automatically triggers mobile money (MoMo) payout to every worker’s registered MoMo number/network. If any individual payout fails, that worker’s record is marked</w:t>
      </w:r>
      <w:r>
        <w:t xml:space="preserve"> </w:t>
      </w:r>
      <w:r>
        <w:rPr>
          <w:rStyle w:val="VerbatimChar"/>
        </w:rPr>
        <w:t xml:space="preserve">FAILED</w:t>
      </w:r>
      <w:r>
        <w:t xml:space="preserve"> </w:t>
      </w:r>
      <w:r>
        <w:t xml:space="preserve">with a reason, and the whole cycle is marked</w:t>
      </w:r>
      <w:r>
        <w:t xml:space="preserve"> </w:t>
      </w:r>
      <w:r>
        <w:rPr>
          <w:rStyle w:val="VerbatimChar"/>
        </w:rPr>
        <w:t xml:space="preserve">FAILED</w:t>
      </w:r>
      <w:r>
        <w:t xml:space="preserve"> </w:t>
      </w:r>
      <w:r>
        <w:t xml:space="preserve">(though successful payouts within it still went through) rather than silently hiding the failure.</w:t>
      </w:r>
    </w:p>
    <w:p>
      <w:pPr>
        <w:numPr>
          <w:ilvl w:val="0"/>
          <w:numId w:val="1004"/>
        </w:numPr>
      </w:pPr>
      <w:r>
        <w:t xml:space="preserve">Every step (preview, both approvals, disbursement outcome) is written to the audit log with the amounts involved.</w:t>
      </w:r>
    </w:p>
    <w:p>
      <w:pPr>
        <w:pStyle w:val="FirstParagraph"/>
      </w:pPr>
      <w:r>
        <w:t xml:space="preserve">Supervisors can view all pay cycles for their site, drill into any cycle’s worker-by-worker detail, and export a cycle to CSV (worker name, email, hours, gross share, insurance deduction, net pay, MoMo number/network).</w:t>
      </w:r>
    </w:p>
    <w:p>
      <w:pPr>
        <w:pStyle w:val="Heading2"/>
      </w:pPr>
      <w:bookmarkStart w:id="35" w:name="worker-insurance"/>
      <w:r>
        <w:t xml:space="preserve">4.2 Worker insurance</w:t>
      </w:r>
      <w:bookmarkEnd w:id="35"/>
    </w:p>
    <w:p>
      <w:pPr>
        <w:numPr>
          <w:ilvl w:val="0"/>
          <w:numId w:val="1006"/>
        </w:numPr>
        <w:pStyle w:val="Compact"/>
      </w:pPr>
      <w:r>
        <w:t xml:space="preserve">A site opts in to offering insurance (</w:t>
      </w:r>
      <w:r>
        <w:rPr>
          <w:rStyle w:val="VerbatimChar"/>
        </w:rPr>
        <w:t xml:space="preserve">insuranceEnabled</w:t>
      </w:r>
      <w:r>
        <w:t xml:space="preserve">), sets a provider name, a premium amount, and a deduction mode:</w:t>
      </w:r>
      <w:r>
        <w:t xml:space="preserve"> </w:t>
      </w:r>
      <w:r>
        <w:rPr>
          <w:b/>
        </w:rPr>
        <w:t xml:space="preserve">deduct from pay</w:t>
      </w:r>
      <w:r>
        <w:t xml:space="preserve"> </w:t>
      </w:r>
      <w:r>
        <w:t xml:space="preserve">(the worker’s premium comes out of their own pay cycle net, as above) or</w:t>
      </w:r>
      <w:r>
        <w:t xml:space="preserve"> </w:t>
      </w:r>
      <w:r>
        <w:rPr>
          <w:b/>
        </w:rPr>
        <w:t xml:space="preserve">bill to mine</w:t>
      </w:r>
      <w:r>
        <w:t xml:space="preserve"> </w:t>
      </w:r>
      <w:r>
        <w:t xml:space="preserve">(the site absorbs the cost, no worker deduction).</w:t>
      </w:r>
    </w:p>
    <w:p>
      <w:pPr>
        <w:numPr>
          <w:ilvl w:val="0"/>
          <w:numId w:val="1006"/>
        </w:numPr>
        <w:pStyle w:val="Compact"/>
      </w:pPr>
      <w:r>
        <w:t xml:space="preserve">A worker can check their status and self-enroll if their site has insurance enabled; the app blocks a second enrollment attempt if already</w:t>
      </w:r>
      <w:r>
        <w:t xml:space="preserve"> </w:t>
      </w:r>
      <w:r>
        <w:rPr>
          <w:rStyle w:val="VerbatimChar"/>
        </w:rPr>
        <w:t xml:space="preserve">INSURED</w:t>
      </w:r>
      <w:r>
        <w:t xml:space="preserve">.</w:t>
      </w:r>
    </w:p>
    <w:p>
      <w:pPr>
        <w:numPr>
          <w:ilvl w:val="0"/>
          <w:numId w:val="1006"/>
        </w:numPr>
        <w:pStyle w:val="Compact"/>
      </w:pPr>
      <w:r>
        <w:t xml:space="preserve">Enrollment is delegated to an insurance-provider integration (</w:t>
      </w:r>
      <w:r>
        <w:rPr>
          <w:rStyle w:val="VerbatimChar"/>
        </w:rPr>
        <w:t xml:space="preserve">InsuranceProviderService</w:t>
      </w:r>
      <w:r>
        <w:t xml:space="preserve">) rather than being computed locally, so the actual coverage is administered by a real insurer, not simulated in-app.</w:t>
      </w:r>
    </w:p>
    <w:p>
      <w:pPr>
        <w:pStyle w:val="Heading2"/>
      </w:pPr>
      <w:bookmarkStart w:id="36" w:name="site-subscription-billing"/>
      <w:r>
        <w:t xml:space="preserve">4.3 Site subscription &amp; billing</w:t>
      </w:r>
      <w:bookmarkEnd w:id="36"/>
    </w:p>
    <w:p>
      <w:pPr>
        <w:pStyle w:val="FirstParagraph"/>
      </w:pPr>
      <w:r>
        <w:t xml:space="preserve">Separate from worker pay, this is MineOps’ own billing relationship with the mine site:</w:t>
      </w:r>
    </w:p>
    <w:p>
      <w:pPr>
        <w:numPr>
          <w:ilvl w:val="0"/>
          <w:numId w:val="1007"/>
        </w:numPr>
        <w:pStyle w:val="Compact"/>
      </w:pPr>
      <w:r>
        <w:t xml:space="preserve">Published subscription tiers are visible to anyone.</w:t>
      </w:r>
    </w:p>
    <w:p>
      <w:pPr>
        <w:numPr>
          <w:ilvl w:val="0"/>
          <w:numId w:val="1007"/>
        </w:numPr>
        <w:pStyle w:val="Compact"/>
      </w:pPr>
      <w:r>
        <w:t xml:space="preserve">A supervisor can view their site’s current subscription (tier, status, period end).</w:t>
      </w:r>
    </w:p>
    <w:p>
      <w:pPr>
        <w:numPr>
          <w:ilvl w:val="0"/>
          <w:numId w:val="1007"/>
        </w:numPr>
        <w:pStyle w:val="Compact"/>
      </w:pPr>
      <w:r>
        <w:t xml:space="preserve">A supervisor records a payment against their subscription manually (amount in GHS, method, reference, period covered), which marks the subscription</w:t>
      </w:r>
      <w:r>
        <w:t xml:space="preserve"> </w:t>
      </w:r>
      <w:r>
        <w:rPr>
          <w:rStyle w:val="VerbatimChar"/>
        </w:rPr>
        <w:t xml:space="preserve">ACTIVE</w:t>
      </w:r>
      <w:r>
        <w:t xml:space="preserve"> </w:t>
      </w:r>
      <w:r>
        <w:t xml:space="preserve">through the new period-end date. This is a manually-recorded-payment model (e.g., bank transfer/MoMo confirmed offline), not an in-app card/payment processor integration.</w:t>
      </w:r>
    </w:p>
    <w:p>
      <w:pPr>
        <w:pStyle w:val="Heading2"/>
      </w:pPr>
      <w:bookmarkStart w:id="37" w:name="roles-3"/>
      <w:r>
        <w:t xml:space="preserve">Roles</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Can do</w:t>
            </w:r>
          </w:p>
        </w:tc>
      </w:tr>
      <w:tr>
        <w:tc>
          <w:p>
            <w:pPr>
              <w:pStyle w:val="Compact"/>
              <w:jc w:val="left"/>
            </w:pPr>
            <w:r>
              <w:t xml:space="preserve">Supervisor</w:t>
            </w:r>
          </w:p>
        </w:tc>
        <w:tc>
          <w:p>
            <w:pPr>
              <w:pStyle w:val="Compact"/>
              <w:jc w:val="left"/>
            </w:pPr>
            <w:r>
              <w:t xml:space="preserve">Preview/approve pay cycles (as a different person for each approval), configure split formula and insurance settings, record subscription payments, export CSVs</w:t>
            </w:r>
          </w:p>
        </w:tc>
      </w:tr>
      <w:tr>
        <w:tc>
          <w:p>
            <w:pPr>
              <w:pStyle w:val="Compact"/>
              <w:jc w:val="left"/>
            </w:pPr>
            <w:r>
              <w:t xml:space="preserve">Worker</w:t>
            </w:r>
          </w:p>
        </w:tc>
        <w:tc>
          <w:p>
            <w:pPr>
              <w:pStyle w:val="Compact"/>
              <w:jc w:val="left"/>
            </w:pPr>
            <w:r>
              <w:t xml:space="preserve">View own pay history, enroll in insurance if offered</w:t>
            </w:r>
          </w:p>
        </w:tc>
      </w:tr>
      <w:tr>
        <w:tc>
          <w:p>
            <w:pPr>
              <w:pStyle w:val="Compact"/>
              <w:jc w:val="left"/>
            </w:pPr>
            <w:r>
              <w:t xml:space="preserve">Safety Officer</w:t>
            </w:r>
          </w:p>
        </w:tc>
        <w:tc>
          <w:p>
            <w:pPr>
              <w:pStyle w:val="Compact"/>
              <w:jc w:val="left"/>
            </w:pPr>
            <w:r>
              <w:t xml:space="preserve">View/export pay cycle CSVs</w:t>
            </w:r>
          </w:p>
        </w:tc>
      </w:tr>
    </w:tbl>
    <w:p>
      <w:pPr>
        <w:pStyle w:val="Heading1"/>
      </w:pPr>
      <w:bookmarkStart w:id="38" w:name="Xfb9d61029eeabea7f395a6f191e5e2d9db48628"/>
      <w:r>
        <w:t xml:space="preserve">Appendix: Real-World Legal Framework Referenced</w:t>
      </w:r>
      <w:bookmarkEnd w:id="38"/>
    </w:p>
    <w:p>
      <w:pPr>
        <w:pStyle w:val="FirstParagraph"/>
      </w:pPr>
      <w:r>
        <w:rPr>
          <w:b/>
        </w:rPr>
        <w:t xml:space="preserve">Ghana Gold Board Act, 2025 (Act 1140).</w:t>
      </w:r>
      <w:r>
        <w:t xml:space="preserve"> </w:t>
      </w:r>
      <w:r>
        <w:t xml:space="preserve">Passed by Parliament 29 March 2025, assented 2 April 2025, in force from 1 May 2025. It creates the Ghana Gold Board (</w:t>
      </w:r>
      <w:r>
        <w:t xml:space="preserve">“</w:t>
      </w:r>
      <w:r>
        <w:t xml:space="preserve">GoldBod</w:t>
      </w:r>
      <w:r>
        <w:t xml:space="preserve">”</w:t>
      </w:r>
      <w:r>
        <w:t xml:space="preserve">) as the sole licensing authority for the gold trading and marketing industry — covering aggregation, buying, selling, assaying, exporting, importing, refining, processing, and related value-addition — and the sole authorized exporter of all artisanal and small-scale mining (ASM) gold from Ghana. Anyone trading gold must hold a GoldBod license; operating without one is a criminal offence carrying a fine of GHC 600,000–2,400,000 or 5–10 years’ imprisonment for responsible officers. This is exactly what the Marketplace section enforces: no GoldBod license number on file, no offer accepted on a gold listing.</w:t>
      </w:r>
    </w:p>
    <w:p>
      <w:pPr>
        <w:pStyle w:val="BodyText"/>
      </w:pPr>
      <w:r>
        <w:rPr>
          <w:b/>
        </w:rPr>
        <w:t xml:space="preserve">Minerals and Mining Act, 2006 (Act 703).</w:t>
      </w:r>
      <w:r>
        <w:t xml:space="preserve"> </w:t>
      </w:r>
      <w:r>
        <w:t xml:space="preserve">Ghana’s primary mining law, governing how mineral rights (reconnaissance, prospecting, mining lease) are granted by the Minerals Commission, and requiring an environmental permit from the EPA — generally following an environmental impact assessment — before mining operations can lawfully proceed. The Regulatory section’s permit checklist (application submitted, EPA permit obtained, ministerial review) mirrors this approval chain directly.</w:t>
      </w:r>
    </w:p>
    <w:p>
      <w:pPr>
        <w:pStyle w:val="BodyText"/>
      </w:pPr>
      <w:r>
        <w:rPr>
          <w:b/>
        </w:rPr>
        <w:t xml:space="preserve">Small-Scale Gold Mining Law, 1989, and ongoing anti-</w:t>
      </w:r>
      <w:r>
        <w:rPr>
          <w:b/>
        </w:rPr>
        <w:t xml:space="preserve">“</w:t>
      </w:r>
      <w:r>
        <w:rPr>
          <w:b/>
        </w:rPr>
        <w:t xml:space="preserve">galamsey</w:t>
      </w:r>
      <w:r>
        <w:rPr>
          <w:b/>
        </w:rPr>
        <w:t xml:space="preserve">”</w:t>
      </w:r>
      <w:r>
        <w:rPr>
          <w:b/>
        </w:rPr>
        <w:t xml:space="preserve"> </w:t>
      </w:r>
      <w:r>
        <w:rPr>
          <w:b/>
        </w:rPr>
        <w:t xml:space="preserve">enforcement.</w:t>
      </w:r>
      <w:r>
        <w:t xml:space="preserve"> </w:t>
      </w:r>
      <w:r>
        <w:t xml:space="preserve">Alongside Act 703, this earlier law specifically governs small-scale/artisanal gold mining licensing. Unlicensed small-scale mining (</w:t>
      </w:r>
      <w:r>
        <w:t xml:space="preserve">“</w:t>
      </w:r>
      <w:r>
        <w:t xml:space="preserve">galamsey</w:t>
      </w:r>
      <w:r>
        <w:t xml:space="preserve">”</w:t>
      </w:r>
      <w:r>
        <w:t xml:space="preserve">) has been a persistent, high-profile enforcement problem in Ghana, addressed through state operations such as Operation Vanguard, Operation Halt, Operation Flush Out, and Galamstop, run by the Minerals Commission with security-service support. The app’s illegal mining report feature is a direct channel for site staff and the public to flag suspected unlicensed activity into that enforcement pipeline.</w:t>
      </w:r>
    </w:p>
    <w:p>
      <w:pPr>
        <w:pStyle w:val="BodyText"/>
      </w:pPr>
      <w:r>
        <w:rPr>
          <w:b/>
        </w:rPr>
        <w:t xml:space="preserve">A note on scope.</w:t>
      </w:r>
      <w:r>
        <w:t xml:space="preserve"> </w:t>
      </w:r>
      <w:r>
        <w:t xml:space="preserve">The Pay &amp; Billing section (worker pay disbursement, insurance) reflects sound internal-control practice — segregation of duties via two-person approval, transparent deduction reporting — rather than a specific named statute verified for this guide. If formal compliance citations are needed for payroll or insurance practices specifically, that would need separate legal research into Ghana’s Labour Act and relevant social-insurance regulations.</w:t>
      </w:r>
    </w:p>
    <w:p>
      <w:r>
        <w:pict>
          <v:rect style="width:0;height:1.5pt" o:hralign="center" o:hrstd="t" o:hr="t"/>
        </w:pict>
      </w:r>
    </w:p>
    <w:p>
      <w:pPr>
        <w:pStyle w:val="FirstParagraph"/>
      </w:pPr>
      <w:r>
        <w:t xml:space="preserve">Sources consulted for the legal framework summarized above:</w:t>
      </w:r>
    </w:p>
    <w:p>
      <w:pPr>
        <w:numPr>
          <w:ilvl w:val="0"/>
          <w:numId w:val="1008"/>
        </w:numPr>
        <w:pStyle w:val="Compact"/>
      </w:pPr>
      <w:hyperlink r:id="rId39">
        <w:r>
          <w:rPr>
            <w:rStyle w:val="Hyperlink"/>
          </w:rPr>
          <w:t xml:space="preserve">Analysis Of The Gold Board Act 2025 (Act 1140) — News Ghana</w:t>
        </w:r>
      </w:hyperlink>
    </w:p>
    <w:p>
      <w:pPr>
        <w:numPr>
          <w:ilvl w:val="0"/>
          <w:numId w:val="1008"/>
        </w:numPr>
        <w:pStyle w:val="Compact"/>
      </w:pPr>
      <w:hyperlink r:id="rId40">
        <w:r>
          <w:rPr>
            <w:rStyle w:val="Hyperlink"/>
          </w:rPr>
          <w:t xml:space="preserve">Ghana bans foreigners, individuals from local gold trading — Graphic Online</w:t>
        </w:r>
      </w:hyperlink>
    </w:p>
    <w:p>
      <w:pPr>
        <w:numPr>
          <w:ilvl w:val="0"/>
          <w:numId w:val="1008"/>
        </w:numPr>
        <w:pStyle w:val="Compact"/>
      </w:pPr>
      <w:hyperlink r:id="rId41">
        <w:r>
          <w:rPr>
            <w:rStyle w:val="Hyperlink"/>
          </w:rPr>
          <w:t xml:space="preserve">The Gold Board Act, 2025 (Act 1140): What Investors Must Know — Mondaq</w:t>
        </w:r>
      </w:hyperlink>
    </w:p>
    <w:p>
      <w:pPr>
        <w:numPr>
          <w:ilvl w:val="0"/>
          <w:numId w:val="1008"/>
        </w:numPr>
        <w:pStyle w:val="Compact"/>
      </w:pPr>
      <w:hyperlink r:id="rId42">
        <w:r>
          <w:rPr>
            <w:rStyle w:val="Hyperlink"/>
          </w:rPr>
          <w:t xml:space="preserve">Ghana Gold Board Act, 2025 — ICLG Briefing</w:t>
        </w:r>
      </w:hyperlink>
    </w:p>
    <w:p>
      <w:pPr>
        <w:numPr>
          <w:ilvl w:val="0"/>
          <w:numId w:val="1008"/>
        </w:numPr>
        <w:pStyle w:val="Compact"/>
      </w:pPr>
      <w:hyperlink r:id="rId43">
        <w:r>
          <w:rPr>
            <w:rStyle w:val="Hyperlink"/>
          </w:rPr>
          <w:t xml:space="preserve">Minerals and Mining Act, 2006 (Act 703) — Minerals Commission overview (PDF)</w:t>
        </w:r>
      </w:hyperlink>
    </w:p>
    <w:p>
      <w:pPr>
        <w:numPr>
          <w:ilvl w:val="0"/>
          <w:numId w:val="1008"/>
        </w:numPr>
        <w:pStyle w:val="Compact"/>
      </w:pPr>
      <w:hyperlink r:id="rId44">
        <w:r>
          <w:rPr>
            <w:rStyle w:val="Hyperlink"/>
          </w:rPr>
          <w:t xml:space="preserve">Minerals and Mining Act, 2006 (Act 703) — full text (PDF)</w:t>
        </w:r>
      </w:hyperlink>
    </w:p>
    <w:p>
      <w:pPr>
        <w:numPr>
          <w:ilvl w:val="0"/>
          <w:numId w:val="1008"/>
        </w:numPr>
        <w:pStyle w:val="Compact"/>
      </w:pPr>
      <w:hyperlink r:id="rId45">
        <w:r>
          <w:rPr>
            <w:rStyle w:val="Hyperlink"/>
          </w:rPr>
          <w:t xml:space="preserve">Ghana’s Illegal Gold Mining Crisis — Africa Center for Strategic Studies</w:t>
        </w:r>
      </w:hyperlink>
    </w:p>
    <w:p>
      <w:pPr>
        <w:numPr>
          <w:ilvl w:val="0"/>
          <w:numId w:val="1008"/>
        </w:numPr>
        <w:pStyle w:val="Compact"/>
      </w:pPr>
      <w:hyperlink r:id="rId46">
        <w:r>
          <w:rPr>
            <w:rStyle w:val="Hyperlink"/>
          </w:rPr>
          <w:t xml:space="preserve">Inside Ghana’s anti-galamsey drive — The Business &amp; Financial Times</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fricacenter.org/spotlight/galamsey-ghana-gold-mining-security/" TargetMode="External" /><Relationship Type="http://schemas.openxmlformats.org/officeDocument/2006/relationships/hyperlink" Id="rId42" Target="https://iclg.com/briefing/22549-ghana-gold-board-act-2025" TargetMode="External" /><Relationship Type="http://schemas.openxmlformats.org/officeDocument/2006/relationships/hyperlink" Id="rId39" Target="https://newsghana.com.gh/analysis-of-the-gold-board-act-2025-act-1140/" TargetMode="External" /><Relationship Type="http://schemas.openxmlformats.org/officeDocument/2006/relationships/hyperlink" Id="rId44" Target="https://resourcegovernance.org/sites/default/files/Minerals%20and%20Mining%20Act%20703%20Ghana.pdf" TargetMode="External" /><Relationship Type="http://schemas.openxmlformats.org/officeDocument/2006/relationships/hyperlink" Id="rId46" Target="https://thebftonline.com/2026/03/09/without-government-interventions-illegal-mining-will-fester-inside-ghanas-anti-galamsey-drive-how-the-minerals-commission-is-turning-manpower-into-enforcement-muscle/" TargetMode="External" /><Relationship Type="http://schemas.openxmlformats.org/officeDocument/2006/relationships/hyperlink" Id="rId40" Target="https://www.graphic.com.gh/news/general-news/goldbod-now-sole-buyer-seller-assayer-and-exporter-of-all-gold-produced-by-artisanal-small-scale-in-ghana.html" TargetMode="External" /><Relationship Type="http://schemas.openxmlformats.org/officeDocument/2006/relationships/hyperlink" Id="rId43" Target="https://www.mincom.gov.gh/wp-content/uploads/2021/06/Overview-of-Minerals-and-Mining-Act-2006-Act-703.pdf" TargetMode="External" /><Relationship Type="http://schemas.openxmlformats.org/officeDocument/2006/relationships/hyperlink" Id="rId41" Target="https://www.mondaq.com/contracts-and-commercial-law/1660174/the-gold-board-act-2025-act-1140-what-investors-must-know" TargetMode="External" /></Relationships>
</file>

<file path=word/_rels/footnotes.xml.rels><?xml version="1.0" encoding="UTF-8"?>
<Relationships xmlns="http://schemas.openxmlformats.org/package/2006/relationships"><Relationship Type="http://schemas.openxmlformats.org/officeDocument/2006/relationships/hyperlink" Id="rId45" Target="https://africacenter.org/spotlight/galamsey-ghana-gold-mining-security/" TargetMode="External" /><Relationship Type="http://schemas.openxmlformats.org/officeDocument/2006/relationships/hyperlink" Id="rId42" Target="https://iclg.com/briefing/22549-ghana-gold-board-act-2025" TargetMode="External" /><Relationship Type="http://schemas.openxmlformats.org/officeDocument/2006/relationships/hyperlink" Id="rId39" Target="https://newsghana.com.gh/analysis-of-the-gold-board-act-2025-act-1140/" TargetMode="External" /><Relationship Type="http://schemas.openxmlformats.org/officeDocument/2006/relationships/hyperlink" Id="rId44" Target="https://resourcegovernance.org/sites/default/files/Minerals%20and%20Mining%20Act%20703%20Ghana.pdf" TargetMode="External" /><Relationship Type="http://schemas.openxmlformats.org/officeDocument/2006/relationships/hyperlink" Id="rId46" Target="https://thebftonline.com/2026/03/09/without-government-interventions-illegal-mining-will-fester-inside-ghanas-anti-galamsey-drive-how-the-minerals-commission-is-turning-manpower-into-enforcement-muscle/" TargetMode="External" /><Relationship Type="http://schemas.openxmlformats.org/officeDocument/2006/relationships/hyperlink" Id="rId40" Target="https://www.graphic.com.gh/news/general-news/goldbod-now-sole-buyer-seller-assayer-and-exporter-of-all-gold-produced-by-artisanal-small-scale-in-ghana.html" TargetMode="External" /><Relationship Type="http://schemas.openxmlformats.org/officeDocument/2006/relationships/hyperlink" Id="rId43" Target="https://www.mincom.gov.gh/wp-content/uploads/2021/06/Overview-of-Minerals-and-Mining-Act-2006-Act-703.pdf" TargetMode="External" /><Relationship Type="http://schemas.openxmlformats.org/officeDocument/2006/relationships/hyperlink" Id="rId41" Target="https://www.mondaq.com/contracts-and-commercial-law/1660174/the-gold-board-act-2025-act-1140-what-investors-must-kn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MineOps Reference Guide</dc:title>
  <dc:creator>Prepared for MineOps</dc:creator>
  <cp:keywords/>
  <dcterms:created xsi:type="dcterms:W3CDTF">2026-07-22T08:33:05Z</dcterms:created>
  <dcterms:modified xsi:type="dcterms:W3CDTF">2026-07-22T08:33:05Z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