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12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BIOS/UEFI, SSD/NVMe, Notebook-Reparatur, USV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802.1X, RADIUS, NAC, EDR/XDR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Steuern, Abschreibung, Buchführung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BIOS, UEFI und Systemstart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neuer Arbeitsplatz-PC soll für den Unternehmenseinsatz konfiguriert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Windows 11 Pro Installation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Secure Boot aktiviert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TPM 2.0 für BitLocker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Boot-Reihenfolge: SSD first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BIOS-Passwort setzen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den Unterschied zwischen BIOS und UEFI. Nennen Sie je 3 Merkmale.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Secure Boot und welchen Schutz bietet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TPM (Trusted Platform Module) und dessen Funktion bei BitLocker.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Beschreiben Sie den Boot-Prozess bei UEFI (POST bis Windows-Start).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Probleme können auftreten, wenn ein altes OS auf einem UEFI-System installiert werden soll?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SSD-Technologien und Speichermedien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plant das Upgrade von HDDs auf SSDs für 100 Arbeitsplätze.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500 GB SATA-HDDs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Durchschnittliche Bootzeit: 90 Sekunden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Budget: 15.000€ für Storage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SATA-SSD und NVMe-SSD hinsichtlich Schnittstelle, Geschwindigkeit und Formfaktor.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Begriffe NAND-Flash, TLC, QLC und deren Bedeutung für Haltbarkeit.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TRIM und warum ist es wichtig für SSDs?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Berechnen Sie: 100 × 500GB SSD à 80€ oder 100 × 1TB SSD à 120€. Was empfehlen Sie?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kann eine HDD auf SSD geklont werden? Beschreiben Sie den Prozess.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Notebook-Hardware und Diagnose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Mitarbeiter-Notebook zeigt verschiedene Probleme.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Symptome: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Akku lädt nicht mehr vollständig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Display zeigt gelegentlich Streifen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Lüfter läuft dauerhaft auf Vollast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WLAN-Verbindung bricht ab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Erstellen Sie einen systematischen Diagnoseplan für die 4 genannten Probleme.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Welche Komponenten in Notebooks sind typischerweise austauschbar und welche verlötet?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die Funktion von Thermal Paste und wann sie erneuert werden sollte.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bedeuten die Akku-Begriffe: Ladezyklen, Kapazitätsverlust, Kalibrierung?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ESD-Schutzmaßnahmen müssen bei der Notebook-Reparatur beachtet werden?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Unterbrechungsfreie Stromversorgung (USV)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kleiner Serverraum soll mit einer USV abgesichert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Geräte: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2 Server à 500W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 Switch 50W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1 NAS 150W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Gewünschte Überbrückungszeit: 15 Minuten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drei USV-Typen: Offline, Line-Interactive und Online (Double-Conversion).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Berechnen Sie die benötigte USV-Kapazität in VA (Annahme: Leistungsfaktor 0,8).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VA und Watt bei USV-Angaben?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 die Funktion eines Überspannungsschutzes und Netzfilters in der USV.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wird eine USV in die Server-Infrastruktur integriert (Shutdown-Signalisierung)?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802.1X Port-basierte Authentifizierung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Ein Unternehmen möchte die Netzwerkzugangskontrolle verbessern.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Nur authentifizierte Geräte im Netzwerk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Unterschiedliche VLANs je nach Benutzerrolle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Gäste-Geräte in separates VLAN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Integration mit Active Directory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das 802.1X-Framework mit den Komponenten Supplicant, Authenticator, Authentication Server.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Wie funktioniert die Authentifizierung über EAP? Beschreiben Sie den Ablauf.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Vergleichen Sie EAP-TLS, PEAP und EAP-TTLS hinsichtlich Sicherheit und Komplexität.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Was ist dynamische VLAN-Zuweisung und wie wird sie konfiguriert?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werden Geräte ohne 802.1X-Unterstützung (Drucker, IoT) behandelt?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RADIUS-Server und AAA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Für die 802.1X-Implementierung wird ein RADIUS-Server benötigt.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Umgebung: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Windows Server mit NPS (Network Policy Server)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Active Directory Integration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WLAN und LAN Authentifizierung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Logging für Compliance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das AAA-Konzept: Authentication, Authorization, Accounting.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Wie funktioniert RADIUS? Beschreiben Sie den Kommunikationsablauf.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RADIUS und TACACS+?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wird NPS als RADIUS-Server konfiguriert? Nennen Sie die wichtigsten Schritte.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sind RADIUS-Attribute und wie werden sie für VLAN-Zuweisung verwendet?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Network Access Control (NAC)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Zusätzlich zu 802.1X soll eine NAC-Lösung den Sicherheitsstatus der Geräte prüfen.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Prüfung auf aktuellen Virenscanner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Prüfung auf Windows-Updates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Quarantäne-Netzwerk für nicht-konforme Geräte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Automatische Remediation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NAC und welche Ziele verfolgt es über 802.1X hinaus?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Pre-Admission und Post-Admission NAC.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ein Health Check / Posture Assessment und welche Kriterien werden geprüft?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Beschreiben Sie das Konzept eines Quarantäne-VLANs und Remediation-Portals.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Nennen Sie 2 NAC-Lösungen und deren Besonderheiten.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Endpoint Detection and Response (EDR/XDR)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Nach einem Ransomware-Vorfall soll die Endpoint-Security verbessert werden.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Aktuelle Situation: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Nur traditioneller Virenscanner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Keine Verhaltensanalyse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Kein zentrales Monitoring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Incident Response reaktiv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unterscheidet EDR von traditionellem Antivirus?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Erklären Sie die Kernfunktionen von EDR: Erkennung, Untersuchung, Reaktion.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der Unterschied zwischen EDR, XDR und MDR?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funktioniert verhaltensbasierte Erkennung (Behavioral Analysis)?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sind IOCs (Indicators of Compromise) und wie werden sie in EDR verwendet?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Ein Unternehmen kauft einen Server für 10.000€ netto. Welcher Betrag erscheint in der Bilanz?</w:t>
      </w:r>
    </w:p>
    <w:p>
      <w:pPr>
        <w:spacing w:after="80"/>
      </w:pPr>
      <w:r>
        <w:rPr>
          <w:sz w:val="18"/>
          <w:szCs w:val="18"/>
        </w:rPr>
        <w:t xml:space="preserve">A) 10.000€</w:t>
      </w:r>
    </w:p>
    <w:p>
      <w:pPr>
        <w:spacing w:after="80"/>
      </w:pPr>
      <w:r>
        <w:rPr>
          <w:sz w:val="18"/>
          <w:szCs w:val="18"/>
        </w:rPr>
        <w:t xml:space="preserve">B) 11.900€</w:t>
      </w:r>
    </w:p>
    <w:p>
      <w:pPr>
        <w:spacing w:after="80"/>
      </w:pPr>
      <w:r>
        <w:rPr>
          <w:sz w:val="18"/>
          <w:szCs w:val="18"/>
        </w:rPr>
        <w:t xml:space="preserve">C) 8.403€</w:t>
      </w:r>
    </w:p>
    <w:p>
      <w:pPr>
        <w:spacing w:after="80"/>
      </w:pPr>
      <w:r>
        <w:rPr>
          <w:sz w:val="18"/>
          <w:szCs w:val="18"/>
        </w:rPr>
        <w:t xml:space="preserve">D) 10.000€ abzüglich erster AfA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2. Ein PC wird linear über 3 Jahre abgeschrieben. Anschaffungskosten 3.600€. Wie hoch ist die jährliche AfA?</w:t>
      </w:r>
    </w:p>
    <w:p>
      <w:pPr>
        <w:spacing w:after="80"/>
      </w:pPr>
      <w:r>
        <w:rPr>
          <w:sz w:val="18"/>
          <w:szCs w:val="18"/>
        </w:rPr>
        <w:t xml:space="preserve">A) 1.000€</w:t>
      </w:r>
    </w:p>
    <w:p>
      <w:pPr>
        <w:spacing w:after="80"/>
      </w:pPr>
      <w:r>
        <w:rPr>
          <w:sz w:val="18"/>
          <w:szCs w:val="18"/>
        </w:rPr>
        <w:t xml:space="preserve">B) 1.200€</w:t>
      </w:r>
    </w:p>
    <w:p>
      <w:pPr>
        <w:spacing w:after="80"/>
      </w:pPr>
      <w:r>
        <w:rPr>
          <w:sz w:val="18"/>
          <w:szCs w:val="18"/>
        </w:rPr>
        <w:t xml:space="preserve">C) 1.800€</w:t>
      </w:r>
    </w:p>
    <w:p>
      <w:pPr>
        <w:spacing w:after="80"/>
      </w:pPr>
      <w:r>
        <w:rPr>
          <w:sz w:val="18"/>
          <w:szCs w:val="18"/>
        </w:rPr>
        <w:t xml:space="preserve">D) 3.600€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3. Welche Steuer ist KEINE Betriebsausgabe für ein Unternehmen?</w:t>
      </w:r>
    </w:p>
    <w:p>
      <w:pPr>
        <w:spacing w:after="80"/>
      </w:pPr>
      <w:r>
        <w:rPr>
          <w:sz w:val="18"/>
          <w:szCs w:val="18"/>
        </w:rPr>
        <w:t xml:space="preserve">A) Gewerbesteuer</w:t>
      </w:r>
    </w:p>
    <w:p>
      <w:pPr>
        <w:spacing w:after="80"/>
      </w:pPr>
      <w:r>
        <w:rPr>
          <w:sz w:val="18"/>
          <w:szCs w:val="18"/>
        </w:rPr>
        <w:t xml:space="preserve">B) Körperschaftsteuer</w:t>
      </w:r>
    </w:p>
    <w:p>
      <w:pPr>
        <w:spacing w:after="80"/>
      </w:pPr>
      <w:r>
        <w:rPr>
          <w:sz w:val="18"/>
          <w:szCs w:val="18"/>
        </w:rPr>
        <w:t xml:space="preserve">C) Umsatzsteuer (Vorsteuer)</w:t>
      </w:r>
    </w:p>
    <w:p>
      <w:pPr>
        <w:spacing w:after="80"/>
      </w:pPr>
      <w:r>
        <w:rPr>
          <w:sz w:val="18"/>
          <w:szCs w:val="18"/>
        </w:rPr>
        <w:t xml:space="preserve">D) Grundsteuer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4. Was bedeutet der Begriff 'Vorsteuer'?</w:t>
      </w:r>
    </w:p>
    <w:p>
      <w:pPr>
        <w:spacing w:after="80"/>
      </w:pPr>
      <w:r>
        <w:rPr>
          <w:sz w:val="18"/>
          <w:szCs w:val="18"/>
        </w:rPr>
        <w:t xml:space="preserve">A) Steuer die vor Geschäftseröffnung gezahlt wird</w:t>
      </w:r>
    </w:p>
    <w:p>
      <w:pPr>
        <w:spacing w:after="80"/>
      </w:pPr>
      <w:r>
        <w:rPr>
          <w:sz w:val="18"/>
          <w:szCs w:val="18"/>
        </w:rPr>
        <w:t xml:space="preserve">B) Umsatzsteuer die das Unternehmen beim Einkauf bezahlt</w:t>
      </w:r>
    </w:p>
    <w:p>
      <w:pPr>
        <w:spacing w:after="80"/>
      </w:pPr>
      <w:r>
        <w:rPr>
          <w:sz w:val="18"/>
          <w:szCs w:val="18"/>
        </w:rPr>
        <w:t xml:space="preserve">C) Vorauszahlung auf die Einkommensteuer</w:t>
      </w:r>
    </w:p>
    <w:p>
      <w:pPr>
        <w:spacing w:after="80"/>
      </w:pPr>
      <w:r>
        <w:rPr>
          <w:sz w:val="18"/>
          <w:szCs w:val="18"/>
        </w:rPr>
        <w:t xml:space="preserve">D) Steuer auf Vorauszahlungen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5. Ein Unternehmen hat 50.000€ Umsatzsteuer eingenommen und 30.000€ Vorsteuer bezahlt. Was wird ans Finanzamt abgeführt?</w:t>
      </w:r>
    </w:p>
    <w:p>
      <w:pPr>
        <w:spacing w:after="80"/>
      </w:pPr>
      <w:r>
        <w:rPr>
          <w:sz w:val="18"/>
          <w:szCs w:val="18"/>
        </w:rPr>
        <w:t xml:space="preserve">A) 50.000€</w:t>
      </w:r>
    </w:p>
    <w:p>
      <w:pPr>
        <w:spacing w:after="80"/>
      </w:pPr>
      <w:r>
        <w:rPr>
          <w:sz w:val="18"/>
          <w:szCs w:val="18"/>
        </w:rPr>
        <w:t xml:space="preserve">B) 30.000€</w:t>
      </w:r>
    </w:p>
    <w:p>
      <w:pPr>
        <w:spacing w:after="80"/>
      </w:pPr>
      <w:r>
        <w:rPr>
          <w:sz w:val="18"/>
          <w:szCs w:val="18"/>
        </w:rPr>
        <w:t xml:space="preserve">C) 20.000€</w:t>
      </w:r>
    </w:p>
    <w:p>
      <w:pPr>
        <w:spacing w:after="80"/>
      </w:pPr>
      <w:r>
        <w:rPr>
          <w:sz w:val="18"/>
          <w:szCs w:val="18"/>
        </w:rPr>
        <w:t xml:space="preserve">D) 80.000€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6. Welcher Buchungssatz ist korrekt für den Kauf von Büromaterial auf Rechnung?</w:t>
      </w:r>
    </w:p>
    <w:p>
      <w:pPr>
        <w:spacing w:after="80"/>
      </w:pPr>
      <w:r>
        <w:rPr>
          <w:sz w:val="18"/>
          <w:szCs w:val="18"/>
        </w:rPr>
        <w:t xml:space="preserve">A) Büromaterial an Kasse</w:t>
      </w:r>
    </w:p>
    <w:p>
      <w:pPr>
        <w:spacing w:after="80"/>
      </w:pPr>
      <w:r>
        <w:rPr>
          <w:sz w:val="18"/>
          <w:szCs w:val="18"/>
        </w:rPr>
        <w:t xml:space="preserve">B) Büromaterial an Verbindlichkeiten</w:t>
      </w:r>
    </w:p>
    <w:p>
      <w:pPr>
        <w:spacing w:after="80"/>
      </w:pPr>
      <w:r>
        <w:rPr>
          <w:sz w:val="18"/>
          <w:szCs w:val="18"/>
        </w:rPr>
        <w:t xml:space="preserve">C) Verbindlichkeiten an Büromaterial</w:t>
      </w:r>
    </w:p>
    <w:p>
      <w:pPr>
        <w:spacing w:after="80"/>
      </w:pPr>
      <w:r>
        <w:rPr>
          <w:sz w:val="18"/>
          <w:szCs w:val="18"/>
        </w:rPr>
        <w:t xml:space="preserve">D) Kasse an Büromaterial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7. Was gehört zu den Anschaffungsnebenkosten bei einem Server-Kauf?</w:t>
      </w:r>
    </w:p>
    <w:p>
      <w:pPr>
        <w:spacing w:after="80"/>
      </w:pPr>
      <w:r>
        <w:rPr>
          <w:sz w:val="18"/>
          <w:szCs w:val="18"/>
        </w:rPr>
        <w:t xml:space="preserve">A) Wartungsvertrag</w:t>
      </w:r>
    </w:p>
    <w:p>
      <w:pPr>
        <w:spacing w:after="80"/>
      </w:pPr>
      <w:r>
        <w:rPr>
          <w:sz w:val="18"/>
          <w:szCs w:val="18"/>
        </w:rPr>
        <w:t xml:space="preserve">B) Transportkosten und Installation</w:t>
      </w:r>
    </w:p>
    <w:p>
      <w:pPr>
        <w:spacing w:after="80"/>
      </w:pPr>
      <w:r>
        <w:rPr>
          <w:sz w:val="18"/>
          <w:szCs w:val="18"/>
        </w:rPr>
        <w:t xml:space="preserve">C) Stromkosten im ersten Jahr</w:t>
      </w:r>
    </w:p>
    <w:p>
      <w:pPr>
        <w:spacing w:after="80"/>
      </w:pPr>
      <w:r>
        <w:rPr>
          <w:sz w:val="18"/>
          <w:szCs w:val="18"/>
        </w:rPr>
        <w:t xml:space="preserve">D) Schulung der Mitarbeiter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8. Ein Wirtschaftsgut kostet 800€ netto. Wie wird es behandelt?</w:t>
      </w:r>
    </w:p>
    <w:p>
      <w:pPr>
        <w:spacing w:after="80"/>
      </w:pPr>
      <w:r>
        <w:rPr>
          <w:sz w:val="18"/>
          <w:szCs w:val="18"/>
        </w:rPr>
        <w:t xml:space="preserve">A) Sofort als Betriebsausgabe abziehen (GWG)</w:t>
      </w:r>
    </w:p>
    <w:p>
      <w:pPr>
        <w:spacing w:after="80"/>
      </w:pPr>
      <w:r>
        <w:rPr>
          <w:sz w:val="18"/>
          <w:szCs w:val="18"/>
        </w:rPr>
        <w:t xml:space="preserve">B) Über 3 Jahre abschreiben</w:t>
      </w:r>
    </w:p>
    <w:p>
      <w:pPr>
        <w:spacing w:after="80"/>
      </w:pPr>
      <w:r>
        <w:rPr>
          <w:sz w:val="18"/>
          <w:szCs w:val="18"/>
        </w:rPr>
        <w:t xml:space="preserve">C) Über 5 Jahre abschreiben</w:t>
      </w:r>
    </w:p>
    <w:p>
      <w:pPr>
        <w:spacing w:after="80"/>
      </w:pPr>
      <w:r>
        <w:rPr>
          <w:sz w:val="18"/>
          <w:szCs w:val="18"/>
        </w:rPr>
        <w:t xml:space="preserve">D) In Sammelposten aufnehmen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9. Was versteht man unter 'doppelter Buchführung'?</w:t>
      </w:r>
    </w:p>
    <w:p>
      <w:pPr>
        <w:spacing w:after="80"/>
      </w:pPr>
      <w:r>
        <w:rPr>
          <w:sz w:val="18"/>
          <w:szCs w:val="18"/>
        </w:rPr>
        <w:t xml:space="preserve">A) Jeder Beleg wird zweimal erfasst</w:t>
      </w:r>
    </w:p>
    <w:p>
      <w:pPr>
        <w:spacing w:after="80"/>
      </w:pPr>
      <w:r>
        <w:rPr>
          <w:sz w:val="18"/>
          <w:szCs w:val="18"/>
        </w:rPr>
        <w:t xml:space="preserve">B) Jeder Geschäftsvorfall wird auf zwei Konten gebucht (Soll und Haben)</w:t>
      </w:r>
    </w:p>
    <w:p>
      <w:pPr>
        <w:spacing w:after="80"/>
      </w:pPr>
      <w:r>
        <w:rPr>
          <w:sz w:val="18"/>
          <w:szCs w:val="18"/>
        </w:rPr>
        <w:t xml:space="preserve">C) Die Buchhaltung wird von zwei Personen geprüft</w:t>
      </w:r>
    </w:p>
    <w:p>
      <w:pPr>
        <w:spacing w:after="80"/>
      </w:pPr>
      <w:r>
        <w:rPr>
          <w:sz w:val="18"/>
          <w:szCs w:val="18"/>
        </w:rPr>
        <w:t xml:space="preserve">D) Es werden zwei Bilanzen erstellt</w:t>
      </w:r>
    </w:p>
    <w:p>
      <w:pPr>
        <w:spacing w:before="15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10. Welche Aussage zur Inventur ist korrekt?</w:t>
      </w:r>
    </w:p>
    <w:p>
      <w:pPr>
        <w:spacing w:after="80"/>
      </w:pPr>
      <w:r>
        <w:rPr>
          <w:sz w:val="18"/>
          <w:szCs w:val="18"/>
        </w:rPr>
        <w:t xml:space="preserve">A) Inventur ist nur bei Handelsunternehmen Pflicht</w:t>
      </w:r>
    </w:p>
    <w:p>
      <w:pPr>
        <w:spacing w:after="80"/>
      </w:pPr>
      <w:r>
        <w:rPr>
          <w:sz w:val="18"/>
          <w:szCs w:val="18"/>
        </w:rPr>
        <w:t xml:space="preserve">B) Die Inventur muss immer am 31.12. stattfinden</w:t>
      </w:r>
    </w:p>
    <w:p>
      <w:pPr>
        <w:spacing w:after="80"/>
      </w:pPr>
      <w:r>
        <w:rPr>
          <w:sz w:val="18"/>
          <w:szCs w:val="18"/>
        </w:rPr>
        <w:t xml:space="preserve">C) Bei der Inventur werden alle Vermögensgegenstände und Schulden erfasst</w:t>
      </w:r>
    </w:p>
    <w:p>
      <w:pPr>
        <w:spacing w:after="80"/>
      </w:pPr>
      <w:r>
        <w:rPr>
          <w:sz w:val="18"/>
          <w:szCs w:val="18"/>
        </w:rPr>
        <w:t xml:space="preserve">D) Inventur und Inventar sind dasselbe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BIOS/UEFI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BIOS vs UEFI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BIOS (Basic Input/Output System):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16-Bit, Real Mode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Max. 2 TB Festplatten (MBR)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Textbasierte Oberfläche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Langsamer 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Secure Boot Unterstützung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UEFI (Unified Extensible Firmware Interface):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32/64-Bit, Protected Mode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 2 TB Festplatten (GPT)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Grafische Oberfläche mit Maus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Schnellerer Boot (Fast Boot)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Secure Boot, Netzwerk-Boot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Modular erweiterbar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Secure Boot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Secure Boot: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UEFI-Sicherheitsfunktion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Prüft digitale Signaturen beim 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signierte Bootloader/Treiber werden geladen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Schutz vor: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Bootkits (Malware im Bootsektor)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Rootkits (vor OS-Start aktiv)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Manipulierten Bootloadern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Platform Key (PK) vom Hersteller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Key Exchange Key (KEK)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Datenbank erlaubter Signaturen (db)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 signiert von Microsoft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TPM und BitLocker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TPM (Trusted Platform Module):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Sicherheits-Chip auf Mainboard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Speichert kryptografische Schlüssel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Hardware-basierte 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Versionen: 1.2 und 2.0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Funktion bei BitLocker: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Speichert Volume Master Key (VMK)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Prüft Systemintegrität beim Boot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Gibt Schlüssel nur frei wenn System unverändert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Schutz vor Offline-Angriffen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Manipulation: Recovery Key nötig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UEFI Boot-Prozess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UEFI Boot-Prozess: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Power On: Strom an, CPU initialisiert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POST (Power-On Self-Test):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Hardware-Test (RAM, CPU, Grafik)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UEFI Firmware: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Initialisiert Hardware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Lädt UEFI-Treiber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Boot Manager: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Liest Boot-Einträge (NVRAM)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Wählt Boot-Gerät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EFI System Partition (ESP):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Lädt Bootloader (bootmgfw.efi)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Windows Boot Manager: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Lädt Windows-Kernel (ntoskrnl.exe)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Windows startet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Altes OS auf UEFI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Probleme bei alten OS auf UEFI: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Kein UEFI-Support: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 XP/Vista nur BIOS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Legacy/CSM Mode 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GPT nicht unterstützt: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Alte OS brauchen MBR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GPT nur ab Windows Vista 64-Bit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Secure Boot inkompatibel: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Alte OS nicht signiert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Secure Boot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32-Bit OS: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UEFI 64-Bit braucht 64-Bit 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Lösung: CSM Mode oder 64-Bit 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CSM = Compatibility Support Module (BIOS-Emulation)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SSD/NVMe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SATA vs NVMe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SATA-SSD: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Schnittstelle: SATA III (6 Gbit/s)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Max. Geschwindigkeit: ~550 MB/s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Formfaktor: 2,5 Zoll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Protokoll: AHCI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Günstig, kompatibel mit alten Systemen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NVMe-SSD: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Schnittstelle: PCIe (x4 Gen3/Gen4)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Geschwindigkeit: 3.500-7.000+ MB/s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Formfaktor: M.2, U.2, Add-in-Card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Protokoll: NVMe (für Flash optimiert)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Niedrigere Latenz, mehr IOPS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Teurer, braucht M.2-Slot oder PCIe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NAND-Flash Typen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NAND-Flash Speicherzellen: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SLC (Single Level Cell):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 Bit pro Zelle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Höchste Haltbarkeit (100.000 P/E)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Teuer, für Enterprise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MLC (Multi Level Cell):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 Bit pro Zelle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Gute Haltbarkeit (10.000 P/E)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Guter Kompromiss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TLC (Triple Level Cell):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3 Bit pro Zelle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Mittlere Haltbarkeit (3.000 P/E)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Consumer-Standard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QLC (Quad Level Cell):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4 Bit pro Zelle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Geringste Haltbarkeit (1.000 P/E)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Günstig, für Archivierung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TRIM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TRIM: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Befehl vom OS an SSD-Controller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Informiert SSD über gelöschte 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SSD kann Blöcke für Garbage Collection freigeben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Warum wichtig: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SSDs können nur leere Blöcke beschreiben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Ohne TRIM: SSD muss vor Schreiben löschen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Performance sinkt mit der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TRIM hält SSD schnell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Aktivierung: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 ab 7 automatisch (fsutil behavior query DisableDeleteNotify)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Dateisystem muss TRIM unterstützen (NTFS, ext4)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SSD-Berechnung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A: 100 × 500GB à 80€ = 8.000€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Option B: 100 × 1TB à 120€ = 12.000€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Beide im Budget von 15.000€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Option B (1 TB)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Begründung: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4.000€ Mehrkosten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Doppelter Speicherplatz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Zukunftssicher (Windows + Apps wachsen)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Speicherprobleme bei Benutzern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Bessere User Experience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 GB günstiger (12ct vs 16ct/GB)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HDD zu SSD Klonen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Klon-Prozess: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Vorbereitung: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SSD anschließen (USB-Adapter oder intern)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Datenträgerbereinigung auf HDD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Größe prüfen (HDD-Daten ≤ SSD)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Klon-Software starten: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Tools: Macrium Reflect, Clonezilla, Samsung Magician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Quell-Laufwerk (HDD) wählen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Ziel-Laufwerk (SSD) wählen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Klonen: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Partitionen anpassen wenn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Klon starten (dauert 30-60 Min)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Nach dem Klonen: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SSD als Boot-Laufwerk 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Booten von SSD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TRIM 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Alte HDD als Datenspeicher oder entfernen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Notebook-Reparatur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Diagnoseplan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Systematische Diagnose: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Akku lädt nicht vollständig: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Akku-Diagnose in BIOS/Tool (Zyklen, Kapazität)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Netzteil prüfen (Spannung, Watt)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Anderes Netzteil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Akku-Treiber/BIOS aktualisieren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Display zeigt Streifen: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Externe Monitor anschließen (Grafik oder Display?)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Displaykabel prüfen (bei Bewegung?)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Grafiktreiber aktualisieren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GPU-Temperatur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Lüfter Vollast: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Temperaturen auslesen (HWInfo)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Lüfter/Kühlkörper reinigen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Wärmeleitpaste erneuern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Prozesse mit hoher CPU-Last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WLAN bricht ab: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Treiber aktualisieren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Energiesparen für WLAN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Anderen Kanal testen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WLAN-Modul neu einsetzen/tauschen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Austauschbare Komponenten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Typischerweise austauschbar: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RAM (SO-DIMM, oft 1-2 Slots)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SSD/HDD (M.2, 2,5 Zoll)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WLAN-Modul (M.2 Key 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Akku (oft geschraubt, manchmal geklebt)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Display (mit Rahmen)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Tastatur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Lüfter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Typischerweise verlötet: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CPU (bei modernen Notebooks fast immer)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GPU (wenn dediziert, oft verlötet)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RAM (bei Ultrabooks zunehmend)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USB-Ports, Audio-Jack (auf Mainboard)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Thermal Paste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Wärmeleitpaste (Thermal Paste/Compound):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Füllt mikroskopische Unebenheiten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Zwischen CPU/GPU und Kühlkörper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Verbessert Wärmeübertragung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Erneuerung nötig wenn: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Hohe Temperaturen trotz sauberem Lüfter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Notebook älter als 3-5 Jahre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Paste ausgetrocknet/verkrustet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Kühlkörper-Demontage (immer!)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Anwendung: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Alte Paste mit Isopropanol entfernen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Erbsengroße Menge auf CPU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Kühlkörper gleichmäßig aufdrücken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zu viel! (isoliert sonst)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Akku-Begriffe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Ladezyklen: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Zyklus = 100% Entladung (oder 2×50%)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Typisch: 300-500 Zyklen bis 80% Kapazität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Li-Ion verliert pro Zyklus minimal Kapazität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Kapazitätsverlust: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Akku speichert weniger Energie über 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2-3 Jahren: 80% der Originalkapazität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Tools: BatteryInfoView, powercfg /batteryreport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 60-70%: Austausch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Kalibrierung: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Akku-Elektronik synchronisieren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Vollständig laden, dann entladen, wieder laden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Alle 2-3 Monate empfohlen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Korrigiert falsche Kapazitätsanzeige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ESD-Schutz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ESD-Schutzmaßnahmen: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Antistatik-Armband: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Mit Erdung verbunden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Ständig Ladung ableiten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ESD-Matte: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Arbeitsfläche ableitend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Notebook und Teile drauflegen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Erdung: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Vor Arbeit geerdeten Gegenstand berühren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auf Teppich arbeiten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Luftfeuchtigkeit: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Optimal 40-60%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Zu trocken = mehr statische Aufladung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Handhabung: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Komponenten am Rand anfassen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Nicht auf Kontakte/Chips fassen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 ESD-Beuteln lagern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USV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USV-Typen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Offline (Standby) USV: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Normalbetrieb: Netz direkt zu Geräten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Ausfall: Umschaltung auf Batterie (5-10ms)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Günstig, für PCs, einfache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Schutz vor Spannungsschwankungen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Line-Interactive USV: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AVR (Automatic Voltage Regulation) integriert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Regelt Über-/Unterspannung ohne Batterie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Umschaltzeit 2-4ms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Server, Netzwerkgeräte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Online (Double-Conversion) USV: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Strom immer über Batterie/Wechselrichter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Keine Umschaltzeit (0ms)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Beste Stromqualität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kritische Systeme, Rechenzentren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Teuer, höherer Energieverbrauch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USV-Berechnung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Geräte: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 Server à 500W = 1.000W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 Switch = 50W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1 NAS = 150W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Gesamt = 1.200W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Umrechnung in VA: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VA = Watt ÷ Leistungsfaktor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VA = 1.200W ÷ 0,8 = 1.500 VA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Für 15 Minuten Laufzeit: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Typisch: USV mit 2x Kapazität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Empfehlung: 3.000 VA USV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Herstellerangaben für Laufzeit prüfen!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Sicherheitsreserve: 3.000 VA USV empfohlen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VA vs Watt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VA (Voltampere) = Scheinleistung: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Produkt aus Spannung × Strom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Gibt maximale Belastung 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USV-Hersteller geben VA 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Watt = Wirkleistung: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Tatsächlich verbrauchte Leistung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Geräte geben meist Watt 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Leistungsfaktor (Power Factor):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Watt = VA × Leistungsfaktor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Typisch 0,6-0,9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Moderne Netzteile: 0,9+ (PFC)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 1.500 VA USV bei PF 0,8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→ Max. 1.200 Watt Last möglich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Überspannungsschutz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Überspannungsschutz: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Schützt vor Spannungsspitzen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Blitzeinschlag, Schaltvorgänge im 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Varistoren/MOVs leiten Überspannung ab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Schützt empfindliche Elektronik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Netzfilter: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Filtert Störungen im Stromnetz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EMI (Elektromagnetische Interferenz)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RFI (Radiofrequenz-Interferenz)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"Rauschen" von anderen Geräten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Sauberer Strom für empfindliche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 USV integriert: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Eingangsfilter reinigt Netzstrom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Ausgang ist konditioniert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Online-USV: Komplett neue Sinuswelle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USV-Integration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Shutdown-Signalisierung: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USB-Verbindung: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USV meldet Status an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Software: Windows Energieoptionen, apcupsd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Bei Low-Battery: Automatischer Shutdown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SNMP-Management: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USV über Netzwerk überwachen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Management-Card in USV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Integration in Monitoring (PRTG, Nagios)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Software-Konfiguration: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Shutdown-Schwellwert (z.B. 5 Min Restzeit)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Benachrichtigungen (E-Mail, SMS)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Skripte vor Shutdown (VMs herunterfahren)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Serielle Verbindung (legacy):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RS-232 Kabel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Ältere Systeme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802.1X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802.1X Komponenten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Supplicant: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Client-Software auf Endgerät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Sendet Anmeldedaten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Windows: integriert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Laptop mit Zertifikat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Authenticator: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Switch oder Access Point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Kontrolliert Port-Zugang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Leitet Auth-Anfragen weiter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Schaltet Port frei/sperrt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Authentication Server: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RADIUS-Server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Prüft Anmeldedaten gegen 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Active Directory, LDAP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Sendet Accept/Reject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Kommunikation: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Supplicant ↔ Authenticator: EAP over LAN (EAPOL)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Authenticator ↔ Auth Server: RADIUS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EAP-Ablauf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EAP (Extensible Authentication Protocol):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Client verbindet mit Switch-Port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Port ist im unauthorized State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Switch sendet EAP-Request/Identity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Client antwortet mit EAP-Response/Identity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Switch leitet an RADIUS weiter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RADIUS fordert Credentials (Methoden-abhängig)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7. Client sendet Credentials (verschlüsselt)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8. RADIUS prüft gegen AD/Datenbank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9. RADIUS sendet Access-Accept + Attribute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10. Switch schaltet Port frei (authorized)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EAP-Methoden Vergleich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EAP-TLS: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Zertifikate auf Client UND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Höchste 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Aufwändig (PKI, Zertifikatsverteilung)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verwaltete Unternehmensgeräte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PEAP (Protected EAP):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Server-Zertifikat, Client mit 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TLS-Tunnel, dann MS-CHAPv2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Einfacher als EAP-TLS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Guter Kompromiss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EAP-TTLS: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Ähnlich PEAP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innere Methoden unterstützt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Weniger Windows-Support als PEAP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PEAP für meiste Szenarien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Dynamische VLAN-Zuweisung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Dynamische VLAN-Zuweisung: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RADIUS sendet VLAN-ID bei Accept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Switch weist Port diesem VLAN zu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Benutzerabhängig, nicht portabhängig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RADIUS-Attribute: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Tunnel-Type (VLAN)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Tunnel-Medium-Type (802)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Tunnel-Private-Group-ID (VLAN-ID)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Mitarbeiter authentifiziert → VLAN 10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Gast authentifiziert → VLAN 99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Drucker (MAC-Auth) → VLAN 20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Konfiguration: NPS Netzwerkrichtlinie mit VLAN-Attributen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Geräte ohne 802.1X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Lösungen für Non-802.1X-Geräte: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MAC Authentication Bypass (MAB):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Switch sendet MAC-Adresse als Username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RADIUS prüft gegen Whitelist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Für Drucker, IP-Telefone, IoT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Statische Port-Zuweisung: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Port fest in VLAN konfigurieren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802.1X auf Port deaktivieren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Unsicherer, nur wenn nötig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Dedicated VLAN: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Eigenes VLAN für unauth.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Eingeschränkter 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Profiling: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Gerät identifizieren (DHCP, HTTP...)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Automatische Richtlinie zuweisen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RADIUS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AAA-Konzept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Authentication (Authentifizierung):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Wer bist du?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Prüfung der Identität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Benutzername/Passwort, Zertifikat, Token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Authorization (Autorisierung):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Was darfst du?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Zuweisung von Berechtigungen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VLAN, Bandbreite, Zugriffszeit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Accounting (Abrechnung/Protokollierung):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Was hast du getan?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Aufzeichnung der Nutzung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Login-Zeit, Traffic, Session-Dauer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Compliance, Abrechnung, Forensik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RADIUS-Kommunikation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RADIUS-Ablauf: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Client will ins Netz (Switch/AP)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NAS (Switch) sendet Access-Request an RADIUS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Enthält: Username, verschlüsseltes Passwort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UDP Port 1812 (Auth) / 1813 (Acct)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RADIUS prüft Credentials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Gegen AD, LDAP, lokale DB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RADIUS antwortet: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Access-Accept (mit Attributen)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Access-Reject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Access-Challenge (mehr Infos nötig)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NAS gewährt/verweigert 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Shared Secret: Verschlüsselt Kommunikation NAS↔RADIUS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RADIUS vs TACACS+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RADIUS: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UDP (1812, 1813)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Passwort verschlüsselt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 für Netzwerkzugang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Kombiniert Auth + Authz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RFC-Standard, herstellerunabhängig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TACACS+: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TCP (Port 49)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Komplette Verschlüsselung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Geräte-Administration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Trennt Auth, Authz, Acct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Cisco-proprietär (aber offen)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Granulare Command Authorization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Fazit: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RADIUS: Benutzer-Netzwerkzugang (802.1X, VPN)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TACACS+: Admin-Zugang auf Netzwerkgeräte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NPS-Konfiguration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NPS als RADIUS-Server einrichten: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Rolle installieren: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Server-Manager → NPS Rolle hinzufügen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NPS in AD registrieren: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Berechtigung für AD-Abfragen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RADIUS-Clients hinzufügen: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IP/Name jedes Switches/APs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Shared Secret festlegen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Verbindungsanforderungsrichtlinie: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Welche Anfragen werden verarbeitet?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Netzwerkrichtlinie erstellen: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Bedingungen (Gruppe, Zeit...)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Berechtigungen (Allow/Deny)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Einstellungen (VLAN, Timeout...)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Testen und Logging aktivieren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RADIUS-Attribute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RADIUS-Attribute: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Key-Value-Paare in RADIUS-Paketen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Übermitteln Infos und Einstellungen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Standard-Attribute (RFC) und Vendor-Specific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VLAN-Zuweisung Attribute: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Tunnel-Type = VLAN (13)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Tunnel-Medium-Type = IEEE-802 (6)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Tunnel-Private-Group-ID = VLAN-ID oder 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Weitere Attribute: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Session-Timeout: Max. Session-Dauer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Idle-Timeout: Inaktivitäts-Timeout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Filter-Id: ACL-Name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Framed-IP-Address: Feste IP zuweisen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Vendor-Specific (VSA):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Herstellerspezifische Erweiterungen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Cisco-AV-Pair, MS-CHAP-Response...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NAC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NAC Ziele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 (Network Access Control):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Über 802.1X hinaus: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nur Identität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Auch Gerätezustand (Posture) prüfen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Compliance erzwingen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Ziele: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Sicherheitsrichtlinien durchsetzen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Infizierte/unsichere Geräte isolieren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Automatische Remediation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Visibilität aller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Gastzugang kontrolliert ermöglichen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BYOD-Management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802.1X ist Baustein von NAC, aber NAC ist umfassender.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Pre vs Post-Admission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Pre-Admission NAC: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Prüfung VOR Netzwerkzugang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Gerät wird erst geprüft, dann zugelassen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Strenger, aber kann Probleme verursachen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Agent prüft AV, dann Auth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Post-Admission NAC: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Prüfung NACH Netzwerkzugang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Gerät kommt rein, wird dann überwacht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 Verstoß: Quarantäne/Einschränkung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Kontinuierliche Überwachung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Beispiel: Scan nach Verbindung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Kombination typisch: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Pre-Admission für bekannte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Post-Admission für Monitoring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Health Check / Posture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Posture Assessment prüft: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Antivirus: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Installiert? Aktiv?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Signaturen aktuell?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Betriebssystem: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 Updates installiert?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Supportete Version?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Firewall: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Windows Firewall aktiv?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Verschlüsselung: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BitLocker aktiv?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Unternehmenssoftware: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Management-Agent installiert?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VPN-Client vorhanden?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Registry/Konfiguration: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   → Sicherheitseinstellungen korrekt?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Ergebnis: Compliant → Vollzugriff, Non-Compliant → Quarantäne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Quarantäne-VLAN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Quarantäne-VLAN: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Separates VLAN für nicht-konforme Geräte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Eingeschränkter Zugriff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Nur Remediation-Server erreichbar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Kein Zugriff auf Produktivnetz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Remediation-Portal: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Webseite im Quarantäne-Netz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Zeigt Compliance-Probleme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Anleitung zur Behebung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Download-Links (Updates, AV)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Nach Behebung: Erneute Prüfung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Ablauf: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Gerät nicht compliant → VLAN Quarantäne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Nur HTTP zum Remediation-Server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Benutzer behebt Probleme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Erneute Prüfung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Bei Erfolg → Produktiv-VLAN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NAC-Lösungen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Cisco ISE (Identity Services Engine):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Marktführer, sehr umfangreich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802.1X, Profiling, Posture, Guest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Integration mit Cisco-Infrastruktur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Teuer, komplex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Aruba ClearPass: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Herstellerunabhängig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Starkes Profiling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Guter Guest-Management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Auch für Non-Aruba-Umgebungen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PacketFence (Open Source):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Kostenlos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802.1X, VLAN-Zuweisung, Captive Portal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kleinere Umgebungen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Community-Support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EDR/XDR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EDR vs Antivirus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Traditioneller Antivirus: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Signatur-basiert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Bekannte Malware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Datei-Scan (on-access, on-demand)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Reaktiv: Blockiert Bekanntes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Wenig Sichtbarkeit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EDR (Endpoint Detection &amp; Response):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Verhaltensbasiert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Unbekannte Bedrohungen erkennen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Kontinuierliches Monitoring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Aufzeichnung aller Aktivitäten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Forensische Analyse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 Reaktion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Threat Hunting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Mehr Ressourcenverbrauch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EDR-Kernfunktionen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Erkennung (Detection):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Sammelt Telemetrie vom Endpoint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Prozesse, Netzwerk, Registry, Dateien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Verhaltensanalyse in Echtzeit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Machine Learning, Anomalie-Erkennung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Erkennt auch fileless Malware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Untersuchung (Investigation):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Timeline der Ereignisse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Prozess-Baum: Was hat was gestartet?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Root Cause Analysis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Threat Intelligence Integration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Suche über alle Endpoints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Reaktion (Response):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Isolierung des Endpoints (Netzwerk trennen)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Prozesse beenden (Kill)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Dateien löschen/quarantänisieren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Remediation-Skripte ausführen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Automatisierte Playbooks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EDR vs XDR vs MDR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EDR (Endpoint Detection &amp; Response):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Fokus: Endpoints (PCs, Server)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Telemetrie von Endgeräten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Agent auf jedem Gerät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XDR (Extended Detection &amp; Response):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Erweitert: Endpoints + Netzwerk + Cloud + E-Mail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Korrelation über mehrere Quellen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Bessere Sichtbarkeit, weniger Silos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Ein Dashboard für alles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MDR (Managed Detection &amp; Response):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EDR/XDR als Managed Service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SOC-Team des Anbieters überwacht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24/7 Monitoring und Response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Für Unternehmen ohne eigenes SOC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Beispiele: CrowdStrike Falcon Complete, Sophos MTR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Verhaltensbasierte Erkennung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Behavioral Analysis: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Prinzip: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Normale Aktivität lernen (Baseline)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Abweichungen erkennen (Anomalien)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Nicht auf Signaturen angewiesen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Beispiele für verdächtiges Verhalten: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Word startet PowerShell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PowerShell lädt aus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Prozess injiziert in andere Prozesse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Massenhafter Dateizugriff (Ransomware)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Kommunikation zu bekanntem C2-Server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Privilege Escalation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Erkennt Zero-Days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Fileless Malware sichtbar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False Positives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Tuning erforderlich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IOCs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IOCs (Indicators of Compromise):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Definition: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Artefakte die auf Angriff hindeuten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Forensische Beweise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Können geteilt werden (Threat Intel)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Typen von IOCs: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Datei-Hashes (MD5, SHA256)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IP-Adressen (C2-Server)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Domains (Phishing, Malware-Download)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URLs (Exploit-Kits)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Registry-Keys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Dateinamen/Pfade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E-Mail-Absender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YARA-Regeln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Verwendung in EDR: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IOC-Feeds importieren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Automatischer Abgleich mit Telemetrie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Alarm wenn IOC gefunden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• Historische Suche: War IOC schon da?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Aktivierung zum Nettowert, USt ist durchlaufender Posten, AfA erst im Jahresabschluss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Lineare AfA: 3.600€ ÷ 3 Jahre = 1.200€ pro Jahr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Vorsteuer ist keine Ausgabe, sondern Forderung ans Finanzamt (wird erstattet)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Vorsteuer = USt die das Unternehmen beim Einkauf bezahlt und zurückbekommt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Zahllast = USt-Einnahmen - Vorsteuer = 50.000 - 30.000 = 20.000€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Aufwand an Verbindlichkeit (Kauf auf Rechnung = Schuld entsteht)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Anschaffungsnebenkosten: Transport, Installation, Montage (nicht laufende Kosten)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GWG bis 800€ netto: Sofort als Betriebsausgabe (§6 Abs.2 EStG)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Doppelte Buchführung: Jeder Vorfall wird auf Soll- und Habenseite gebucht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Inventur = Bestandsaufnahme aller Vermögensgegenstände und Schulden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 DER PRÜFUNG!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2026-01-16T23:54:41.705Z</dcterms:created>
  <dcterms:modified xsi:type="dcterms:W3CDTF">2026-01-16T23:54:41.706Z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