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jc w:val="center"/>
      </w:pPr>
      <w:r>
        <w:rPr>
          <w:b/>
          <w:bCs/>
          <w:color w:val="1565C0"/>
          <w:sz w:val="48"/>
          <w:szCs w:val="48"/>
        </w:rPr>
        <w:t xml:space="preserve">IHK-ABSCHLUSSPRÜFUNG</w:t>
      </w:r>
    </w:p>
    <w:p>
      <w:pPr>
        <w:spacing w:before="100"/>
        <w:jc w:val="center"/>
      </w:pPr>
      <w:r>
        <w:rPr>
          <w:color w:val="0277BD"/>
          <w:sz w:val="36"/>
          <w:szCs w:val="36"/>
        </w:rPr>
        <w:t xml:space="preserve">Fachinformatiker Systemintegration</w:t>
      </w:r>
    </w:p>
    <w:p>
      <w:pPr>
        <w:spacing w:before="200"/>
        <w:jc w:val="center"/>
      </w:pPr>
      <w:r>
        <w:rPr>
          <w:b/>
          <w:bCs/>
          <w:color w:val="00838F"/>
          <w:sz w:val="40"/>
          <w:szCs w:val="40"/>
        </w:rPr>
        <w:t xml:space="preserve">MUSTERPRÜFUNG 13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Mit vollständigem Lösungsbogen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Prüfungsteil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IPv6, Datenbanken/SQL, PowerShell, Thin Clients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API-Sicherheit, Cloud-Migration, Disaster Recovery, SOC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WiSo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Arbeitsrecht, Kündigung, Mitbestimmung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AP1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IPv6-Adressierung und Migration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Unternehmen plant die Einführung von IPv6 im internen Netzwerk.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Ausgangslage: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Reines IPv4-Netzwerk (10.0.0.0/8)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500 Clients, 50 Server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Internet-Provider bietet IPv6 an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Langfristige Dual-Stack-Strategie geplant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den Aufbau einer IPv6-Adresse und nennen Sie die wichtigsten Adresstypen (Unicast, Link-Local, Multicast).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ist SLAAC (Stateless Address Autoconfiguration) und wie funktioniert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Vergleichen Sie Dual-Stack, Tunneling und NAT64 als Übergangstechnologien.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Kürzen Sie die folgende IPv6-Adresse korrekt: 2001:0db8:0000:0000:0000:0000:0001:0001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Vorteile bietet IPv6 gegenüber IPv4? Nennen Sie mindestens 4. </w:t>
      </w:r>
      <w:r>
        <w:rPr>
          <w:i/>
          <w:iCs/>
          <w:sz w:val="16"/>
          <w:szCs w:val="16"/>
        </w:rPr>
        <w:t xml:space="preserve">(6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Datenbanken und SQL-Grundlagen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Für eine Kundenverwaltung soll eine relationale Datenbank erstellt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Tabellen: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Kunden (KundenID, Name, Email, PLZ)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Bestellungen (BestellID, KundenID, Datum, Betrag)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Produkte (ProduktID, Bezeichnung, Preis)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die Normalformen (1NF, 2NF, 3NF) und deren Zweck.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Schreiben Sie eine SQL-Abfrage: Alle Kunden mit Bestellungen über 500€ anzeigen (Name, Email, Betrag).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der Unterschied zwischen INNER JOIN, LEFT JOIN und RIGHT JOIN?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Erklären Sie die ACID-Eigenschaften bei Datenbanktransaktionen.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wird eine Datenbank gesichert? Nennen Sie Backup-Methoden für SQL Server.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PowerShell-Scripting und Automatisierung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IT-Abteilung möchte wiederkehrende Aufgaben automatisieren.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Benutzerkonten in AD anlegen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Systeminformationen sammeln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Dienste überwachen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Reports per E-Mail versenden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die PowerShell-Konzepte: Cmdlet, Pipeline, Parameter, Alias.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Schreiben Sie ein Cmdlet das alle gestoppten Dienste anzeigt.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Wie wird ein neuer AD-Benutzer mit PowerShell angelegt? Zeigen Sie das Cmdlet mit wichtigen Parametern.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der Unterschied zwischen PowerShell und CMD? Nennen Sie 4 Vorteile von PowerShell.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Erklären Sie die Execution Policy und die verschiedenen Stufen. </w:t>
      </w:r>
      <w:r>
        <w:rPr>
          <w:i/>
          <w:iCs/>
          <w:sz w:val="16"/>
          <w:szCs w:val="16"/>
        </w:rPr>
        <w:t xml:space="preserve">(6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Thin Clients und Desktop-Virtualisierung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Call-Center mit 200 Arbeitsplätzen soll auf Thin Clients umgestellt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Einheitliche Arbeitsumgebung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Zentrale Verwaltung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Geringe Hardware-Kosten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Einfacher Austausch bei Defekt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Vergleichen Sie Thin Client, Zero Client und Fat Client hinsichtlich Funktionsumfang und Einsatzgebiet.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Welche Protokolle werden für Desktop-Virtualisierung verwendet? Vergleichen Sie RDP, HDX/ICA und PCoIP.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sind die Vorteile von Thin Clients gegenüber klassischen PCs? Nennen Sie 5.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Erklären Sie den Unterschied zwischen VDI und Session-based Desktop (RDS).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Anforderungen hat ein Thin Client an das Netzwerk?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AP2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API-Sicherheit und Authentifizierung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Unternehmen stellt REST-APIs für Partner und mobile Apps bereit.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Sichere Authentifizierung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Rate-Limiting gegen Missbrauch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Versionierung der APIs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Logging aller Zugriffe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REST-APIs und die HTTP-Methoden GET, POST, PUT, DELETE.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ist OAuth 2.0 und wie funktioniert der Authorization Code Flow?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Vergleichen Sie API-Key, OAuth und JWT als Authentifizierungsmethoden.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ein API-Gateway und welche Funktionen bietet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Nennen Sie 4 typische API-Sicherheitsrisiken und Gegenmaßnahmen. </w:t>
      </w:r>
      <w:r>
        <w:rPr>
          <w:i/>
          <w:iCs/>
          <w:sz w:val="16"/>
          <w:szCs w:val="16"/>
        </w:rPr>
        <w:t xml:space="preserve">(4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Cloud-Migration und Hybrid Cloud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mittelständisches Unternehmen plant die Migration in die Cloud.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Aktuelle Infrastruktur: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On-Premises Rechenzentrum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30 virtuelle Server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Exchange On-Premises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ERP-System (nicht cloud-fähig)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die Migrationsstrategien: Rehost (Lift &amp; Shift), Replatform, Refactor.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ist eine Hybrid-Cloud und welche Vorteile bietet sie?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Welche Faktoren müssen bei der Cloud-Migration beachtet werden? Nennen Sie 5.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Vergleichen Sie die Migration von Exchange zu Microsoft 365 mit einer VM-Migration zu Azure.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sind Landing Zones und warum sind sie wichtig für Cloud-Projekte?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Disaster Recovery und Business Continuity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Nach einem Rechenzentrumsausfall soll ein DR-Konzept erstellt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Kritische Systeme: Max. 1h Ausfallzeit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Datenverlust: Max. 15 Minuten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Sekundärer Standort vorhanden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Budget für DR-Lösung: 50.000€/Jahr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RTO (Recovery Time Objective) und RPO (Recovery Point Objective) anhand des Szenarios.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Vergleichen Sie die DR-Strategien: Cold Site, Warm Site, Hot Site.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Wie funktioniert Replikation und welche Arten gibt es (synchron, asynchron)?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gehört in einen Disaster Recovery Plan? Nennen Sie die wichtigsten Bestandteile.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werden DR-Pläne getestet? Erklären Sie verschiedene Test-Arten.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Security Operations Center (SOC) und Threat Hunting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Finanzdienstleister baut ein internes SOC auf.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24/7 Überwachung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Incident Response Capability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Compliance-Anforderungen (BaFin)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Integration bestehender Sicherheitssysteme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sind die Hauptaufgaben eines SOC? Nennen Sie 5 Kernfunktionen.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das SOC-Tier-Modell (Tier 1, 2, 3) und die Aufgabenverteilung.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Threat Hunting und wie unterscheidet es sich von klassischem Monitoring?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Welche Tools und Technologien werden in einem SOC eingesetzt?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ist SOAR und welche Vorteile bietet es für SOC-Operationen?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WISO</w:t>
      </w:r>
    </w:p>
    <w:p>
      <w:pPr>
        <w:spacing w:after="80"/>
      </w:pPr>
      <w:r>
        <w:rPr>
          <w:sz w:val="18"/>
          <w:szCs w:val="18"/>
        </w:rPr>
        <w:t xml:space="preserve">Bearbeitungszeit: 60 Minuten | 100 Punkte | 10 Multiple-Choice-Fragen</w:t>
      </w:r>
    </w:p>
    <w:p>
      <w:pPr>
        <w:spacing w:before="200"/>
      </w:pPr>
    </w:p>
    <w:p>
      <w:pPr>
        <w:spacing w:after="80"/>
      </w:pPr>
      <w:r>
        <w:rPr>
          <w:b/>
          <w:bCs/>
          <w:sz w:val="18"/>
          <w:szCs w:val="18"/>
        </w:rPr>
        <w:t xml:space="preserve">1. Ein Arbeitnehmer ist seit 5 Jahren im Unternehmen beschäftigt. Welche Kündigungsfrist gilt für den Arbeitgeber?</w:t>
      </w:r>
    </w:p>
    <w:p>
      <w:pPr>
        <w:spacing w:after="80"/>
      </w:pPr>
      <w:r>
        <w:rPr>
          <w:sz w:val="18"/>
          <w:szCs w:val="18"/>
        </w:rPr>
        <w:t xml:space="preserve">A) 2 Wochen</w:t>
      </w:r>
    </w:p>
    <w:p>
      <w:pPr>
        <w:spacing w:after="80"/>
      </w:pPr>
      <w:r>
        <w:rPr>
          <w:sz w:val="18"/>
          <w:szCs w:val="18"/>
        </w:rPr>
        <w:t xml:space="preserve">B) 1 Monat zum Monatsende</w:t>
      </w:r>
    </w:p>
    <w:p>
      <w:pPr>
        <w:spacing w:after="80"/>
      </w:pPr>
      <w:r>
        <w:rPr>
          <w:sz w:val="18"/>
          <w:szCs w:val="18"/>
        </w:rPr>
        <w:t xml:space="preserve">C) 2 Monate zum Monatsende</w:t>
      </w:r>
    </w:p>
    <w:p>
      <w:pPr>
        <w:spacing w:after="80"/>
      </w:pPr>
      <w:r>
        <w:rPr>
          <w:sz w:val="18"/>
          <w:szCs w:val="18"/>
        </w:rPr>
        <w:t xml:space="preserve">D) 3 Monate zum Monatsende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2. Ab welcher Betriebsgröße gilt das Kündigungsschutzgesetz (KSchG)?</w:t>
      </w:r>
    </w:p>
    <w:p>
      <w:pPr>
        <w:spacing w:after="80"/>
      </w:pPr>
      <w:r>
        <w:rPr>
          <w:sz w:val="18"/>
          <w:szCs w:val="18"/>
        </w:rPr>
        <w:t xml:space="preserve">A) Ab 5 Arbeitnehmern</w:t>
      </w:r>
    </w:p>
    <w:p>
      <w:pPr>
        <w:spacing w:after="80"/>
      </w:pPr>
      <w:r>
        <w:rPr>
          <w:sz w:val="18"/>
          <w:szCs w:val="18"/>
        </w:rPr>
        <w:t xml:space="preserve">B) Ab 10 Arbeitnehmern</w:t>
      </w:r>
    </w:p>
    <w:p>
      <w:pPr>
        <w:spacing w:after="80"/>
      </w:pPr>
      <w:r>
        <w:rPr>
          <w:sz w:val="18"/>
          <w:szCs w:val="18"/>
        </w:rPr>
        <w:t xml:space="preserve">C) Ab 20 Arbeitnehmern</w:t>
      </w:r>
    </w:p>
    <w:p>
      <w:pPr>
        <w:spacing w:after="80"/>
      </w:pPr>
      <w:r>
        <w:rPr>
          <w:sz w:val="18"/>
          <w:szCs w:val="18"/>
        </w:rPr>
        <w:t xml:space="preserve">D) Ab 50 Arbeitnehmern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3. Welche Kündigung ist bei Schwangeren NICHT zulässig?</w:t>
      </w:r>
    </w:p>
    <w:p>
      <w:pPr>
        <w:spacing w:after="80"/>
      </w:pPr>
      <w:r>
        <w:rPr>
          <w:sz w:val="18"/>
          <w:szCs w:val="18"/>
        </w:rPr>
        <w:t xml:space="preserve">A) Fristlose Kündigung mit Zustimmung der Behörde</w:t>
      </w:r>
    </w:p>
    <w:p>
      <w:pPr>
        <w:spacing w:after="80"/>
      </w:pPr>
      <w:r>
        <w:rPr>
          <w:sz w:val="18"/>
          <w:szCs w:val="18"/>
        </w:rPr>
        <w:t xml:space="preserve">B) Ordentliche Kündigung</w:t>
      </w:r>
    </w:p>
    <w:p>
      <w:pPr>
        <w:spacing w:after="80"/>
      </w:pPr>
      <w:r>
        <w:rPr>
          <w:sz w:val="18"/>
          <w:szCs w:val="18"/>
        </w:rPr>
        <w:t xml:space="preserve">C) Kündigung in der Probezeit</w:t>
      </w:r>
    </w:p>
    <w:p>
      <w:pPr>
        <w:spacing w:after="80"/>
      </w:pPr>
      <w:r>
        <w:rPr>
          <w:sz w:val="18"/>
          <w:szCs w:val="18"/>
        </w:rPr>
        <w:t xml:space="preserve">D) Aufhebungsvertrag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4. Der Betriebsrat hat bei welcher Maßnahme ein Mitbestimmungsrecht?</w:t>
      </w:r>
    </w:p>
    <w:p>
      <w:pPr>
        <w:spacing w:after="80"/>
      </w:pPr>
      <w:r>
        <w:rPr>
          <w:sz w:val="18"/>
          <w:szCs w:val="18"/>
        </w:rPr>
        <w:t xml:space="preserve">A) Einstellung von leitenden Angestellten</w:t>
      </w:r>
    </w:p>
    <w:p>
      <w:pPr>
        <w:spacing w:after="80"/>
      </w:pPr>
      <w:r>
        <w:rPr>
          <w:sz w:val="18"/>
          <w:szCs w:val="18"/>
        </w:rPr>
        <w:t xml:space="preserve">B) Festlegung der Arbeitszeit</w:t>
      </w:r>
    </w:p>
    <w:p>
      <w:pPr>
        <w:spacing w:after="80"/>
      </w:pPr>
      <w:r>
        <w:rPr>
          <w:sz w:val="18"/>
          <w:szCs w:val="18"/>
        </w:rPr>
        <w:t xml:space="preserve">C) Höhe der Geschäftsführergehälter</w:t>
      </w:r>
    </w:p>
    <w:p>
      <w:pPr>
        <w:spacing w:after="80"/>
      </w:pPr>
      <w:r>
        <w:rPr>
          <w:sz w:val="18"/>
          <w:szCs w:val="18"/>
        </w:rPr>
        <w:t xml:space="preserve">D) Strategische Unternehmensplanung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5. Was versteht man unter einer Abmahnung?</w:t>
      </w:r>
    </w:p>
    <w:p>
      <w:pPr>
        <w:spacing w:after="80"/>
      </w:pPr>
      <w:r>
        <w:rPr>
          <w:sz w:val="18"/>
          <w:szCs w:val="18"/>
        </w:rPr>
        <w:t xml:space="preserve">A) Eine mündliche Ermahnung ohne Konsequenzen</w:t>
      </w:r>
    </w:p>
    <w:p>
      <w:pPr>
        <w:spacing w:after="80"/>
      </w:pPr>
      <w:r>
        <w:rPr>
          <w:sz w:val="18"/>
          <w:szCs w:val="18"/>
        </w:rPr>
        <w:t xml:space="preserve">B) Eine formale Rüge mit Kündigungsandrohung bei Wiederholung</w:t>
      </w:r>
    </w:p>
    <w:p>
      <w:pPr>
        <w:spacing w:after="80"/>
      </w:pPr>
      <w:r>
        <w:rPr>
          <w:sz w:val="18"/>
          <w:szCs w:val="18"/>
        </w:rPr>
        <w:t xml:space="preserve">C) Die Ankündigung einer Gehaltskürzung</w:t>
      </w:r>
    </w:p>
    <w:p>
      <w:pPr>
        <w:spacing w:after="80"/>
      </w:pPr>
      <w:r>
        <w:rPr>
          <w:sz w:val="18"/>
          <w:szCs w:val="18"/>
        </w:rPr>
        <w:t xml:space="preserve">D) Ein Antrag auf Versetzung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6. Ein Mitarbeiter ist länger als 6 Wochen krank. Wer zahlt danach?</w:t>
      </w:r>
    </w:p>
    <w:p>
      <w:pPr>
        <w:spacing w:after="80"/>
      </w:pPr>
      <w:r>
        <w:rPr>
          <w:sz w:val="18"/>
          <w:szCs w:val="18"/>
        </w:rPr>
        <w:t xml:space="preserve">A) Weiterhin der Arbeitgeber</w:t>
      </w:r>
    </w:p>
    <w:p>
      <w:pPr>
        <w:spacing w:after="80"/>
      </w:pPr>
      <w:r>
        <w:rPr>
          <w:sz w:val="18"/>
          <w:szCs w:val="18"/>
        </w:rPr>
        <w:t xml:space="preserve">B) Die Krankenkasse (Krankengeld)</w:t>
      </w:r>
    </w:p>
    <w:p>
      <w:pPr>
        <w:spacing w:after="80"/>
      </w:pPr>
      <w:r>
        <w:rPr>
          <w:sz w:val="18"/>
          <w:szCs w:val="18"/>
        </w:rPr>
        <w:t xml:space="preserve">C) Die Rentenversicherung</w:t>
      </w:r>
    </w:p>
    <w:p>
      <w:pPr>
        <w:spacing w:after="80"/>
      </w:pPr>
      <w:r>
        <w:rPr>
          <w:sz w:val="18"/>
          <w:szCs w:val="18"/>
        </w:rPr>
        <w:t xml:space="preserve">D) Die Agentur für Arbeit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7. Was ist ein Aufhebungsvertrag?</w:t>
      </w:r>
    </w:p>
    <w:p>
      <w:pPr>
        <w:spacing w:after="80"/>
      </w:pPr>
      <w:r>
        <w:rPr>
          <w:sz w:val="18"/>
          <w:szCs w:val="18"/>
        </w:rPr>
        <w:t xml:space="preserve">A) Eine fristlose Kündigung durch den Arbeitgeber</w:t>
      </w:r>
    </w:p>
    <w:p>
      <w:pPr>
        <w:spacing w:after="80"/>
      </w:pPr>
      <w:r>
        <w:rPr>
          <w:sz w:val="18"/>
          <w:szCs w:val="18"/>
        </w:rPr>
        <w:t xml:space="preserve">B) Eine einvernehmliche Beendigung des Arbeitsverhältnisses</w:t>
      </w:r>
    </w:p>
    <w:p>
      <w:pPr>
        <w:spacing w:after="80"/>
      </w:pPr>
      <w:r>
        <w:rPr>
          <w:sz w:val="18"/>
          <w:szCs w:val="18"/>
        </w:rPr>
        <w:t xml:space="preserve">C) Ein befristeter Arbeitsvertrag</w:t>
      </w:r>
    </w:p>
    <w:p>
      <w:pPr>
        <w:spacing w:after="80"/>
      </w:pPr>
      <w:r>
        <w:rPr>
          <w:sz w:val="18"/>
          <w:szCs w:val="18"/>
        </w:rPr>
        <w:t xml:space="preserve">D) Eine Änderungskündigung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8. Welche Aussage zum Arbeitszeugnis ist korrekt?</w:t>
      </w:r>
    </w:p>
    <w:p>
      <w:pPr>
        <w:spacing w:after="80"/>
      </w:pPr>
      <w:r>
        <w:rPr>
          <w:sz w:val="18"/>
          <w:szCs w:val="18"/>
        </w:rPr>
        <w:t xml:space="preserve">A) Ein Arbeitszeugnis muss nur auf Verlangen ausgestellt werden</w:t>
      </w:r>
    </w:p>
    <w:p>
      <w:pPr>
        <w:spacing w:after="80"/>
      </w:pPr>
      <w:r>
        <w:rPr>
          <w:sz w:val="18"/>
          <w:szCs w:val="18"/>
        </w:rPr>
        <w:t xml:space="preserve">B) Das Zeugnis darf negative Formulierungen enthalten</w:t>
      </w:r>
    </w:p>
    <w:p>
      <w:pPr>
        <w:spacing w:after="80"/>
      </w:pPr>
      <w:r>
        <w:rPr>
          <w:sz w:val="18"/>
          <w:szCs w:val="18"/>
        </w:rPr>
        <w:t xml:space="preserve">C) Ein qualifiziertes Zeugnis muss immer erstellt werden</w:t>
      </w:r>
    </w:p>
    <w:p>
      <w:pPr>
        <w:spacing w:after="80"/>
      </w:pPr>
      <w:r>
        <w:rPr>
          <w:sz w:val="18"/>
          <w:szCs w:val="18"/>
        </w:rPr>
        <w:t xml:space="preserve">D) Das Zeugnis muss wohlwollend und wahrheitsgemäß sein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9. Wie viele Urlaubstage stehen einem Vollzeit-Arbeitnehmer mindestens zu (bei 5-Tage-Woche)?</w:t>
      </w:r>
    </w:p>
    <w:p>
      <w:pPr>
        <w:spacing w:after="80"/>
      </w:pPr>
      <w:r>
        <w:rPr>
          <w:sz w:val="18"/>
          <w:szCs w:val="18"/>
        </w:rPr>
        <w:t xml:space="preserve">A) 18 Tage</w:t>
      </w:r>
    </w:p>
    <w:p>
      <w:pPr>
        <w:spacing w:after="80"/>
      </w:pPr>
      <w:r>
        <w:rPr>
          <w:sz w:val="18"/>
          <w:szCs w:val="18"/>
        </w:rPr>
        <w:t xml:space="preserve">B) 20 Tage</w:t>
      </w:r>
    </w:p>
    <w:p>
      <w:pPr>
        <w:spacing w:after="80"/>
      </w:pPr>
      <w:r>
        <w:rPr>
          <w:sz w:val="18"/>
          <w:szCs w:val="18"/>
        </w:rPr>
        <w:t xml:space="preserve">C) 24 Tage</w:t>
      </w:r>
    </w:p>
    <w:p>
      <w:pPr>
        <w:spacing w:after="80"/>
      </w:pPr>
      <w:r>
        <w:rPr>
          <w:sz w:val="18"/>
          <w:szCs w:val="18"/>
        </w:rPr>
        <w:t xml:space="preserve">D) 30 Tage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10. Was regelt das Arbeitszeitgesetz zur maximalen täglichen Arbeitszeit?</w:t>
      </w:r>
    </w:p>
    <w:p>
      <w:pPr>
        <w:spacing w:after="80"/>
      </w:pPr>
      <w:r>
        <w:rPr>
          <w:sz w:val="18"/>
          <w:szCs w:val="18"/>
        </w:rPr>
        <w:t xml:space="preserve">A) Maximal 8 Stunden, Verlängerung auf 10 Stunden möglich</w:t>
      </w:r>
    </w:p>
    <w:p>
      <w:pPr>
        <w:spacing w:after="80"/>
      </w:pPr>
      <w:r>
        <w:rPr>
          <w:sz w:val="18"/>
          <w:szCs w:val="18"/>
        </w:rPr>
        <w:t xml:space="preserve">B) Maximal 10 Stunden ohne Ausnahme</w:t>
      </w:r>
    </w:p>
    <w:p>
      <w:pPr>
        <w:spacing w:after="80"/>
      </w:pPr>
      <w:r>
        <w:rPr>
          <w:sz w:val="18"/>
          <w:szCs w:val="18"/>
        </w:rPr>
        <w:t xml:space="preserve">C) Maximal 12 Stunden mit Genehmigung</w:t>
      </w:r>
    </w:p>
    <w:p>
      <w:pPr>
        <w:spacing w:after="80"/>
      </w:pPr>
      <w:r>
        <w:rPr>
          <w:sz w:val="18"/>
          <w:szCs w:val="18"/>
        </w:rPr>
        <w:t xml:space="preserve">D) Keine gesetzliche Begrenzung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LÖSUNGSBOGEN</w:t>
      </w:r>
    </w:p>
    <w:p>
      <w:pPr>
        <w:shd w:fill="C8E6C9" w:val="clear"/>
        <w:spacing w:after="200"/>
        <w:jc w:val="center"/>
      </w:pPr>
      <w:r>
        <w:rPr>
          <w:b/>
          <w:bCs/>
          <w:color w:val="2E7D32"/>
          <w:sz w:val="28"/>
          <w:szCs w:val="28"/>
        </w:rPr>
        <w:t xml:space="preserve">MUSTERLÖSUNGEN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AP1 - LÖSUNGEN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IPv6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IPv6-Aufbau und Adresstypen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IPv6-Adresse: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128 Bit lang (IPv4: 32 Bit)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8 Blöcke à 16 Bit, hexadezimal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Getrennt durch Doppelpunkt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2001:0db8:85a3:0000:0000:8a2e:0370:7334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Adresstypen: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Unicast: Eine Schnittstelle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Global Unicast (2000::/3): Öffentlich routbar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Link-Local (fe80::/10): Nur im lokalen Segment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Unique Local (fc00::/7): Privat, wie 10.x.x.x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Multicast (ff00::/8): An Gruppe von Hosts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ff02::1 = Alle Hosts im Segment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ff02::2 = Alle Router im Segment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Anycast: Nächster aus einer Gruppe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SLAAC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SLAAC = Stateless Address Autoconfiguration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Funktionsweise: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Host generiert Link-Local-Adresse (fe80::)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Duplicate Address Detection (DAD)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Router Solicitation an ff02::2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Router Advertisement vom Router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Enthält Prefix (z.B. 2001:db8:1::/64)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Host kombiniert Prefix + Interface ID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Interface ID aus MAC (EUI-64) oder zufällig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 DHCP-Server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Automatische 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Stateless: Router speichert keine Zuordnung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Optional: DHCPv6 für DNS, Domain etc.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Übergangstechnologien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Dual-Stack: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IPv4 und IPv6 parallel auf allen Geräten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Beste Kompatibilität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Aufwändiger (zwei Protokolle verwalten)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Empfohlene Langzeitstrategie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Tunneling (6to4, Teredo, ISATAP):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IPv6 über IPv4-Netzwerk transportieren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Übergangsphase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Zusätzlicher Overhead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Kann Sicherheitsprobleme verursachen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NAT64 + DNS64: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IPv6-only Clients erreichen IPv4-Server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Gateway übersetzt Protokolle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neue IPv6-only Netze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Komplexität bei manchen Anwendungen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IPv6 kürzen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Original: 2001:0db8:0000:0000:0000:0000:0001:0001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Kürzungsregeln: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Führende Nullen weglassen: 0db8 → db8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Aufeinanderfolgende Null-Blöcke durch :: ersetzen (nur 1x)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Schritt 1: 2001:db8:0:0:0:0:1:1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Schritt 2: 2001:db8::1:1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Ergebnis: 2001:db8::1:1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IPv6 Vorteile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 gegenüber IPv4: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Größerer Adressraum: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2^128 Adressen (statt 2^32)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Keine NAT-Notwendigkeit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Vereinfachter Header: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Schnelleres Routing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Keine Prüfsumme im Header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Autokonfiguration (SLAAC):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Plug &amp; Play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Weniger Verwaltung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Integrierte Sicherheit: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IPsec von Anfang an vorgesehen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Bessere QoS-Unterstützung: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Flow Label im Header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Keine Fragmentierung durch Router: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Path MTU Discovery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Effizienter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Datenbanken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Normalformen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Normalform (1NF):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Alle Attribute atomar (keine Listen)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Jede Zelle enthält nur einen Wert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Nicht "Tel1, Tel2" sondern separate Zeilen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Normalform (2NF):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1NF erfüllt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Alle Nicht-Schlüssel voll abhängig vom Primärschlüssel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partielle Abhängigkeit bei zusammengesetzten Schlüsseln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Normalform (3NF):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2NF erfüllt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transitiven Abhängigkeiten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Nicht-Schlüssel nur vom Schlüssel abhängig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Zweck: Redundanz vermeiden, Anomalien verhindern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SQL-Abfrage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SELECT k.Name, k.Email, b.Betrag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FROM Kunden 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INNER JOIN Bestellungen b ON k.KundenID = b.KundenID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WHERE b.Betrag &gt; 500;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Alternativ mit Alias: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SELECT Kunden.Name, Kunden.Email, Bestellungen.Betrag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FROM Kunden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JOIN Bestellungen ON Kunden.KundenID = Bestellungen.KundenID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WHERE Bestellungen.Betrag &gt; 500;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JOIN-Typen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INNER JOIN: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Datensätze die in BEIDEN Tabellen matchen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Kunden ohne Bestellung werden nicht angezeigt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Standard-JOIN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LEFT JOIN (LEFT OUTER JOIN):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ALLE Datensätze der linken Tabelle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Matching-Daten der rechten Tabelle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 Match → NULL-Werte rechts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Zeigt auch Kunden ohne Bestellung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RIGHT JOIN (RIGHT OUTER JOIN):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ALLE Datensätze der rechten Tabelle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Matching-Daten der linken Tabelle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 Match → NULL-Werte links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Seltener verwendet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ACID-Eigenschaften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ACID bei Transaktionen: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Atomicity (Atomarität):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Alles oder nichts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Transaktion ganz oder gar nicht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Fehler: Rollback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Consistency (Konsistenz):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DB vor und nach Transaktion konsistent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Constraints werden eingehalten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Isolation (Isolation):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Transaktionen beeinflussen sich nicht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Parallele Transaktionen isoliert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Verschiedene Isolation Levels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Durability (Dauerhaftigkeit):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Abgeschlossene Transaktion ist permanent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Auch nach Systemausfall erhalten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Write-Ahead-Logging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Datenbank-Backup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SQL Server Backup-Methoden: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Vollsicherung (Full Backup):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Komplette Datenbank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Basis für alle anderen Backups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BACKUP DATABASE dbname TO DISK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Differenzielles Backup: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Änderungen seit letztem Full Backup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Schneller als Full, aber wächst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Transaktionslog-Backup: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Nur Transaktionslog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Point-in-Time Recovery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Sehr häufig (alle 15 Min)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Kopiesicherung (Copy-Only):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Unterbricht Backup-Kette nicht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Für Ad-hoc-Sicherungen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Empfehlung: Full + Diff + Log kombinieren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PowerShell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PowerShell-Konzepte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Cmdlet: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PowerShell-Befehl im Verb-Noun Format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Get-Process, Set-Location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Über 200 integrierte Cmdlets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Pipeline: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Ausgabe eines Cmdlets → Eingabe des nächsten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Symbol: | (Pipe)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Get-Process | Where-Object {$_.CPU -gt 100}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Parameter: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Optionen für Cmdlets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Benannt (-Name) oder positional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Get-Service -Name "Spooler"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Alias: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Kurzform für Cmdlets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dir = Get-ChildItem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ls = Get-ChildItem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cd = Set-Location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Gestoppte Dienste anzeigen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Get-Service | Where-Object {$_.Status -eq 'Stopped'}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Oder kürzer: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Get-Service | Where Status -eq Stopped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Oder mit Alias: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gsv | ? Status -eq Stopped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Ausgabe nur Name: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Get-Service | Where Status -eq Stopped | Select Name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AD-Benutzer anlegen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New-ADUser -Name "Max Mustermann" `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-GivenName "Max" `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-Surname "Mustermann" `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-SamAccountName "mmustermann" `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-UserPrincipalName "mmustermann@firma.de" `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-Path "OU=Benutzer,DC=firma,DC=de" `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-AccountPassword (ConvertTo-SecureString "P@ssw0rd!" -AsPlainText -Force) `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-Enabled $true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Wichtige Parameter: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-Name: Anzeigename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-SamAccountName: Login-Name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-Path: OU für das Konto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-AccountPassword: Initiales Passwort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-Enabled: Konto aktivieren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PowerShell vs CMD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 PowerShell gegenüber CMD: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Objektorientiert: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Ausgabe sind Objekte, nicht Text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Eigenschaften direkt zugreifbar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Keine Text-Parsing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Pipeline mit Objekten: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Objekte zwischen Cmdlets weitergeben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Filtern, Sortieren, Formatieren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Integration: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Active Directory, Exchange, Azure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WMI, .NET, COM-Objekte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Remote-Verwaltung (PSRemoting)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Scripting: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Vollwertige Programmiersprache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Funktionen, Module, Error Handling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ISE/VS Code Unterstützung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Execution Policy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Execution Policy - Sicherheitsstufen: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Restricted: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Skripte ausführen (Default Windows Client)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interaktive Befehle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AllSigned: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signierte Skripte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Von vertrauenswürdigem Publisher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RemoteSigned: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Lokale Skripte ohne Signatur OK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Heruntergeladene müssen signiert sein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Empfohlen für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Unrestricted: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Alle Skripte ausführen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Warnung bei heruntergeladenen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Bypass: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Einschränkungen, keine Warnungen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automatisierte Prozesse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Setzen: Set-ExecutionPolicy RemoteSigned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Thin Clients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Client-Typen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Thin Client: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Minimales lokales OS (Linux/Windows Embedded)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Software für RDP, Citrix, VMware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Lokale Peripherie, evtl. USB-Redirect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Etwas lokale Verwaltung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Zero Client: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 lokales 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Hardware-Decoder für Protokoll (PCoIP)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Noch weniger Verwaltung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Sehr sicher (kein lokales OS)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für ein Protokoll optimiert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Fat Client (PC):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Vollwertiges OS und Anwendungen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Lokale Verarbeitung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Flexibel, aber aufwändig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Höhere Hardware-Kosten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VDI-Protokolle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RDP (Remote Desktop Protocol):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Microsoft-Standard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 Windows integriert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UDP/TCP Port 3389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Gut für LAN, WAN mit Einschränkungen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HDX/ICA (Citrix):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Citrix-proprietär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Sehr gute WAN-Optimierung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Multimedia-Redirect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Adaptive Transport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PCoIP (VMware/Teradici):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VMware Horizon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Hardware-Beschleunigung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UDP-basiert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Gute Grafikqualität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Blast Extreme (VMware):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HTML5-fähig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Adaptiv an Netzwerk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Alternative zu PCoIP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Thin Client Vorteile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 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Geringere Kosten: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Günstigere Hardware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Längere Lebensdauer (5-7 Jahre)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Weniger Stromverbrauch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Zentrale Verwaltung: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Updates nur auf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Einheitliche 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Weniger Vor-Ort-Support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Sicherheit: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Keine lokalen 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 USB-Stick mit Daten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Diebstahl unkritisch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Einfacher Austausch: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 Defekt: Neuen hinstellen, fertig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Keine Migration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Flexibilität: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Hot Desking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Gleiche Umgebung überall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VDI vs Session-based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VDI (Virtual Desktop Infrastructure):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Jeder Benutzer eigene VM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Eigenes Windows-OS pro User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Volle Isolation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 Ressourcen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Power-User, Entwickler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Produkte: VMware Horizon, Citrix Virtual Desktops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Session-based (RDS):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Mehrere Benutzer auf einem Server-OS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Shared Desktop oder RemoteApp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Ressourceneffizienter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Weniger Isolation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Standardarbeitsplätze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Produkte: Microsoft RDS, Citrix Virtual Apps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Kosten: Session-based günstiger pro User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Netzwerk-Anforderungen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Thin Client Netzwerk-Anforderungen: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Bandbreite: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Min. 150-200 Kbit/s pro User (Office)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1-5 Mbit/s für Multimedia/Video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10 Mbit/s für Grafik-intensiv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Latenz: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Max. 150ms (besser &lt;50ms)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Kritisch für Benutzererfahrung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WAN-Optimierung bei Filialen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Zuverlässigkeit: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Stabile Verbindung essentiell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 Ausfall: Kein Arbeiten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Redundante Anbindung empfohlen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QoS: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Priorisierung des VDI-Traffics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Besonders bei VoIP-Integration</w:t>
            </w:r>
          </w:p>
        </w:tc>
      </w:tr>
    </w:tbl>
    <w:p>
      <w:r>
        <w:br w:type="page"/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AP2 - LÖSUNGEN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API-Sicherheit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REST-APIs und HTTP-Methoden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REST (Representational State Transfer):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Architekturstil für Web-APIs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Stateless: Jede Anfrage unabhängig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Ressourcen über URLs identifiziert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JSON oder XML als Datenformat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HTTP-Methoden: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GET: Ressource abrufen (lesen)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GET /api/users/123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Idempotent, cacheable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POST: Neue Ressource erstellen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POST /api/users (Body: Daten)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Nicht idempotent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PUT: Ressource ersetzen/aktualisieren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PUT /api/users/123 (komplettes Update)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Idempotent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DELETE: Ressource löschen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DELETE /api/users/123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Idempotent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OAuth 2.0 Authorization Code Flow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OAuth 2.0 Authorization Code Flow: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User klickt "Login mit Provider"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Redirect zum Authorization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Client-ID, Redirect-URI, Scope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User authentifiziert sich beim Provider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User autorisiert Zugriff (Consent)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Redirect zurück mit Authorization Code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Backend tauscht Code gegen Access Token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Mit Client-ID + Client-Secret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7. Access Token für API-Zugriff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Komponenten: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Resource Owner: Benutzer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Client: Die Anwendung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Authorization Server: Gibt Tokens aus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Resource Server: Die geschützte API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Sicherheit: Code + Secret im Backend, nie im Browser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API-Key vs OAuth vs JWT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API-Key: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Einfacher String zur Identifikation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Im Header oder Query-Parameter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User-Identität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Server-zu-Server, einfache Szenarien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Risiko: Leicht zu stehlen wenn exponiert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OAuth 2.0: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Delegierte Autorisierung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User gibt App Berechtigung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Access + Refresh Tokens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User-Authentifizierung, Third-Party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Komplexer, aber sicherer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JWT (JSON Web Token):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Selbstenthaltenes Token mit Claims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Signiert (JWS) oder verschlüsselt (JWE)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Kann User-Info enthalten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Stateless Verifizierung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Oft als OAuth Access Token verwendet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API-Gateway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API-Gateway: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Zentrale Eingangsstelle für alle APIs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Zwischen Client und Backend-Services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Routing: Anfragen an richtige Services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Authentication/Authorization: Token-Validierung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Rate Limiting: Anfragen pro Zeit begrenzen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Throttling: Überlast verhindern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Caching: Häufige Antworten cachen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Transformation: Request/Response ändern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7. Logging/Monitoring: Alle Zugriffe protokollieren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8. SSL-Termination: HTTPS zentral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Beispiele: Kong, AWS API Gateway, Apigee, Azure API Management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API-Sicherheitsrisiken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 Risiken und Gegenmaßnahmen: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Broken Authentication: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Starke Token-Validierung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MFA, Token-Expiry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Injection (SQL, NoSQL):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Input-Validierung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Parameterized Queries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Excessive Data Exposure: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Nur benötigte Felder zurückgeben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Response-Filterung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Rate Limiting fehlt: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Brute-Force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Rate Limits implementieren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Throttling bei Missbrauch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Cloud-Migration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Migrationsstrategien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Rehost (Lift &amp; Shift):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VM direkt in Cloud verschieben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Änderungen an Anwendung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Schnell, geringes Risiko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Nutzt Cloud-Vorteile wenig aus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Replatform (Lift &amp; Reshape):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Leichte Anpassungen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Managed Services nutzen (RDS statt SQL-VM)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Mittlerer Aufwand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Bessere Cloud-Integration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Refactor (Re-architect):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Anwendung für Cloud neu entwickeln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Cloud-native (Container, Serverless)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Höchster Aufwand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Beste Cloud-Nutzung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strategisch wichtige Apps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Hybrid-Cloud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Hybrid-Cloud: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Kombination On-Premises + Public Cloud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Verbunden über VPN/ExpressRoute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Workloads verteilt nach Anforderungen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Flexibilität: Kritisches lokal, Rest in Cloud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Compliance: Sensible Daten bleiben On-Prem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Schrittweise Migration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Cloud-Bursting: Lastspitzen in Cloud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Geo-Redundanz: DR in anderem Standort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Kostenoptimierung: Mix aus CapEx/OpEx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 ERP lokal, Exchange in M365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Migrationsfaktoren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 wichtige Faktoren: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Compliance und Datenschutz: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DSGVO, Branchenregulierung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Datenresidenz (EU-Region?)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Kosten: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TCO-Berechnung (nicht nur Lizenz)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Egress-Kosten, Reserved Instances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Abhängigkeiten: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Welche Apps kommunizieren?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Latenz bei Trennung?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Skills und Training: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Team Cloud-ready?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Schulungsbedarf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Downtime/Risiko: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Migrationsfenster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Rollback-Plan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Testmöglichkeiten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Exchange vs VM Migration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Exchange zu Microsoft 365: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SaaS-Migration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Microsoft-Tools (Hybrid, Cutover, Staged)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Mailbox-Migration über Wochen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Koexistenz während Migration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Infrastruktur-Verwaltung mehr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Lizenzmodell ändert sich (Subscription)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VM-Migration zu Azure: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IaaS-Migration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Azure Migrate / Site Recovery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Replikation der VM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Cutover mit kurzem Downtime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Weiterhin OS + App verwalten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Lift &amp; Shift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Unterschied: SaaS = Anwendung abgeben, IaaS = Infrastruktur verlagern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Landing Zones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Landing Zone: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Vorkonfigurierte Cloud-Umgebung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Best Practices für Governance, Security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Basis für alle weiteren Deployments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Bestandteile: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Subscription/Account-Struktur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Netzwerk-Topologie (Hub-Spoke)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Identity-Integration (Azure AD/IAM)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Security Baselines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Governance Policies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Logging und Monitoring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Warum wichtig: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Konsistenz über alle Projekte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Security von Anfang 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Schnelleres Onboarding neuer Workloads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Vermeidet nachträgliche Korrekturen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Beispiele: Azure Landing Zones, AWS Control Tower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Disaster Recovery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RTO und RPO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RTO (Recovery Time Objective):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Maximale tolerierbare Ausfallzeit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Wie lange darf System down sein?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Im Szenario: 1 Stunde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Bestimmt DR-Strategie (Hot/Warm/Cold)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RPO (Recovery Point Objective):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Maximaler tolerierbarer Datenverlust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Wie alt darf letztes Backup sein?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Im Szenario: 15 Minuten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Bestimmt Backup-/Replikationsfrequenz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 Szenario: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Server fällt um 14:00 aus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RPO 15 Min → Daten bis 13:45 OK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RTO 1h → Muss bis 15:00 laufen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DR-Strategien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Cold Site: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Räumlichkeit und Strom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Hardware muss erst beschafft/installiert werden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RTO: Tage bis Wochen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Günstigste Option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Warm Site: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Hardware vorhanden und vorkonfiguriert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Daten müssen noch eingespielt werden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RTO: Stunden bis 1 Tag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Mittlere Kosten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Hot Site: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Vollständig gespiegelte Umgebung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Echtzeit-Replikation der 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RTO: Minuten bis Stunden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Teuerste Option, aber schnellste Recovery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Für Szenario (RTO 1h, RPO 15min): Hot Site nötig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Replikation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Synchrone Replikation: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Schreibvorgang erst bestätigt wenn an beiden Standorten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RPO = 0 (kein Datenverlust)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Höhere Latenz bei Schreiboperationen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bei geringer Distanz (&lt;100km)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kritischste 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Asynchrone Replikation: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Schreibvorgang sofort bestätigt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Replikation verzögert (Sekunden/Minuten)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RPO &gt; 0 (Datenverlust möglich)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Über große Distanzen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Weniger Performance-Impact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Technologien: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Storage-Replikation (SAN, NetApp SnapMirror)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VM-Replikation (Hyper-V Replica, vSphere Replication)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Datenbank-Replikation (AlwaysOn, Log Shipping)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DR-Plan Bestandteile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Disaster Recovery Plan: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Scope und Ziele: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RTO/RPO pro System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Kritische Systeme definiert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Rollen und Verantwortlichkeiten: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Wer entscheidet DR-Aktivierung?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Kontaktlisten, Eskalation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Inventar: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Alle Systeme und Abhängigkeiten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Prioritäten-Reihenfolge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Recovery-Prozeduren: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Schritt-für-Schritt-Anleitungen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Für jedes System dokumentiert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Kommunikationsplan: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Interne/Externe Kommunikation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Kunden, Partner, Presse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Testplan: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Regelmäßige Tests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Lessons Learned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DR-Tests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Test-Arten: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Tabletop Exercise: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Theoretische Durchsprache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Team geht Plan durch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 echtes Failover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Günstig, findet Lücken im Plan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Walkthrough Test: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Technische Validierung ohne Failover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Prüfen ob Backups lesbar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Dokumentation aktuell?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Simulation Test: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Teilweises Failover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Nicht-kritische Systeme testen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Isolierte Umgebung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Full Interruption Test: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Echtes Failover zum DR-Standort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Produktionsbetrieb von DR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Höchstes Risiko, beste Validierung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Meist jährlich geplant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SOC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SOC-Kernfunktionen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 Hauptaufgaben eines SOC: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Monitoring &amp; Detection: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24/7 Überwachung aller Systeme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SIEM-Alerts analysieren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Anomalien erkennen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Incident Response: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Auf Sicherheitsvorfälle reagieren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Eindämmung, Beseitigung, Recovery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Threat Intelligence: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Bedrohungslage beobachten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IOCs sammeln und anwenden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Proaktive Schutzmaßnahmen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Vulnerability Management: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Schwachstellen identifizieren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Patch-Empfehlungen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Risikobewertung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Reporting &amp; Compliance: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Security-Berichte erstellen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Compliance nachweisen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KPIs tracken (MTTD, MTTR)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SOC-Tier-Modell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Tier 1 - Security Analyst: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First Line, Alert Triage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SIEM-Alerts überprüfen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False Positives aussortieren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Echte Incidents eskalieren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Standardprozeduren ausführen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Tier 2 - Incident Responder: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Tiefergehende Analyse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Incident Investigation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Malware-Analyse (Basis)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Komplexere Vorfälle bearbeiten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Containment-Maßnahmen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Tier 3 - Threat Hunter / Expert: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Proaktive Bedrohungssuche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Forensische Analyse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Malware Reverse Engineering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Neue Detektionsregeln entwickeln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Architektur-Beratung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Threat Hunting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Threat Hunting: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Proaktive Suche nach Bedrohungen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Annahme: Angreifer ist bereits im 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Hypothesen-basiert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Nicht auf Alerts warten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Unterschied zu Monitoring: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Monitoring (reaktiv):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Wartet auf Alerts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Regelbasiert (SIEM)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Bekannte Bedrohungen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Threat Hunting (proaktiv):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Aktive Suche ohne Alert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Hypothesen entwickeln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Unbekannte Bedrohungen finden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Kreativität und Expertise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Methoden: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IOC-basiert: Nach bekannten Indikatoren suchen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Verhaltens-basiert: Anomalien in 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Intelligence-basiert: Aus Threat Reports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SOC-Tools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Tools und Technologien: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SIEM: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Log-Sammlung, Korrelation, Alerts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Splunk, Microsoft Sentinel, QRadar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EDR/XDR: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Endpoint-Überwachung, Response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CrowdStrike, Defender, Carbon Black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SOAR: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Automatisierung, Playbooks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Palo Alto XSOAR, Splunk SOAR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Threat Intelligence Platform: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IOC-Management, Feeds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MISP, Anomali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Ticketing-System: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Incident-Tracking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ServiceNow, Jira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Forensik-Tools: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Analyse, Evidence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Volatility, FTK, Autopsy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SOAR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SOAR = Security Orchestration, Automation and Response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Orchestration: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Verbindet verschiedene Security-Tools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Einheitliche Oberfläche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Daten aus SIEM, EDR, Firewall...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Automation: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Playbooks für repetitive Aufgaben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Automatische Enrichment (IP-Lookup)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Automatische Response-Aktionen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Response: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Geführte Incident Response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Dokumentation automatisch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Case 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 für SOC: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Schnellere Reaktion (MTTR sinkt)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Entlastet Tier-1-Analysten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Konsistente Prozesse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Weniger manuelle Fehler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Skalierbarkeit</w:t>
            </w:r>
          </w:p>
        </w:tc>
      </w:tr>
    </w:tbl>
    <w:p>
      <w:pPr>
        <w:spacing w:before="200"/>
      </w:pP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WISO - LÖSUNGEN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Lösung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Jahre Betriebszugehörigkeit = 2 Monate zum Monatsende (§622 BGB)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KSchG gilt ab mehr als 10 Arbeitnehmern (§23 KSchG)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Ordentliche Kündigung während Schwangerschaft + 4 Monate nach Entbindung unzulässig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Arbeitszeit ist mitbestimmungspflichtig (§87 BetrVG)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Abmahnung = formale Rüge mit Hinweis auf Kündigung bei Wiederholung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Nach 6 Wochen Entgeltfortzahlung zahlt Krankenkasse Krankengeld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Aufhebungsvertrag = einvernehmliche Beendigung (kein einseitiger Akt)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Zeugnis muss wohlwollend UND wahrheitsgemäß sein (Zeugnisgrundsätze)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Gesetzlicher Mindesturlaub: 20 Tage bei 5-Tage-Woche (§3 BUrlG)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Max. 8h täglich, Verlängerung auf 10h bei Ausgleich möglich (§3 ArbZG)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2E7D32"/>
          <w:sz w:val="28"/>
          <w:szCs w:val="28"/>
        </w:rPr>
        <w:t xml:space="preserve">VIEL ERFOLG BEI DER PRÜFUNG! 🚀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2026-01-17T00:07:43.055Z</dcterms:created>
  <dcterms:modified xsi:type="dcterms:W3CDTF">2026-01-17T00:07:43.056Z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