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Памятка: соответствие машин и IP-адресов</w:t>
      </w:r>
    </w:p>
    <w:p>
      <w:r>
        <w:t>Для двух изменённых практических работ. Названия в столбце «Новое имя» используются в документах.</w:t>
      </w:r>
    </w:p>
    <w:p>
      <w:pPr>
        <w:pStyle w:val="Heading1"/>
      </w:pPr>
      <w:r>
        <w:t>1. Соответствие названий машин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Старое имя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Новое имя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Назначение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ISP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EDGE-01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Внешний интернет / пограничная машина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HQ-RTR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CORE-RTR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Маршрутизатор центрального офиса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BR-RTR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REMOTEANCH-RTR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Маршрутизатор филиала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HQ-SW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CORE-SW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Коммутатор центрального офиса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HQ-SRV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CORE-SRV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Сервер центрального офиса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HQ-CLI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CORE-PC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Клиентский компьютер центрального офиса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BR-CLI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REMOTEANCH-PC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Клиентский компьютер филиала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BR-SRV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REMOTEANCH-SRV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Сервер филиала; в работе №2 на нём также Samba DC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BR-FW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REMOTEANCH-FW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Межсетевой экран филиала</w:t>
            </w:r>
          </w:p>
        </w:tc>
      </w:tr>
    </w:tbl>
    <w:p>
      <w:pPr>
        <w:pStyle w:val="Heading1"/>
      </w:pPr>
      <w:r>
        <w:t>2. Соответствие IP-адресов и сетей</w:t>
      </w:r>
    </w:p>
    <w:p>
      <w:r>
        <w:t>Ниже приведены адреса, которые явно встречаются в текстах работ. Если адрес находится внутри команды или URL, заменять его нужно на новый вариант из правого столбца.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Было в исходной работе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Стало в изменённой работе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Где используется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172.16.1.2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172.31.1.2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Внешний адрес HQ-RTR для GRE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172.16.2.2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172.31.2.2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Внешний адрес BR-RTR для GRE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172.16.1.1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172.31.1.1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Шлюз/сервер времени, встречается в работе №2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10.10.10.1/30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10.50.50.1/30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GRE-туннель на HQ-RTR / CORE-RTR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10.10.10.2/30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10.50.50.2/30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GRE-туннель на BR-RTR / REMOTEANCH-RTR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10.10.100.0/27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192.168.100.0/27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Сеть HQ, объявление OSPF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10.10.200.0/28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192.168.200.0/28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Сеть HQ, объявление OSPF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10.10.30.0/29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192.168.30.0/29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Сеть HQ, объявление OSPF; проверьте, что не пересекается с сетью филиала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10.20.10.0/30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192.168.20.0/30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Сеть между BR-RTR и firewall в исходном документе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10.10.in-addr.arpa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10.30.in-addr.arpa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Имя файла обратной DNS-зоны, изменено в документе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10.20.30.1:8443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192.168.30.1:8443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Веб-интерфейс межсетевого экрана филиала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10.20.20.2:8080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192.168.20.2:8080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Веб-приложение в Docker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au-team.irpo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northwind.lan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Доменное имя</w:t>
            </w:r>
          </w:p>
        </w:tc>
      </w:tr>
    </w:tbl>
    <w:p>
      <w:pPr>
        <w:pStyle w:val="Heading1"/>
      </w:pPr>
      <w:r>
        <w:t>3. Быстрая шпаргалка по новым адресам</w:t>
      </w:r>
    </w:p>
    <w:p>
      <w:pPr>
        <w:pStyle w:val="ListBullet"/>
      </w:pPr>
      <w:r>
        <w:t>GRE-туннель: CORE-RTR — 10.50.50.1/30; REMOTEANCH-RTR — 10.50.50.2/30.</w:t>
      </w:r>
    </w:p>
    <w:p>
      <w:pPr>
        <w:pStyle w:val="ListBullet"/>
      </w:pPr>
      <w:r>
        <w:t>GRE внешние адреса: CORE-RTR использует 172.31.1.2, REMOTEANCH-RTR — 172.31.2.2.</w:t>
      </w:r>
    </w:p>
    <w:p>
      <w:pPr>
        <w:pStyle w:val="ListBullet"/>
      </w:pPr>
      <w:r>
        <w:t>Шлюз/время для настройки chrony и NTP в работе №2: 172.31.1.1.</w:t>
      </w:r>
    </w:p>
    <w:p>
      <w:pPr>
        <w:pStyle w:val="ListBullet"/>
      </w:pPr>
      <w:r>
        <w:t>Сеть центрального офиса: встречаются 192.168.100.0/27 и 192.168.200.0/28.</w:t>
      </w:r>
    </w:p>
    <w:p>
      <w:pPr>
        <w:pStyle w:val="ListBullet"/>
      </w:pPr>
      <w:r>
        <w:t>Сеть филиала: встречается 192.168.20.0/30; firewall доступен по 192.168.30.1:8443.</w:t>
      </w:r>
    </w:p>
    <w:p>
      <w:pPr>
        <w:pStyle w:val="ListBullet"/>
      </w:pPr>
      <w:r>
        <w:t>Веб-приложение: http://192.168.20.2:8080.</w:t>
      </w:r>
    </w:p>
    <w:p>
      <w:pPr>
        <w:pStyle w:val="ListBullet"/>
      </w:pPr>
      <w:r>
        <w:t>Домен: northwind.lan. DNS-файлы в работе №1: /etc/bind/zone/northwind.lan.zone и /etc/bind/zone/10.30.in-addr.arpa.</w:t>
      </w:r>
    </w:p>
    <w:p>
      <w:pPr>
        <w:pStyle w:val="Heading1"/>
      </w:pPr>
      <w:r>
        <w:t>4. Важно перед выполнением</w:t>
      </w:r>
    </w:p>
    <w:p>
      <w:pPr>
        <w:pStyle w:val="ListBullet"/>
      </w:pPr>
      <w:r>
        <w:t>Это таблица соответствий по тексту документов, а не проверенная рабочая схема сети.</w:t>
      </w:r>
    </w:p>
    <w:p>
      <w:pPr>
        <w:pStyle w:val="ListBullet"/>
      </w:pPr>
      <w:r>
        <w:t>В исходных работах часть адресов была показана только на скриншотах. После удаления фотографий точные IP-адреса всех интерфейсов и файлов конфигурации восстановить нельзя.</w:t>
      </w:r>
    </w:p>
    <w:p>
      <w:pPr>
        <w:pStyle w:val="ListBullet"/>
      </w:pPr>
      <w:r>
        <w:t>В новой работе адреса сети OSPF и диапазоны NAT изменены отдельно. Перед запуском проверьте, что адреса интерфейсов, шлюзы, DNS-записи, маршруты, NAT и OSPF используют согласованные подсети.</w:t>
      </w:r>
    </w:p>
    <w:p>
      <w:pPr>
        <w:pStyle w:val="ListBullet"/>
      </w:pPr>
      <w:r>
        <w:t>В изменённом документе встречается NAT-пул CENTRAL 192.168.50.1–192.168.50.254 и NAT-пул REMOTE 192.168.60.1–192.168.60.254. Эти пулы не являются автоматически адресами интерфейсов машин.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