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Times New Roman" w:cs="Times New Roman" w:eastAsia="Times New Roman" w:hAnsi="Times New Roman"/>
          <w:b/>
          <w:bCs/>
          <w:sz w:val="34"/>
          <w:szCs w:val="34"/>
        </w:rPr>
        <w:t xml:space="preserve">An Embodied, Connectome-Constrained Simulation of Drosophila melanogaster:</w:t>
      </w:r>
    </w:p>
    <w:p>
      <w:pPr>
        <w:spacing w:after="220"/>
      </w:pPr>
      <w:r>
        <w:rPr>
          <w:rFonts w:ascii="Times New Roman" w:cs="Times New Roman" w:eastAsia="Times New Roman" w:hAnsi="Times New Roman"/>
          <w:b/>
          <w:bCs/>
          <w:sz w:val="34"/>
          <w:szCs w:val="34"/>
        </w:rPr>
        <w:t xml:space="preserve">Architecture, Sensorimotor Wiring, and Coverage</w:t>
      </w:r>
    </w:p>
    <w:p>
      <w:pPr>
        <w:spacing w:after="60"/>
      </w:pPr>
      <w:r>
        <w:rPr>
          <w:rFonts w:ascii="Times New Roman" w:cs="Times New Roman" w:eastAsia="Times New Roman" w:hAnsi="Times New Roman"/>
          <w:color w:val="444444"/>
          <w:sz w:val="24"/>
          <w:szCs w:val="24"/>
        </w:rPr>
        <w:t xml:space="preserve">PROJECT: NAF — Neural Assessment of Flies</w:t>
      </w:r>
    </w:p>
    <w:p>
      <w:pPr>
        <w:pBdr>
          <w:bottom w:val="single" w:color="BBBBBB" w:sz="6" w:space="8"/>
        </w:pBdr>
        <w:spacing w:after="300"/>
      </w:pPr>
      <w:r>
        <w:rPr>
          <w:rFonts w:ascii="Times New Roman" w:cs="Times New Roman" w:eastAsia="Times New Roman" w:hAnsi="Times New Roman"/>
          <w:i/>
          <w:iCs/>
          <w:color w:val="444444"/>
          <w:sz w:val="22"/>
          <w:szCs w:val="22"/>
        </w:rPr>
        <w:t xml:space="preserve">Technical research note</w:t>
      </w:r>
    </w:p>
    <w:p>
      <w:pPr>
        <w:spacing w:after="140" w:line="276"/>
      </w:pPr>
      <w:r>
        <w:rPr>
          <w:rFonts w:ascii="Times New Roman" w:cs="Times New Roman" w:eastAsia="Times New Roman" w:hAnsi="Times New Roman"/>
          <w:b/>
          <w:bCs/>
          <w:sz w:val="20"/>
          <w:szCs w:val="20"/>
        </w:rPr>
        <w:t xml:space="preserve">Note on references. </w:t>
      </w:r>
      <w:r>
        <w:rPr>
          <w:rFonts w:ascii="Times New Roman" w:cs="Times New Roman" w:eastAsia="Times New Roman" w:hAnsi="Times New Roman"/>
          <w:sz w:val="20"/>
          <w:szCs w:val="20"/>
        </w:rPr>
        <w:t xml:space="preserve">Citations follow APA 7th edition. Author names, years, titles and journals are given as recorded; volume, page and DOI fields have not been verified against the published record and should be checked before this note is used in formal work. Where a source could not be confidently identified it is described in the text rather than cited. Empirical figures reported here were measured directly from the artefact and are reproducible by the procedures given in Section 7.</w:t>
      </w:r>
    </w:p>
    <w:p>
      <w:pPr>
        <w:pStyle w:val="Heading1"/>
        <w:spacing w:after="160" w:before="360"/>
      </w:pPr>
      <w:r>
        <w:t xml:space="preserve">Abstract</w:t>
      </w:r>
    </w:p>
    <w:p>
      <w:pPr>
        <w:spacing w:after="140" w:line="276"/>
      </w:pPr>
      <w:r>
        <w:rPr>
          <w:rFonts w:ascii="Times New Roman" w:cs="Times New Roman" w:eastAsia="Times New Roman" w:hAnsi="Times New Roman"/>
          <w:sz w:val="22"/>
          <w:szCs w:val="22"/>
        </w:rPr>
        <w:t xml:space="preserve">Connectomics has produced synapse-resolution wiring diagrams of the Drosophila nervous system, but a wiring diagram is not a functioning animal (Bargmann &amp; Marder, 2013). This note documents an artefact that couples a 165,122-neuron leaky integrate-and-fire model of the male Drosophila central nervous system to a biomechanical body in a rigid-body physics engine, closing the sensorimotor loop in real time in a web browser. We describe the neuron model, the four-timescale integration scheme, the shared-memory architecture that permits several animals to share one connectome, the transduction functions that convert physical state into firing rates at identified sensory neurons, the motor readout, and an added mushroom-body plasticity mechanism.</w:t>
      </w:r>
    </w:p>
    <w:p>
      <w:pPr>
        <w:spacing w:after="140" w:line="276"/>
      </w:pPr>
      <w:r>
        <w:rPr>
          <w:rFonts w:ascii="Times New Roman" w:cs="Times New Roman" w:eastAsia="Times New Roman" w:hAnsi="Times New Roman"/>
          <w:sz w:val="22"/>
          <w:szCs w:val="22"/>
        </w:rPr>
        <w:t xml:space="preserve">We then report a quantitative coverage analysis: of 165,122 neurons, 74,498 (45.1%) receive externally imposed sensory drive, 534 (0.3%) are read as motor output, and 90,090 (54.6%) are interior, receiving input solely through modelled synapses. Sensory coverage is 74.5% of annotated sensory neurons; the principal gaps are unclassified mechanosensory afferents, the enteric and endocrine systems, and 1,245 of 1,314 descending neurons that are present in the graph but not read by the motor layer. We conclude with a prioritised roadmap toward greater biological realism and a candid statement of what the artefact does and does not demonstrate.</w:t>
      </w:r>
    </w:p>
    <w:p>
      <w:pPr>
        <w:pStyle w:val="Heading1"/>
        <w:spacing w:after="160" w:before="360"/>
      </w:pPr>
      <w:r>
        <w:t xml:space="preserve">1. Introduction</w:t>
      </w:r>
    </w:p>
    <w:p>
      <w:pPr>
        <w:pStyle w:val="Heading2"/>
        <w:spacing w:after="120" w:before="280"/>
      </w:pPr>
      <w:r>
        <w:t xml:space="preserve">1.1 The gap between a wiring diagram and an animal</w:t>
      </w:r>
    </w:p>
    <w:p>
      <w:pPr>
        <w:spacing w:after="140" w:line="276"/>
      </w:pPr>
      <w:r>
        <w:rPr>
          <w:rFonts w:ascii="Times New Roman" w:cs="Times New Roman" w:eastAsia="Times New Roman" w:hAnsi="Times New Roman"/>
          <w:sz w:val="22"/>
          <w:szCs w:val="22"/>
        </w:rPr>
        <w:t xml:space="preserve">Electron-microscopy reconstruction has yielded complete or near-complete synaptic connectivity for the Drosophila hemibrain (Scheffer et al., 2020), the full adult brain (Dorkenwald et al., 2024; Schlegel et al., 2024), and the ventral nerve cord. These datasets specify, for each ordered pair of neurons, the number of synapses between them. They do not specify synaptic sign with certainty, synaptic strength in physiological units, intrinsic excitability, or neuromodulatory state — and they say nothing about the body the circuit evolved to control.</w:t>
      </w:r>
    </w:p>
    <w:p>
      <w:pPr>
        <w:spacing w:after="140" w:line="276"/>
      </w:pPr>
      <w:r>
        <w:rPr>
          <w:rFonts w:ascii="Times New Roman" w:cs="Times New Roman" w:eastAsia="Times New Roman" w:hAnsi="Times New Roman"/>
          <w:sz w:val="22"/>
          <w:szCs w:val="22"/>
        </w:rPr>
        <w:t xml:space="preserve">Bargmann and Marder (2013) argued that connectivity alone underdetermines function, and that the same wiring can produce qualitatively different dynamics under different modulatory regimes. Marder and Goaillard (2006) demonstrated that biological circuits achieve similar output from widely varying underlying parameters. Any connectome-derived simulation therefore makes assumptions beyond the connectome, and the scientific value of such a simulation depends largely on how explicitly those assumptions are stated.</w:t>
      </w:r>
    </w:p>
    <w:p>
      <w:pPr>
        <w:pStyle w:val="Heading2"/>
        <w:spacing w:after="120" w:before="280"/>
      </w:pPr>
      <w:r>
        <w:t xml:space="preserve">1.2 Scope of this artefact</w:t>
      </w:r>
    </w:p>
    <w:p>
      <w:pPr>
        <w:spacing w:after="140" w:line="276"/>
      </w:pPr>
      <w:r>
        <w:rPr>
          <w:rFonts w:ascii="Times New Roman" w:cs="Times New Roman" w:eastAsia="Times New Roman" w:hAnsi="Times New Roman"/>
          <w:sz w:val="22"/>
          <w:szCs w:val="22"/>
        </w:rPr>
        <w:t xml:space="preserve">The system described here is a web-based, real-time, embodied simulation. Its design priorities are, in order:</w:t>
      </w:r>
    </w:p>
    <w:p>
      <w:pPr>
        <w:pStyle w:val="ListParagraph"/>
        <w:numPr>
          <w:ilvl w:val="0"/>
          <w:numId w:val="2"/>
        </w:numPr>
        <w:spacing w:after="90" w:line="276"/>
      </w:pPr>
      <w:r>
        <w:rPr>
          <w:rFonts w:ascii="Times New Roman" w:cs="Times New Roman" w:eastAsia="Times New Roman" w:hAnsi="Times New Roman"/>
          <w:sz w:val="22"/>
          <w:szCs w:val="22"/>
        </w:rPr>
        <w:t xml:space="preserve">that every sensory and motor signal terminates on identified connectome neurons rather than on abstractions;</w:t>
      </w:r>
    </w:p>
    <w:p>
      <w:pPr>
        <w:pStyle w:val="ListParagraph"/>
        <w:numPr>
          <w:ilvl w:val="0"/>
          <w:numId w:val="2"/>
        </w:numPr>
        <w:spacing w:after="90" w:line="276"/>
      </w:pPr>
      <w:r>
        <w:rPr>
          <w:rFonts w:ascii="Times New Roman" w:cs="Times New Roman" w:eastAsia="Times New Roman" w:hAnsi="Times New Roman"/>
          <w:sz w:val="22"/>
          <w:szCs w:val="22"/>
        </w:rPr>
        <w:t xml:space="preserve">that the loop is genuinely closed, so that motor output changes the physical state that generates the next sensory input;</w:t>
      </w:r>
    </w:p>
    <w:p>
      <w:pPr>
        <w:pStyle w:val="ListParagraph"/>
        <w:numPr>
          <w:ilvl w:val="0"/>
          <w:numId w:val="2"/>
        </w:numPr>
        <w:spacing w:after="90" w:line="276"/>
      </w:pPr>
      <w:r>
        <w:rPr>
          <w:rFonts w:ascii="Times New Roman" w:cs="Times New Roman" w:eastAsia="Times New Roman" w:hAnsi="Times New Roman"/>
          <w:sz w:val="22"/>
          <w:szCs w:val="22"/>
        </w:rPr>
        <w:t xml:space="preserve">that several animals can be simulated concurrently in a shared arena; and</w:t>
      </w:r>
    </w:p>
    <w:p>
      <w:pPr>
        <w:pStyle w:val="ListParagraph"/>
        <w:numPr>
          <w:ilvl w:val="0"/>
          <w:numId w:val="2"/>
        </w:numPr>
        <w:spacing w:after="90" w:line="276"/>
      </w:pPr>
      <w:r>
        <w:rPr>
          <w:rFonts w:ascii="Times New Roman" w:cs="Times New Roman" w:eastAsia="Times New Roman" w:hAnsi="Times New Roman"/>
          <w:sz w:val="22"/>
          <w:szCs w:val="22"/>
        </w:rPr>
        <w:t xml:space="preserve">that it runs on consumer hardware without installation.</w:t>
      </w:r>
    </w:p>
    <w:p>
      <w:pPr>
        <w:spacing w:after="140" w:line="276"/>
      </w:pPr>
      <w:r>
        <w:rPr>
          <w:rFonts w:ascii="Times New Roman" w:cs="Times New Roman" w:eastAsia="Times New Roman" w:hAnsi="Times New Roman"/>
          <w:sz w:val="22"/>
          <w:szCs w:val="22"/>
        </w:rPr>
        <w:t xml:space="preserve">It is explicitly </w:t>
      </w:r>
      <w:r>
        <w:rPr>
          <w:rFonts w:ascii="Times New Roman" w:cs="Times New Roman" w:eastAsia="Times New Roman" w:hAnsi="Times New Roman"/>
          <w:i/>
          <w:iCs/>
          <w:sz w:val="22"/>
          <w:szCs w:val="22"/>
        </w:rPr>
        <w:t xml:space="preserve">not</w:t>
      </w:r>
      <w:r>
        <w:rPr>
          <w:rFonts w:ascii="Times New Roman" w:cs="Times New Roman" w:eastAsia="Times New Roman" w:hAnsi="Times New Roman"/>
          <w:sz w:val="22"/>
          <w:szCs w:val="22"/>
        </w:rPr>
        <w:t xml:space="preserve"> a validated model of Drosophila behaviour. Section 8 states the limitations in detail.</w:t>
      </w:r>
    </w:p>
    <w:p>
      <w:pPr>
        <w:pStyle w:val="Heading1"/>
        <w:spacing w:after="160" w:before="360"/>
      </w:pPr>
      <w:r>
        <w:t xml:space="preserve">2. Materials</w:t>
      </w:r>
    </w:p>
    <w:p>
      <w:pPr>
        <w:pStyle w:val="Heading2"/>
        <w:spacing w:after="120" w:before="280"/>
      </w:pPr>
      <w:r>
        <w:t xml:space="preserve">2.1 Connectome</w:t>
      </w:r>
    </w:p>
    <w:p>
      <w:pPr>
        <w:spacing w:after="140" w:line="276"/>
      </w:pPr>
      <w:r>
        <w:rPr>
          <w:rFonts w:ascii="Times New Roman" w:cs="Times New Roman" w:eastAsia="Times New Roman" w:hAnsi="Times New Roman"/>
          <w:sz w:val="22"/>
          <w:szCs w:val="22"/>
        </w:rPr>
        <w:t xml:space="preserve">The neural substrate is the male Drosophila central nervous system connectome, version 1.0, comprising brain and ventral nerve cord in a single graph (Janelia FlyEM and collaborators; released CC-BY). As instantiated here it contains 165,122 neurons and 10,511,038 weighted, directed edges, together with per-neuron annotations for cell type, class, superclass, hemisphere, predicted neurotransmitter, and soma position. Annotation conventions follow the systematic nomenclature of Ito et al. (2014) and the cell-typing approach of Schlegel et al. (2024).</w:t>
      </w:r>
    </w:p>
    <w:p>
      <w:pPr>
        <w:pStyle w:val="Heading2"/>
        <w:spacing w:after="120" w:before="280"/>
      </w:pPr>
      <w:r>
        <w:t xml:space="preserve">2.2 Body</w:t>
      </w:r>
    </w:p>
    <w:p>
      <w:pPr>
        <w:spacing w:after="140" w:line="276"/>
      </w:pPr>
      <w:r>
        <w:rPr>
          <w:rFonts w:ascii="Times New Roman" w:cs="Times New Roman" w:eastAsia="Times New Roman" w:hAnsi="Times New Roman"/>
          <w:sz w:val="22"/>
          <w:szCs w:val="22"/>
        </w:rPr>
        <w:t xml:space="preserve">Body dynamics use flybody, a morphologically detailed Drosophila model comprising an articulated exoskeleton with actuated legs, wings, proboscis, antennae and abdomen (Vaxenburg et al., 2024), simulated in the MuJoCo rigid-body engine (Todorov et al., 2012) compiled to WebAssembly. Units follow flybody: centimetres, grams, seconds. A standing fly’s thorax sits at z ≈ 0.13 cm. The arena is a circular enclosure of radius 2.5 cm with a 1.2 cm wall.</w:t>
      </w:r>
    </w:p>
    <w:p>
      <w:pPr>
        <w:pStyle w:val="Heading2"/>
        <w:spacing w:after="120" w:before="280"/>
      </w:pPr>
      <w:r>
        <w:t xml:space="preserve">2.3 Optic lobe</w:t>
      </w:r>
    </w:p>
    <w:p>
      <w:pPr>
        <w:spacing w:after="140" w:line="276"/>
      </w:pPr>
      <w:r>
        <w:rPr>
          <w:rFonts w:ascii="Times New Roman" w:cs="Times New Roman" w:eastAsia="Times New Roman" w:hAnsi="Times New Roman"/>
          <w:sz w:val="22"/>
          <w:szCs w:val="22"/>
        </w:rPr>
        <w:t xml:space="preserve">Visual processing uses flyvis, a connectome-constrained recurrent network of the optic lobe trained on optic-flow tasks, which predicts neural activity across identified visual cell types (Lappalainen et al., 2024). The instantiated model comprises 45,669 nodes and 1,513,231 edges across 65 cell types, with 721 hexagonal input columns per eye.</w:t>
      </w:r>
    </w:p>
    <w:p>
      <w:pPr>
        <w:pStyle w:val="Heading1"/>
        <w:spacing w:after="160" w:before="360"/>
      </w:pPr>
      <w:r>
        <w:t xml:space="preserve">3. The neuron model</w:t>
      </w:r>
    </w:p>
    <w:p>
      <w:pPr>
        <w:pStyle w:val="Heading2"/>
        <w:spacing w:after="120" w:before="280"/>
      </w:pPr>
      <w:r>
        <w:t xml:space="preserve">3.1 Formulation</w:t>
      </w:r>
    </w:p>
    <w:p>
      <w:pPr>
        <w:spacing w:after="140" w:line="276"/>
      </w:pPr>
      <w:r>
        <w:rPr>
          <w:rFonts w:ascii="Times New Roman" w:cs="Times New Roman" w:eastAsia="Times New Roman" w:hAnsi="Times New Roman"/>
          <w:sz w:val="22"/>
          <w:szCs w:val="22"/>
        </w:rPr>
        <w:t xml:space="preserve">Each neuron is a leaky integrate-and-fire unit following the whole-brain formulation of Shiu et al. (2024), in which every synapse contributes a fixed postsynaptic potential scaled by synapse count, with sign determined by the predicted presynaptic transmitter. Membrane potential evolves as</w:t>
      </w:r>
    </w:p>
    <w:p>
      <w:pPr>
        <w:spacing w:after="140" w:before="60"/>
        <w:jc w:val="center"/>
      </w:pPr>
      <w:r>
        <w:rPr>
          <w:rFonts w:ascii="Consolas" w:cs="Consolas" w:eastAsia="Consolas" w:hAnsi="Consolas"/>
          <w:sz w:val="20"/>
          <w:szCs w:val="20"/>
        </w:rPr>
        <w:t xml:space="preserve">dV/dt = ( V_rest − V + g_E + g_I + I_bias ) / τ_m</w:t>
      </w:r>
    </w:p>
    <w:p>
      <w:pPr>
        <w:spacing w:after="140" w:line="276"/>
      </w:pPr>
      <w:r>
        <w:rPr>
          <w:rFonts w:ascii="Times New Roman" w:cs="Times New Roman" w:eastAsia="Times New Roman" w:hAnsi="Times New Roman"/>
          <w:sz w:val="22"/>
          <w:szCs w:val="22"/>
        </w:rPr>
        <w:t xml:space="preserve">with a conductance-based variant available in which excitatory and inhibitory currents are driven toward reversal potentials E_exc and E_inh. On crossing threshold the neuron emits a spike, resets, and enters a refractory period.</w:t>
      </w:r>
    </w:p>
    <w:p>
      <w:pPr>
        <w:spacing w:after="140" w:line="276"/>
      </w:pPr>
      <w:r>
        <w:rPr>
          <w:rFonts w:ascii="Times New Roman" w:cs="Times New Roman" w:eastAsia="Times New Roman" w:hAnsi="Times New Roman"/>
          <w:b/>
          <w:bCs/>
          <w:sz w:val="22"/>
          <w:szCs w:val="22"/>
        </w:rPr>
        <w:t xml:space="preserve">Parameters. </w:t>
      </w:r>
      <w:r>
        <w:rPr>
          <w:rFonts w:ascii="Times New Roman" w:cs="Times New Roman" w:eastAsia="Times New Roman" w:hAnsi="Times New Roman"/>
          <w:sz w:val="22"/>
          <w:szCs w:val="22"/>
        </w:rPr>
        <w:t xml:space="preserve">dt = 0.5 ms; V_rest = −52 mV; V_thresh = −45 mV; τ_m = 20 ms; τ_syn = 5 ms; t_ref = 2.2 ms; synaptic delay 1.8 ms.</w:t>
      </w:r>
    </w:p>
    <w:p>
      <w:pPr>
        <w:pStyle w:val="Heading2"/>
        <w:spacing w:after="120" w:before="280"/>
      </w:pPr>
      <w:r>
        <w:t xml:space="preserve">3.2 Beyond the base formulation</w:t>
      </w:r>
    </w:p>
    <w:p>
      <w:pPr>
        <w:spacing w:after="140" w:line="276"/>
      </w:pPr>
      <w:r>
        <w:rPr>
          <w:rFonts w:ascii="Times New Roman" w:cs="Times New Roman" w:eastAsia="Times New Roman" w:hAnsi="Times New Roman"/>
          <w:sz w:val="22"/>
          <w:szCs w:val="22"/>
        </w:rPr>
        <w:t xml:space="preserve">Three mechanisms are added because the pure LIF form produces implausibly sustained firing:</w:t>
      </w:r>
    </w:p>
    <w:p>
      <w:pPr>
        <w:pStyle w:val="ListParagraph"/>
        <w:numPr>
          <w:ilvl w:val="0"/>
          <w:numId w:val="3"/>
        </w:numPr>
        <w:spacing w:after="90" w:line="276"/>
      </w:pPr>
      <w:r>
        <w:rPr>
          <w:rFonts w:ascii="Times New Roman" w:cs="Times New Roman" w:eastAsia="Times New Roman" w:hAnsi="Times New Roman"/>
          <w:sz w:val="22"/>
          <w:szCs w:val="22"/>
        </w:rPr>
        <w:t xml:space="preserve">Spike-frequency adaptation. Threshold rises by 2.0 mV per spike and decays with τ = 100 ms.</w:t>
      </w:r>
    </w:p>
    <w:p>
      <w:pPr>
        <w:pStyle w:val="ListParagraph"/>
        <w:numPr>
          <w:ilvl w:val="0"/>
          <w:numId w:val="3"/>
        </w:numPr>
        <w:spacing w:after="90" w:line="276"/>
      </w:pPr>
      <w:r>
        <w:rPr>
          <w:rFonts w:ascii="Times New Roman" w:cs="Times New Roman" w:eastAsia="Times New Roman" w:hAnsi="Times New Roman"/>
          <w:sz w:val="22"/>
          <w:szCs w:val="22"/>
        </w:rPr>
        <w:t xml:space="preserve">Short-term synaptic depression. Per presynaptic neuron, a resource variable x ← x − 0.2x per spike, recovering with τ = 200 ms.</w:t>
      </w:r>
    </w:p>
    <w:p>
      <w:pPr>
        <w:pStyle w:val="ListParagraph"/>
        <w:numPr>
          <w:ilvl w:val="0"/>
          <w:numId w:val="3"/>
        </w:numPr>
        <w:spacing w:after="90" w:line="276"/>
      </w:pPr>
      <w:r>
        <w:rPr>
          <w:rFonts w:ascii="Times New Roman" w:cs="Times New Roman" w:eastAsia="Times New Roman" w:hAnsi="Times New Roman"/>
          <w:sz w:val="22"/>
          <w:szCs w:val="22"/>
        </w:rPr>
        <w:t xml:space="preserve">Input scaling by neuron size. Per-synapse PSP is weighted by w × c / s, where c is synapse count and s is neuron volume relative to its region’s median — larger neurons have lower input resistance.</w:t>
      </w:r>
    </w:p>
    <w:p>
      <w:pPr>
        <w:spacing w:after="140" w:line="276"/>
      </w:pPr>
      <w:r>
        <w:rPr>
          <w:rFonts w:ascii="Times New Roman" w:cs="Times New Roman" w:eastAsia="Times New Roman" w:hAnsi="Times New Roman"/>
          <w:sz w:val="22"/>
          <w:szCs w:val="22"/>
        </w:rPr>
        <w:t xml:space="preserve">Transmitter sign follows the predicted neurotransmitter: acetylcholine excitatory; GABA and glutamate inhibitory; monoamines excitatory unless overridden. Neurons with unknown transmitter receive sign 0 — </w:t>
      </w:r>
      <w:r>
        <w:rPr>
          <w:rFonts w:ascii="Times New Roman" w:cs="Times New Roman" w:eastAsia="Times New Roman" w:hAnsi="Times New Roman"/>
          <w:b/>
          <w:bCs/>
          <w:sz w:val="22"/>
          <w:szCs w:val="22"/>
        </w:rPr>
        <w:t xml:space="preserve">no sign is invented</w:t>
      </w:r>
      <w:r>
        <w:rPr>
          <w:rFonts w:ascii="Times New Roman" w:cs="Times New Roman" w:eastAsia="Times New Roman" w:hAnsi="Times New Roman"/>
          <w:sz w:val="22"/>
          <w:szCs w:val="22"/>
        </w:rPr>
        <w:t xml:space="preserve">, an explicit choice to leave approximately 1.5% of the graph functionally silent rather than guess.</w:t>
      </w:r>
    </w:p>
    <w:p>
      <w:pPr>
        <w:pStyle w:val="Heading2"/>
        <w:spacing w:after="120" w:before="280"/>
      </w:pPr>
      <w:r>
        <w:t xml:space="preserve">3.3 Event-driven evaluation</w:t>
      </w:r>
    </w:p>
    <w:p>
      <w:pPr>
        <w:spacing w:after="140" w:line="276"/>
      </w:pPr>
      <w:r>
        <w:rPr>
          <w:rFonts w:ascii="Times New Roman" w:cs="Times New Roman" w:eastAsia="Times New Roman" w:hAnsi="Times New Roman"/>
          <w:sz w:val="22"/>
          <w:szCs w:val="22"/>
        </w:rPr>
        <w:t xml:space="preserve">Synaptic delivery is event-driven: only the outgoing edges of neurons that actually fired are traversed. Because Drosophila firing rates are low, this traverses a small fraction of the 10.5 million edges per step. Membrane update and threshold detection are dense over the 165,122 neurons, a deliberate trade for vectorisability.</w:t>
      </w:r>
    </w:p>
    <w:p>
      <w:pPr>
        <w:pStyle w:val="Heading1"/>
        <w:spacing w:after="160" w:before="360"/>
      </w:pPr>
      <w:r>
        <w:t xml:space="preserve">4. System architecture</w:t>
      </w:r>
    </w:p>
    <w:p>
      <w:pPr>
        <w:pStyle w:val="Heading2"/>
        <w:spacing w:after="120" w:before="280"/>
      </w:pPr>
      <w:r>
        <w:t xml:space="preserve">4.1 Four clocks</w:t>
      </w:r>
    </w:p>
    <w:p>
      <w:pPr>
        <w:spacing w:after="140" w:line="276"/>
      </w:pPr>
      <w:r>
        <w:rPr>
          <w:rFonts w:ascii="Times New Roman" w:cs="Times New Roman" w:eastAsia="Times New Roman" w:hAnsi="Times New Roman"/>
          <w:sz w:val="22"/>
          <w:szCs w:val="22"/>
        </w:rPr>
        <w:t xml:space="preserve">The outer integration unit is one millisecond of simulated time. Within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560"/>
      </w:tblGrid>
      <w:tr>
        <w:trPr>
          <w:tblHeader/>
        </w:trPr>
        <w:tc>
          <w:tcPr>
            <w:tcW w:type="dxa" w:w="4600"/>
            <w:shd w:fill="ECECEC"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18"/>
                <w:szCs w:val="18"/>
              </w:rPr>
              <w:t xml:space="preserve">Process</w:t>
            </w:r>
          </w:p>
        </w:tc>
        <w:tc>
          <w:tcPr>
            <w:tcW w:type="dxa" w:w="2200"/>
            <w:shd w:fill="ECECEC"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18"/>
                <w:szCs w:val="18"/>
              </w:rPr>
              <w:t xml:space="preserve">Rate</w:t>
            </w:r>
          </w:p>
        </w:tc>
        <w:tc>
          <w:tcPr>
            <w:tcW w:type="dxa" w:w="2560"/>
            <w:shd w:fill="ECECEC"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18"/>
                <w:szCs w:val="18"/>
              </w:rPr>
              <w:t xml:space="preserve">Per outer tick</w:t>
            </w:r>
          </w:p>
        </w:tc>
      </w:tr>
      <w:tr>
        <w:tc>
          <w:tcPr>
            <w:tcW w:type="dxa" w:w="460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MuJoCo physics</w:t>
            </w:r>
          </w:p>
        </w:tc>
        <w:tc>
          <w:tcPr>
            <w:tcW w:type="dxa" w:w="220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0.2 ms</w:t>
            </w:r>
          </w:p>
        </w:tc>
        <w:tc>
          <w:tcPr>
            <w:tcW w:type="dxa" w:w="256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5 substeps</w:t>
            </w:r>
          </w:p>
        </w:tc>
      </w:tr>
      <w:tr>
        <w:tc>
          <w:tcPr>
            <w:tcW w:type="dxa" w:w="460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LIF brain</w:t>
            </w:r>
          </w:p>
        </w:tc>
        <w:tc>
          <w:tcPr>
            <w:tcW w:type="dxa" w:w="220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0.5 ms</w:t>
            </w:r>
          </w:p>
        </w:tc>
        <w:tc>
          <w:tcPr>
            <w:tcW w:type="dxa" w:w="256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2 steps</w:t>
            </w:r>
          </w:p>
        </w:tc>
      </w:tr>
      <w:tr>
        <w:tc>
          <w:tcPr>
            <w:tcW w:type="dxa" w:w="460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Sensory transduction and motor readout</w:t>
            </w:r>
          </w:p>
        </w:tc>
        <w:tc>
          <w:tcPr>
            <w:tcW w:type="dxa" w:w="220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1 ms</w:t>
            </w:r>
          </w:p>
        </w:tc>
        <w:tc>
          <w:tcPr>
            <w:tcW w:type="dxa" w:w="256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1 (every tick)</w:t>
            </w:r>
          </w:p>
        </w:tc>
      </w:tr>
      <w:tr>
        <w:tc>
          <w:tcPr>
            <w:tcW w:type="dxa" w:w="460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Optic lobe (flyvis)</w:t>
            </w:r>
          </w:p>
        </w:tc>
        <w:tc>
          <w:tcPr>
            <w:tcW w:type="dxa" w:w="220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20 ms</w:t>
            </w:r>
          </w:p>
        </w:tc>
        <w:tc>
          <w:tcPr>
            <w:tcW w:type="dxa" w:w="256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1 in 20</w:t>
            </w:r>
          </w:p>
        </w:tc>
      </w:tr>
    </w:tbl>
    <w:p>
      <w:pPr>
        <w:spacing w:after="200" w:before="80"/>
      </w:pPr>
      <w:r>
        <w:rPr>
          <w:rFonts w:ascii="Times New Roman" w:cs="Times New Roman" w:eastAsia="Times New Roman" w:hAnsi="Times New Roman"/>
          <w:i/>
          <w:iCs/>
          <w:color w:val="444444"/>
          <w:sz w:val="18"/>
          <w:szCs w:val="18"/>
        </w:rPr>
        <w:t xml:space="preserve">Table 1. Integration rates. Sensory and motor exchange are locked to the 1 ms tick by construction; vision is the only genuinely decoupled rate.</w:t>
      </w:r>
    </w:p>
    <w:p>
      <w:pPr>
        <w:spacing w:after="140" w:line="276"/>
      </w:pPr>
      <w:r>
        <w:rPr>
          <w:rFonts w:ascii="Times New Roman" w:cs="Times New Roman" w:eastAsia="Times New Roman" w:hAnsi="Times New Roman"/>
          <w:sz w:val="22"/>
          <w:szCs w:val="22"/>
        </w:rPr>
        <w:t xml:space="preserve">The physics timestep is halved from flybody’s 0.1 ms with no-slip iterations disabled, reported in-source as preserving gait quality at half the cost.</w:t>
      </w:r>
    </w:p>
    <w:p>
      <w:pPr>
        <w:pStyle w:val="Heading2"/>
        <w:spacing w:after="120" w:before="280"/>
      </w:pPr>
      <w:r>
        <w:t xml:space="preserve">4.2 Shared connectome, private state</w:t>
      </w:r>
    </w:p>
    <w:p>
      <w:pPr>
        <w:spacing w:after="140" w:line="276"/>
      </w:pPr>
      <w:r>
        <w:rPr>
          <w:rFonts w:ascii="Times New Roman" w:cs="Times New Roman" w:eastAsia="Times New Roman" w:hAnsi="Times New Roman"/>
          <w:sz w:val="22"/>
          <w:szCs w:val="22"/>
        </w:rPr>
        <w:t xml:space="preserve">The connectome is written once into a SharedArrayBuffer and read by every simulated animal; each animal receives a private block for dynamic state (membrane potentials, conductances, adaptation, refractory counters, spike counts, delay ring). Each also runs its own MuJoCo world.</w:t>
      </w:r>
    </w:p>
    <w:p>
      <w:pPr>
        <w:spacing w:after="140" w:line="276"/>
      </w:pPr>
      <w:r>
        <w:rPr>
          <w:rFonts w:ascii="Times New Roman" w:cs="Times New Roman" w:eastAsia="Times New Roman" w:hAnsi="Times New Roman"/>
          <w:sz w:val="22"/>
          <w:szCs w:val="22"/>
        </w:rPr>
        <w:t xml:space="preserve">The consequence is that </w:t>
      </w:r>
      <w:r>
        <w:rPr>
          <w:rFonts w:ascii="Times New Roman" w:cs="Times New Roman" w:eastAsia="Times New Roman" w:hAnsi="Times New Roman"/>
          <w:b/>
          <w:bCs/>
          <w:sz w:val="22"/>
          <w:szCs w:val="22"/>
        </w:rPr>
        <w:t xml:space="preserve">adding an animal costs state, not another copy of the graph</w:t>
      </w:r>
      <w:r>
        <w:rPr>
          <w:rFonts w:ascii="Times New Roman" w:cs="Times New Roman" w:eastAsia="Times New Roman" w:hAnsi="Times New Roman"/>
          <w:sz w:val="22"/>
          <w:szCs w:val="22"/>
        </w:rPr>
        <w:t xml:space="preserve"> — the design decision that makes multi-animal simulation tractable in a browser. It requires cross-origin isolation (COOP/COEP) for SharedArrayBuffer availability.</w:t>
      </w:r>
    </w:p>
    <w:p>
      <w:pPr>
        <w:spacing w:after="140" w:line="276"/>
      </w:pPr>
      <w:r>
        <w:rPr>
          <w:rFonts w:ascii="Times New Roman" w:cs="Times New Roman" w:eastAsia="Times New Roman" w:hAnsi="Times New Roman"/>
          <w:sz w:val="22"/>
          <w:szCs w:val="22"/>
        </w:rPr>
        <w:t xml:space="preserve">Animals interact through kinematic proxies: each world contains mocap stand-ins for the others, updated at 30 Hz. Physics cost therefore scales linearly rather than quadratically, at the price that no solver is authoritative over an inter-animal collision.</w:t>
      </w:r>
    </w:p>
    <w:p>
      <w:pPr>
        <w:pStyle w:val="Heading2"/>
        <w:spacing w:after="120" w:before="280"/>
      </w:pPr>
      <w:r>
        <w:t xml:space="preserve">4.3 Two compute backends</w:t>
      </w:r>
    </w:p>
    <w:p>
      <w:pPr>
        <w:spacing w:after="140" w:line="276"/>
      </w:pPr>
      <w:r>
        <w:rPr>
          <w:rFonts w:ascii="Times New Roman" w:cs="Times New Roman" w:eastAsia="Times New Roman" w:hAnsi="Times New Roman"/>
          <w:sz w:val="22"/>
          <w:szCs w:val="22"/>
        </w:rPr>
        <w:t xml:space="preserve">A WebGPU compute-shader kernel and a WebAssembly SIMD kernel implement the same model. The WebGPU path is preferred when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shd w:fill="ECECEC"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18"/>
                <w:szCs w:val="18"/>
              </w:rPr>
              <w:t xml:space="preserve">Backend</w:t>
            </w:r>
          </w:p>
        </w:tc>
        <w:tc>
          <w:tcPr>
            <w:tcW w:type="dxa" w:w="3960"/>
            <w:shd w:fill="ECECEC"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18"/>
                <w:szCs w:val="18"/>
              </w:rPr>
              <w:t xml:space="preserve">Simulated seconds per wall second</w:t>
            </w:r>
          </w:p>
        </w:tc>
        <w:tc>
          <w:tcPr>
            <w:tcW w:type="dxa" w:w="2000"/>
            <w:shd w:fill="ECECEC"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18"/>
                <w:szCs w:val="18"/>
              </w:rPr>
              <w:t xml:space="preserve">Rendering</w:t>
            </w:r>
          </w:p>
        </w:tc>
      </w:tr>
      <w:tr>
        <w:tc>
          <w:tcPr>
            <w:tcW w:type="dxa" w:w="340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WebAssembly SIMD</w:t>
            </w:r>
          </w:p>
        </w:tc>
        <w:tc>
          <w:tcPr>
            <w:tcW w:type="dxa" w:w="396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0.0148</w:t>
            </w:r>
          </w:p>
        </w:tc>
        <w:tc>
          <w:tcPr>
            <w:tcW w:type="dxa" w:w="200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disabled</w:t>
            </w:r>
          </w:p>
        </w:tc>
      </w:tr>
      <w:tr>
        <w:tc>
          <w:tcPr>
            <w:tcW w:type="dxa" w:w="340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WebGPU (RTX 4050 laptop GPU)</w:t>
            </w:r>
          </w:p>
        </w:tc>
        <w:tc>
          <w:tcPr>
            <w:tcW w:type="dxa" w:w="396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0.0650</w:t>
            </w:r>
          </w:p>
        </w:tc>
        <w:tc>
          <w:tcPr>
            <w:tcW w:type="dxa" w:w="200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active, 165 fps</w:t>
            </w:r>
          </w:p>
        </w:tc>
      </w:tr>
    </w:tbl>
    <w:p>
      <w:pPr>
        <w:spacing w:after="200" w:before="80"/>
      </w:pPr>
      <w:r>
        <w:rPr>
          <w:rFonts w:ascii="Times New Roman" w:cs="Times New Roman" w:eastAsia="Times New Roman" w:hAnsi="Times New Roman"/>
          <w:i/>
          <w:iCs/>
          <w:color w:val="444444"/>
          <w:sz w:val="18"/>
          <w:szCs w:val="18"/>
        </w:rPr>
        <w:t xml:space="preserve">Table 2. Single-animal throughput on the reference machine. The ≥4.4× advantage is conservative: the WebAssembly measurement had rendering disabled.</w:t>
      </w:r>
    </w:p>
    <w:p>
      <w:pPr>
        <w:spacing w:after="140" w:line="276"/>
      </w:pPr>
      <w:r>
        <w:rPr>
          <w:rFonts w:ascii="Times New Roman" w:cs="Times New Roman" w:eastAsia="Times New Roman" w:hAnsi="Times New Roman"/>
          <w:b/>
          <w:bCs/>
          <w:sz w:val="22"/>
          <w:szCs w:val="22"/>
        </w:rPr>
        <w:t xml:space="preserve">A methodological caution. </w:t>
      </w:r>
      <w:r>
        <w:rPr>
          <w:rFonts w:ascii="Times New Roman" w:cs="Times New Roman" w:eastAsia="Times New Roman" w:hAnsi="Times New Roman"/>
          <w:sz w:val="22"/>
          <w:szCs w:val="22"/>
        </w:rPr>
        <w:t xml:space="preserve">On switchable-graphics laptops the browser may use the integrated GPU while the discrete GPU sits idle, and chrome://gpu does not reveal this, since it lists every adapter present. Verifying the WebGPU adapter string is a one-line check and was, in this project, the difference between a reported 32× slowdown and a 4.4× speedup.</w:t>
      </w:r>
    </w:p>
    <w:p>
      <w:pPr>
        <w:pStyle w:val="Heading1"/>
        <w:spacing w:after="160" w:before="360"/>
      </w:pPr>
      <w:r>
        <w:t xml:space="preserve">5. Sensorimotor wiring</w:t>
      </w:r>
    </w:p>
    <w:p>
      <w:pPr>
        <w:spacing w:after="140" w:line="276"/>
      </w:pPr>
      <w:r>
        <w:rPr>
          <w:rFonts w:ascii="Times New Roman" w:cs="Times New Roman" w:eastAsia="Times New Roman" w:hAnsi="Times New Roman"/>
          <w:sz w:val="22"/>
          <w:szCs w:val="22"/>
        </w:rPr>
        <w:t xml:space="preserve">Every channel terminates on identified neurons specified by a body map that links anatomical sensors and muscles to connectome indices. Transduction functions are documented approximations, not fitted models.</w:t>
      </w:r>
    </w:p>
    <w:p>
      <w:pPr>
        <w:pStyle w:val="Heading2"/>
        <w:spacing w:after="120" w:before="280"/>
      </w:pPr>
      <w:r>
        <w:t xml:space="preserve">5.1 Olfaction</w:t>
      </w:r>
    </w:p>
    <w:p>
      <w:pPr>
        <w:spacing w:after="140" w:line="276"/>
      </w:pPr>
      <w:r>
        <w:rPr>
          <w:rFonts w:ascii="Times New Roman" w:cs="Times New Roman" w:eastAsia="Times New Roman" w:hAnsi="Times New Roman"/>
          <w:sz w:val="22"/>
          <w:szCs w:val="22"/>
        </w:rPr>
        <w:t xml:space="preserve">Odorants are defined as glomerular activation patterns — for example vinegar activates DM1, DM4, VA2, DP1m, DM2, VM2 and DL1 with graded sensitivity. Concentration at each antenna is computed from Gaussian plumes with wind advection, converted to firing rate by a Hill function, and applied to the olfactory receptor neurons of each glomerulus with a spontaneous baseline of 6 Hz.</w:t>
      </w:r>
    </w:p>
    <w:p>
      <w:pPr>
        <w:spacing w:after="140" w:line="276"/>
      </w:pPr>
      <w:r>
        <w:rPr>
          <w:rFonts w:ascii="Times New Roman" w:cs="Times New Roman" w:eastAsia="Times New Roman" w:hAnsi="Times New Roman"/>
          <w:sz w:val="22"/>
          <w:szCs w:val="22"/>
        </w:rPr>
        <w:t xml:space="preserve">Critically, a </w:t>
      </w:r>
      <w:r>
        <w:rPr>
          <w:rFonts w:ascii="Times New Roman" w:cs="Times New Roman" w:eastAsia="Times New Roman" w:hAnsi="Times New Roman"/>
          <w:b/>
          <w:bCs/>
          <w:sz w:val="22"/>
          <w:szCs w:val="22"/>
        </w:rPr>
        <w:t xml:space="preserve">divisive gain control</w:t>
      </w:r>
      <w:r>
        <w:rPr>
          <w:rFonts w:ascii="Times New Roman" w:cs="Times New Roman" w:eastAsia="Times New Roman" w:hAnsi="Times New Roman"/>
          <w:sz w:val="22"/>
          <w:szCs w:val="22"/>
        </w:rPr>
        <w:t xml:space="preserve"> is applied across the antennal lobe following the presynaptic inhibition described by Olsen and Wilson (2008): total evoked drive per antenna is normalised so the glomerular pattern is preserved while the total is bounded, preventing one strong odorant from recruiting the entire lobe. Conspecifics emit a short-range pheromone modelled on cVA, activating DA1, VA1v and VA1d.</w:t>
      </w:r>
    </w:p>
    <w:p>
      <w:pPr>
        <w:pStyle w:val="Heading2"/>
        <w:spacing w:after="120" w:before="280"/>
      </w:pPr>
      <w:r>
        <w:t xml:space="preserve">5.2 Gustation</w:t>
      </w:r>
    </w:p>
    <w:p>
      <w:pPr>
        <w:spacing w:after="140" w:line="276"/>
      </w:pPr>
      <w:r>
        <w:rPr>
          <w:rFonts w:ascii="Times New Roman" w:cs="Times New Roman" w:eastAsia="Times New Roman" w:hAnsi="Times New Roman"/>
          <w:sz w:val="22"/>
          <w:szCs w:val="22"/>
        </w:rPr>
        <w:t xml:space="preserve">Taste is resolved by tastant and by body location — labellum, taste pegs and tarsi — with distinct receptor classes for sugar, bitter, water, salt, pheromone and fatty acids. Sugar and bitter sensitivity are modulated by internal state, so a hungry animal is more sugar-sensitive and less bitter-averse.</w:t>
      </w:r>
    </w:p>
    <w:p>
      <w:pPr>
        <w:pStyle w:val="Heading2"/>
        <w:spacing w:after="120" w:before="280"/>
      </w:pPr>
      <w:r>
        <w:t xml:space="preserve">5.3 Mechanosensation</w:t>
      </w:r>
    </w:p>
    <w:p>
      <w:pPr>
        <w:spacing w:after="140" w:line="276"/>
      </w:pPr>
      <w:r>
        <w:rPr>
          <w:rFonts w:ascii="Times New Roman" w:cs="Times New Roman" w:eastAsia="Times New Roman" w:hAnsi="Times New Roman"/>
          <w:sz w:val="22"/>
          <w:szCs w:val="22"/>
        </w:rPr>
        <w:t xml:space="preserve">Tactile bristles are rapidly adapting, bursting at contact onset and offset with τ ≈ 15 ms. A fixed subset of each leg’s tactile afferents is treated as tarsal (substrate-contacting), the remainder as femoral or tibial.</w:t>
      </w:r>
    </w:p>
    <w:p>
      <w:pPr>
        <w:spacing w:after="140" w:line="276"/>
      </w:pPr>
      <w:r>
        <w:rPr>
          <w:rFonts w:ascii="Times New Roman" w:cs="Times New Roman" w:eastAsia="Times New Roman" w:hAnsi="Times New Roman"/>
          <w:b/>
          <w:bCs/>
          <w:sz w:val="22"/>
          <w:szCs w:val="22"/>
        </w:rPr>
        <w:t xml:space="preserve">Reafference. </w:t>
      </w:r>
      <w:r>
        <w:rPr>
          <w:rFonts w:ascii="Times New Roman" w:cs="Times New Roman" w:eastAsia="Times New Roman" w:hAnsi="Times New Roman"/>
          <w:sz w:val="22"/>
          <w:szCs w:val="22"/>
        </w:rPr>
        <w:t xml:space="preserve">Self-generated footfalls are attenuated by an efference copy from the stepping generator, cancelling 85% of tarsal signal in proportion to stepping amplitude, so that self-motion is not misread as external touch. This follows the general principle demonstrated for visual reafference in Drosophila by Kim et al. (2015). Proprioception is supplied by joint-angle and load sensors; halteres report angular velocity.</w:t>
      </w:r>
    </w:p>
    <w:p>
      <w:pPr>
        <w:pStyle w:val="Heading2"/>
        <w:spacing w:after="120" w:before="280"/>
      </w:pPr>
      <w:r>
        <w:t xml:space="preserve">5.4 Vision</w:t>
      </w:r>
    </w:p>
    <w:p>
      <w:pPr>
        <w:spacing w:after="140" w:line="276"/>
      </w:pPr>
      <w:r>
        <w:rPr>
          <w:rFonts w:ascii="Times New Roman" w:cs="Times New Roman" w:eastAsia="Times New Roman" w:hAnsi="Times New Roman"/>
          <w:sz w:val="22"/>
          <w:szCs w:val="22"/>
        </w:rPr>
        <w:t xml:space="preserve">Two pathways exist. The primary path casts 721 rays per eye along the measured viewing directions of the flyvis hexagonal lattice, converts surface reflectance to luminance, and feeds the flyvis optic-lobe model at 50 Hz; its node activations then drive the matching male-CNS optic-lobe neurons — </w:t>
      </w:r>
      <w:r>
        <w:rPr>
          <w:rFonts w:ascii="Times New Roman" w:cs="Times New Roman" w:eastAsia="Times New Roman" w:hAnsi="Times New Roman"/>
          <w:b/>
          <w:bCs/>
          <w:sz w:val="22"/>
          <w:szCs w:val="22"/>
        </w:rPr>
        <w:t xml:space="preserve">62,157 neuron–node pairs, approximately 38% of the entire connectome</w:t>
      </w:r>
      <w:r>
        <w:rPr>
          <w:rFonts w:ascii="Times New Roman" w:cs="Times New Roman" w:eastAsia="Times New Roman" w:hAnsi="Times New Roman"/>
          <w:sz w:val="22"/>
          <w:szCs w:val="22"/>
        </w:rPr>
        <w:t xml:space="preserve">. Photoreceptors are additionally driven by the luminance of their nearest column under logarithmic light adaptation with τ ≈ 300 ms.</w:t>
      </w:r>
    </w:p>
    <w:p>
      <w:pPr>
        <w:spacing w:after="140" w:line="276"/>
      </w:pPr>
      <w:r>
        <w:rPr>
          <w:rFonts w:ascii="Times New Roman" w:cs="Times New Roman" w:eastAsia="Times New Roman" w:hAnsi="Times New Roman"/>
          <w:sz w:val="22"/>
          <w:szCs w:val="22"/>
        </w:rPr>
        <w:t xml:space="preserve">The optic-lobe state is settled under a uniform grey field at construction and stored as a resting reference, so neurons respond to deviations rather than absolute activity. LC10 small-object visual projection neurons are driven explicitly as the visual channel into courtship, following Ribeiro et al. (2018).</w:t>
      </w:r>
    </w:p>
    <w:p>
      <w:pPr>
        <w:pStyle w:val="Heading2"/>
        <w:spacing w:after="120" w:before="280"/>
      </w:pPr>
      <w:r>
        <w:t xml:space="preserve">5.5 Audition</w:t>
      </w:r>
    </w:p>
    <w:p>
      <w:pPr>
        <w:spacing w:after="140" w:line="276"/>
      </w:pPr>
      <w:r>
        <w:rPr>
          <w:rFonts w:ascii="Times New Roman" w:cs="Times New Roman" w:eastAsia="Times New Roman" w:hAnsi="Times New Roman"/>
          <w:sz w:val="22"/>
          <w:szCs w:val="22"/>
        </w:rPr>
        <w:t xml:space="preserve">Courtship song is detected by Johnston’s organ, the antennal auditory organ (Kamikouchi et al., 2009; Yorozu et al., 2009). Song is near-field particle velocity rather than pressure, with two modelled consequences: intensity falls approximately as 1/r², making it a courtship signal over millimetres rather than a broadcast; and it is directional, so distance is computed from each antenna independently and the bilateral difference emerges from geometry rather than being imposed.</w:t>
      </w:r>
    </w:p>
    <w:p>
      <w:pPr>
        <w:spacing w:after="140" w:line="276"/>
      </w:pPr>
      <w:r>
        <w:rPr>
          <w:rFonts w:ascii="Times New Roman" w:cs="Times New Roman" w:eastAsia="Times New Roman" w:hAnsi="Times New Roman"/>
          <w:sz w:val="22"/>
          <w:szCs w:val="22"/>
        </w:rPr>
        <w:t xml:space="preserve">The approximately 250 Hz carrier is unrepresentable at a 1 ms timestep, but the pulse train is not, and inter-pulse interval is the species-recognition cue (Coen et al., 2014). Pulses are therefore modelled explicitly at 10 ms within a 35 ms interval.</w:t>
      </w:r>
    </w:p>
    <w:p>
      <w:pPr>
        <w:spacing w:after="140" w:line="276"/>
      </w:pPr>
      <w:r>
        <w:rPr>
          <w:rFonts w:ascii="Times New Roman" w:cs="Times New Roman" w:eastAsia="Times New Roman" w:hAnsi="Times New Roman"/>
          <w:i/>
          <w:iCs/>
          <w:sz w:val="22"/>
          <w:szCs w:val="22"/>
        </w:rPr>
        <w:t xml:space="preserve">This channel was inert in the original artefact: males sang and no animal heard. </w:t>
      </w:r>
      <w:r>
        <w:rPr>
          <w:rFonts w:ascii="Times New Roman" w:cs="Times New Roman" w:eastAsia="Times New Roman" w:hAnsi="Times New Roman"/>
          <w:sz w:val="22"/>
          <w:szCs w:val="22"/>
        </w:rPr>
        <w:t xml:space="preserve">114 auditory neurons (62 left, 52 right) were permanently silent.</w:t>
      </w:r>
    </w:p>
    <w:p>
      <w:pPr>
        <w:pStyle w:val="Heading2"/>
        <w:spacing w:after="120" w:before="280"/>
      </w:pPr>
      <w:r>
        <w:t xml:space="preserve">5.6 Thermosensation and hygrosensation</w:t>
      </w:r>
    </w:p>
    <w:p>
      <w:pPr>
        <w:spacing w:after="140" w:line="276"/>
      </w:pPr>
      <w:r>
        <w:rPr>
          <w:rFonts w:ascii="Times New Roman" w:cs="Times New Roman" w:eastAsia="Times New Roman" w:hAnsi="Times New Roman"/>
          <w:sz w:val="22"/>
          <w:szCs w:val="22"/>
        </w:rPr>
        <w:t xml:space="preserve">Arista thermosensory neurons respond to local floor temperature (Gallio et al., 2011). Hygrosensory neurons, which in Drosophila depend on ionotropic receptors distinct from those mediating thermosensation (Enjin et al., 2016; Knecht et al., 2016), respond to a humidity field generated by water-bearing food, dried over hot substrate and mixed by wind.</w:t>
      </w:r>
    </w:p>
    <w:p>
      <w:pPr>
        <w:spacing w:after="140" w:line="276"/>
      </w:pPr>
      <w:r>
        <w:rPr>
          <w:rFonts w:ascii="Times New Roman" w:cs="Times New Roman" w:eastAsia="Times New Roman" w:hAnsi="Times New Roman"/>
          <w:sz w:val="22"/>
          <w:szCs w:val="22"/>
        </w:rPr>
        <w:t xml:space="preserve">Because the body map pools moist and dry cells into one group per side, only the moist response is modelled, and it is driven by rise above ambient rather than absolute level — a gradient is navigable, whereas constant ambient would pin the population at a fixed rate. This channel was also inert: 65 hygrosensory neurons were never driven.</w:t>
      </w:r>
    </w:p>
    <w:p>
      <w:pPr>
        <w:pStyle w:val="Heading2"/>
        <w:spacing w:after="120" w:before="280"/>
      </w:pPr>
      <w:r>
        <w:t xml:space="preserve">5.7 Motor readout</w:t>
      </w:r>
    </w:p>
    <w:p>
      <w:pPr>
        <w:spacing w:after="140" w:line="276"/>
      </w:pPr>
      <w:r>
        <w:rPr>
          <w:rFonts w:ascii="Times New Roman" w:cs="Times New Roman" w:eastAsia="Times New Roman" w:hAnsi="Times New Roman"/>
          <w:sz w:val="22"/>
          <w:szCs w:val="22"/>
        </w:rPr>
        <w:t xml:space="preserve">Two modes are provided. In descending mode, identified descending neurons set locomotor drive and steering, with a tripod pattern generator executing the command; in connectome mode, mapped leg muscles are driven by their own motor neurons through the ventral nerve cord.</w:t>
      </w:r>
    </w:p>
    <w:p>
      <w:pPr>
        <w:spacing w:after="140" w:line="276"/>
      </w:pPr>
      <w:r>
        <w:rPr>
          <w:rFonts w:ascii="Times New Roman" w:cs="Times New Roman" w:eastAsia="Times New Roman" w:hAnsi="Times New Roman"/>
          <w:sz w:val="22"/>
          <w:szCs w:val="22"/>
        </w:rPr>
        <w:t xml:space="preserve">Descending roles follow the optogenetic dissections of Cande et al. (2018), Bidaye et al. (2014) and Namiki et al. (2018): DNg100, DNg97 and DNp09 for forward walking; MDN for backward; DNa02 and DNa01 for steering; DNg07, DNg08 and DNg12 for grooming; DNp01 (giant fibre) for escape; DNp02 and DNp04 for looming-evoked takeoff (von Reyn et al., 2014); pIP10 and DNp13 for courtship (Ribeiro et al., 2018).</w:t>
      </w:r>
    </w:p>
    <w:p>
      <w:pPr>
        <w:spacing w:after="140" w:line="276"/>
      </w:pPr>
      <w:r>
        <w:rPr>
          <w:rFonts w:ascii="Times New Roman" w:cs="Times New Roman" w:eastAsia="Times New Roman" w:hAnsi="Times New Roman"/>
          <w:sz w:val="22"/>
          <w:szCs w:val="22"/>
        </w:rPr>
        <w:t xml:space="preserve">Muscle activation follows a saturating force–frequency relation, half-maximal at approximately 17 Hz. The giant-fibre-to-TTMn electrical synapse — absent from a chemical connectome — is added explicitly, consistent with the spike-timing account of escape in von Reyn et al. (2014). Escape is gated by touch, self-generated optic flow and efference copies of the animal’s own movements, so that self-produced looming does not trigger spurious escape (Kim et al., 2015).</w:t>
      </w:r>
    </w:p>
    <w:p>
      <w:pPr>
        <w:pStyle w:val="Heading1"/>
        <w:spacing w:after="160" w:before="360"/>
      </w:pPr>
      <w:r>
        <w:t xml:space="preserve">6. Mushroom-body plasticity</w:t>
      </w:r>
    </w:p>
    <w:p>
      <w:pPr>
        <w:pStyle w:val="Heading2"/>
        <w:spacing w:after="120" w:before="280"/>
      </w:pPr>
      <w:r>
        <w:t xml:space="preserve">6.1 Rationale and cost</w:t>
      </w:r>
    </w:p>
    <w:p>
      <w:pPr>
        <w:spacing w:after="140" w:line="276"/>
      </w:pPr>
      <w:r>
        <w:rPr>
          <w:rFonts w:ascii="Times New Roman" w:cs="Times New Roman" w:eastAsia="Times New Roman" w:hAnsi="Times New Roman"/>
          <w:sz w:val="22"/>
          <w:szCs w:val="22"/>
        </w:rPr>
        <w:t xml:space="preserve">The base model is static: synaptic weights never change. Associative memory in Drosophila is stored at the Kenyon cell to mushroom body output neuron (MBON) synapse (Aso et al., 2014; Hige et al., 2015; Modi et al., 2020). In this connectome that synapse class comprises 44,042 edges of 10,511,038 (0.419%), of which 29,169 survive the minimum-synapse threshold with non-zero effective weight.</w:t>
      </w:r>
    </w:p>
    <w:p>
      <w:pPr>
        <w:spacing w:after="140" w:line="276"/>
      </w:pPr>
      <w:r>
        <w:rPr>
          <w:rFonts w:ascii="Times New Roman" w:cs="Times New Roman" w:eastAsia="Times New Roman" w:hAnsi="Times New Roman"/>
          <w:sz w:val="22"/>
          <w:szCs w:val="22"/>
        </w:rPr>
        <w:t xml:space="preserve">A per-animal plastic overlay on that slice therefore costs </w:t>
      </w:r>
      <w:r>
        <w:rPr>
          <w:rFonts w:ascii="Times New Roman" w:cs="Times New Roman" w:eastAsia="Times New Roman" w:hAnsi="Times New Roman"/>
          <w:b/>
          <w:bCs/>
          <w:sz w:val="22"/>
          <w:szCs w:val="22"/>
        </w:rPr>
        <w:t xml:space="preserve">114 kB per animal, against 40 MB to duplicate the graph</w:t>
      </w:r>
      <w:r>
        <w:rPr>
          <w:rFonts w:ascii="Times New Roman" w:cs="Times New Roman" w:eastAsia="Times New Roman" w:hAnsi="Times New Roman"/>
          <w:sz w:val="22"/>
          <w:szCs w:val="22"/>
        </w:rPr>
        <w:t xml:space="preserve">. The shared connectome remains shared. The complete circuit is present: 4,064 Kenyon cells, 97 MBONs, 340 dopaminergic neurons (PAM/PPL/DAN), and the 2 APL neurons that enforce sparse coding (Lin et al., 2014; Turner et al., 2008).</w:t>
      </w:r>
    </w:p>
    <w:p>
      <w:pPr>
        <w:pStyle w:val="Heading2"/>
        <w:spacing w:after="120" w:before="280"/>
      </w:pPr>
      <w:r>
        <w:t xml:space="preserve">6.2 Learning rule</w:t>
      </w:r>
    </w:p>
    <w:p>
      <w:pPr>
        <w:spacing w:after="140" w:line="276"/>
      </w:pPr>
      <w:r>
        <w:rPr>
          <w:rFonts w:ascii="Times New Roman" w:cs="Times New Roman" w:eastAsia="Times New Roman" w:hAnsi="Times New Roman"/>
          <w:sz w:val="22"/>
          <w:szCs w:val="22"/>
        </w:rPr>
        <w:t xml:space="preserve">Depression — not potentiation — is the established direction at this synapse (Hige et al., 2015; Cohn et al., 2015). The implemented rule is eligibility trace × dopamine: coincidence of a Kenyon cell’s spike trace with dopamine in its compartment depresses that synapse, with recovery over minutes.</w:t>
      </w:r>
    </w:p>
    <w:p>
      <w:pPr>
        <w:spacing w:after="140" w:line="276"/>
      </w:pPr>
      <w:r>
        <w:rPr>
          <w:rFonts w:ascii="Times New Roman" w:cs="Times New Roman" w:eastAsia="Times New Roman" w:hAnsi="Times New Roman"/>
          <w:sz w:val="22"/>
          <w:szCs w:val="22"/>
        </w:rPr>
        <w:t xml:space="preserve">Compartments are derived from connectivity, not from type names: a dopaminergic neuron is taken to teach the synapses onto the MBONs it innervates. This covers 96 of 97 MBONs and 334 of 340 DANs, with a median of 5 dopaminergic edges per MBON. Name parsing was not viable because type identifiers are opaque.</w:t>
      </w:r>
    </w:p>
    <w:p>
      <w:pPr>
        <w:spacing w:after="140" w:line="276"/>
      </w:pPr>
      <w:r>
        <w:rPr>
          <w:rFonts w:ascii="Times New Roman" w:cs="Times New Roman" w:eastAsia="Times New Roman" w:hAnsi="Times New Roman"/>
          <w:sz w:val="22"/>
          <w:szCs w:val="22"/>
        </w:rPr>
        <w:t xml:space="preserve">A trace-based rather than spike-pair rule was required because the GPU backend batches dispatches and returns spike data asynchronously, so a per-step fired list does not exist on the default backend. This constraint pushed the implementation toward the formulation that is in any case standard for this circuit.</w:t>
      </w:r>
    </w:p>
    <w:p>
      <w:pPr>
        <w:pStyle w:val="Heading2"/>
        <w:spacing w:after="120" w:before="280"/>
      </w:pPr>
      <w:r>
        <w:t xml:space="preserve">6.3 Dopamine detection</w:t>
      </w:r>
    </w:p>
    <w:p>
      <w:pPr>
        <w:spacing w:after="140" w:line="276"/>
      </w:pPr>
      <w:r>
        <w:rPr>
          <w:rFonts w:ascii="Times New Roman" w:cs="Times New Roman" w:eastAsia="Times New Roman" w:hAnsi="Times New Roman"/>
          <w:sz w:val="22"/>
          <w:szCs w:val="22"/>
        </w:rPr>
        <w:t xml:space="preserve">Dopaminergic neurons in this model are tonically active (summed trace ≈ 30 at rest). Learning from absolute level therefore depresses indiscriminately. The rule instead detects a phasic rise above a slow baseline, low-passed to approximately 300 ms against an 8 s tonic reference, with both references seeded from an average over a settled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shd w:fill="ECECEC"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18"/>
                <w:szCs w:val="18"/>
              </w:rPr>
              <w:t xml:space="preserve">Condition</w:t>
            </w:r>
          </w:p>
        </w:tc>
        <w:tc>
          <w:tcPr>
            <w:tcW w:type="dxa" w:w="1600"/>
            <w:shd w:fill="ECECEC" w:val="clear"/>
            <w:tcMar>
              <w:top w:type="dxa" w:w="60"/>
              <w:left w:type="dxa" w:w="110"/>
              <w:bottom w:type="dxa" w:w="60"/>
              <w:right w:type="dxa" w:w="110"/>
            </w:tcMar>
          </w:tcPr>
          <w:p>
            <w:pPr>
              <w:spacing w:after="0" w:line="240"/>
              <w:jc w:val="right"/>
            </w:pPr>
            <w:r>
              <w:rPr>
                <w:rFonts w:ascii="Times New Roman" w:cs="Times New Roman" w:eastAsia="Times New Roman" w:hAnsi="Times New Roman"/>
                <w:b/>
                <w:bCs/>
                <w:sz w:val="18"/>
                <w:szCs w:val="18"/>
              </w:rPr>
              <w:t xml:space="preserve">Min</w:t>
            </w:r>
          </w:p>
        </w:tc>
        <w:tc>
          <w:tcPr>
            <w:tcW w:type="dxa" w:w="1600"/>
            <w:shd w:fill="ECECEC" w:val="clear"/>
            <w:tcMar>
              <w:top w:type="dxa" w:w="60"/>
              <w:left w:type="dxa" w:w="110"/>
              <w:bottom w:type="dxa" w:w="60"/>
              <w:right w:type="dxa" w:w="110"/>
            </w:tcMar>
          </w:tcPr>
          <w:p>
            <w:pPr>
              <w:spacing w:after="0" w:line="240"/>
              <w:jc w:val="right"/>
            </w:pPr>
            <w:r>
              <w:rPr>
                <w:rFonts w:ascii="Times New Roman" w:cs="Times New Roman" w:eastAsia="Times New Roman" w:hAnsi="Times New Roman"/>
                <w:b/>
                <w:bCs/>
                <w:sz w:val="18"/>
                <w:szCs w:val="18"/>
              </w:rPr>
              <w:t xml:space="preserve">Median</w:t>
            </w:r>
          </w:p>
        </w:tc>
        <w:tc>
          <w:tcPr>
            <w:tcW w:type="dxa" w:w="1600"/>
            <w:shd w:fill="ECECEC" w:val="clear"/>
            <w:tcMar>
              <w:top w:type="dxa" w:w="60"/>
              <w:left w:type="dxa" w:w="110"/>
              <w:bottom w:type="dxa" w:w="60"/>
              <w:right w:type="dxa" w:w="110"/>
            </w:tcMar>
          </w:tcPr>
          <w:p>
            <w:pPr>
              <w:spacing w:after="0" w:line="240"/>
              <w:jc w:val="right"/>
            </w:pPr>
            <w:r>
              <w:rPr>
                <w:rFonts w:ascii="Times New Roman" w:cs="Times New Roman" w:eastAsia="Times New Roman" w:hAnsi="Times New Roman"/>
                <w:b/>
                <w:bCs/>
                <w:sz w:val="18"/>
                <w:szCs w:val="18"/>
              </w:rPr>
              <w:t xml:space="preserve">Max</w:t>
            </w:r>
          </w:p>
        </w:tc>
      </w:tr>
      <w:tr>
        <w:tc>
          <w:tcPr>
            <w:tcW w:type="dxa" w:w="456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No aversive stimulus</w:t>
            </w:r>
          </w:p>
        </w:tc>
        <w:tc>
          <w:tcPr>
            <w:tcW w:type="dxa" w:w="16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27.07</w:t>
            </w:r>
          </w:p>
        </w:tc>
        <w:tc>
          <w:tcPr>
            <w:tcW w:type="dxa" w:w="16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30.28</w:t>
            </w:r>
          </w:p>
        </w:tc>
        <w:tc>
          <w:tcPr>
            <w:tcW w:type="dxa" w:w="16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34.57</w:t>
            </w:r>
          </w:p>
        </w:tc>
      </w:tr>
      <w:tr>
        <w:tc>
          <w:tcPr>
            <w:tcW w:type="dxa" w:w="456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Hot substrate</w:t>
            </w:r>
          </w:p>
        </w:tc>
        <w:tc>
          <w:tcPr>
            <w:tcW w:type="dxa" w:w="16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42.71</w:t>
            </w:r>
          </w:p>
        </w:tc>
        <w:tc>
          <w:tcPr>
            <w:tcW w:type="dxa" w:w="16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50.94</w:t>
            </w:r>
          </w:p>
        </w:tc>
        <w:tc>
          <w:tcPr>
            <w:tcW w:type="dxa" w:w="16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56.66</w:t>
            </w:r>
          </w:p>
        </w:tc>
      </w:tr>
    </w:tbl>
    <w:p>
      <w:pPr>
        <w:spacing w:after="200" w:before="80"/>
      </w:pPr>
      <w:r>
        <w:rPr>
          <w:rFonts w:ascii="Times New Roman" w:cs="Times New Roman" w:eastAsia="Times New Roman" w:hAnsi="Times New Roman"/>
          <w:i/>
          <w:iCs/>
          <w:color w:val="444444"/>
          <w:sz w:val="18"/>
          <w:szCs w:val="18"/>
        </w:rPr>
        <w:t xml:space="preserve">Table 3. Summed dopaminergic trace. A 68% median increase with non-overlapping distributions.</w:t>
      </w:r>
    </w:p>
    <w:p>
      <w:pPr>
        <w:pStyle w:val="Heading1"/>
        <w:spacing w:after="160" w:before="360"/>
      </w:pPr>
      <w:r>
        <w:t xml:space="preserve">7. Coverage analysis</w:t>
      </w:r>
    </w:p>
    <w:p>
      <w:pPr>
        <w:pStyle w:val="Heading2"/>
        <w:spacing w:after="120" w:before="280"/>
      </w:pPr>
      <w:r>
        <w:t xml:space="preserve">7.1 Method</w:t>
      </w:r>
    </w:p>
    <w:p>
      <w:pPr>
        <w:spacing w:after="140" w:line="276"/>
      </w:pPr>
      <w:r>
        <w:rPr>
          <w:rFonts w:ascii="Times New Roman" w:cs="Times New Roman" w:eastAsia="Times New Roman" w:hAnsi="Times New Roman"/>
          <w:sz w:val="22"/>
          <w:szCs w:val="22"/>
        </w:rPr>
        <w:t xml:space="preserve">Neurons were classified as driven if any transduction path writes firing rate to them (body-map sensors, flyvis-to-CNS pairs, photoreceptors, explicit LC10 drive), and as read if any motor path reads their spike count (mapped muscles, wing, jump and feeding groups, unmapped motor pool, and the named descending types used by the motor layer). All other neurons are interior: they receive input only through modelled synapses.</w:t>
      </w:r>
    </w:p>
    <w:p>
      <w:pPr>
        <w:pStyle w:val="Heading2"/>
        <w:spacing w:after="120" w:before="280"/>
      </w:pPr>
      <w:r>
        <w:t xml:space="preserve">7.2 Global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tblHeader/>
        </w:trPr>
        <w:tc>
          <w:tcPr>
            <w:tcW w:type="dxa" w:w="5160"/>
            <w:shd w:fill="ECECEC"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18"/>
                <w:szCs w:val="18"/>
              </w:rPr>
              <w:t xml:space="preserve">Category</w:t>
            </w:r>
          </w:p>
        </w:tc>
        <w:tc>
          <w:tcPr>
            <w:tcW w:type="dxa" w:w="2100"/>
            <w:shd w:fill="ECECEC" w:val="clear"/>
            <w:tcMar>
              <w:top w:type="dxa" w:w="60"/>
              <w:left w:type="dxa" w:w="110"/>
              <w:bottom w:type="dxa" w:w="60"/>
              <w:right w:type="dxa" w:w="110"/>
            </w:tcMar>
          </w:tcPr>
          <w:p>
            <w:pPr>
              <w:spacing w:after="0" w:line="240"/>
              <w:jc w:val="right"/>
            </w:pPr>
            <w:r>
              <w:rPr>
                <w:rFonts w:ascii="Times New Roman" w:cs="Times New Roman" w:eastAsia="Times New Roman" w:hAnsi="Times New Roman"/>
                <w:b/>
                <w:bCs/>
                <w:sz w:val="18"/>
                <w:szCs w:val="18"/>
              </w:rPr>
              <w:t xml:space="preserve">Neurons</w:t>
            </w:r>
          </w:p>
        </w:tc>
        <w:tc>
          <w:tcPr>
            <w:tcW w:type="dxa" w:w="2100"/>
            <w:shd w:fill="ECECEC" w:val="clear"/>
            <w:tcMar>
              <w:top w:type="dxa" w:w="60"/>
              <w:left w:type="dxa" w:w="110"/>
              <w:bottom w:type="dxa" w:w="60"/>
              <w:right w:type="dxa" w:w="110"/>
            </w:tcMar>
          </w:tcPr>
          <w:p>
            <w:pPr>
              <w:spacing w:after="0" w:line="240"/>
              <w:jc w:val="right"/>
            </w:pPr>
            <w:r>
              <w:rPr>
                <w:rFonts w:ascii="Times New Roman" w:cs="Times New Roman" w:eastAsia="Times New Roman" w:hAnsi="Times New Roman"/>
                <w:b/>
                <w:bCs/>
                <w:sz w:val="18"/>
                <w:szCs w:val="18"/>
              </w:rPr>
              <w:t xml:space="preserve">Share</w:t>
            </w:r>
          </w:p>
        </w:tc>
      </w:tr>
      <w:tr>
        <w:tc>
          <w:tcPr>
            <w:tcW w:type="dxa" w:w="516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Externally driven (sensory)</w:t>
            </w:r>
          </w:p>
        </w:tc>
        <w:tc>
          <w:tcPr>
            <w:tcW w:type="dxa" w:w="21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74,498</w:t>
            </w:r>
          </w:p>
        </w:tc>
        <w:tc>
          <w:tcPr>
            <w:tcW w:type="dxa" w:w="21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45.1%</w:t>
            </w:r>
          </w:p>
        </w:tc>
      </w:tr>
      <w:tr>
        <w:tc>
          <w:tcPr>
            <w:tcW w:type="dxa" w:w="516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Read as output (motor)</w:t>
            </w:r>
          </w:p>
        </w:tc>
        <w:tc>
          <w:tcPr>
            <w:tcW w:type="dxa" w:w="21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534</w:t>
            </w:r>
          </w:p>
        </w:tc>
        <w:tc>
          <w:tcPr>
            <w:tcW w:type="dxa" w:w="21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0.3%</w:t>
            </w:r>
          </w:p>
        </w:tc>
      </w:tr>
      <w:tr>
        <w:tc>
          <w:tcPr>
            <w:tcW w:type="dxa" w:w="516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Interior</w:t>
            </w:r>
          </w:p>
        </w:tc>
        <w:tc>
          <w:tcPr>
            <w:tcW w:type="dxa" w:w="21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90,090</w:t>
            </w:r>
          </w:p>
        </w:tc>
        <w:tc>
          <w:tcPr>
            <w:tcW w:type="dxa" w:w="21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54.6%</w:t>
            </w:r>
          </w:p>
        </w:tc>
      </w:tr>
    </w:tbl>
    <w:p>
      <w:pPr>
        <w:spacing w:after="200" w:before="80"/>
      </w:pPr>
      <w:r>
        <w:rPr>
          <w:rFonts w:ascii="Times New Roman" w:cs="Times New Roman" w:eastAsia="Times New Roman" w:hAnsi="Times New Roman"/>
          <w:i/>
          <w:iCs/>
          <w:color w:val="444444"/>
          <w:sz w:val="18"/>
          <w:szCs w:val="18"/>
        </w:rPr>
        <w:t xml:space="preserve">Table 4. Global interface coverage, N = 165,122.</w:t>
      </w:r>
    </w:p>
    <w:p>
      <w:pPr>
        <w:spacing w:after="140" w:line="276"/>
      </w:pPr>
      <w:r>
        <w:rPr>
          <w:rFonts w:ascii="Times New Roman" w:cs="Times New Roman" w:eastAsia="Times New Roman" w:hAnsi="Times New Roman"/>
          <w:sz w:val="22"/>
          <w:szCs w:val="22"/>
        </w:rPr>
        <w:t xml:space="preserve">A 54.6% interior fraction is the appropriate figure: those neurons should be driven by the connectome rather than by the simulation, and their being untouched externally is the point.</w:t>
      </w:r>
    </w:p>
    <w:p>
      <w:pPr>
        <w:pStyle w:val="Heading2"/>
        <w:spacing w:after="120" w:before="280"/>
      </w:pPr>
      <w:r>
        <w:t xml:space="preserve">7.3 Sensory coverage by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700"/>
        <w:gridCol w:w="1700"/>
        <w:gridCol w:w="1700"/>
      </w:tblGrid>
      <w:tr>
        <w:trPr>
          <w:tblHeader/>
        </w:trPr>
        <w:tc>
          <w:tcPr>
            <w:tcW w:type="dxa" w:w="4260"/>
            <w:shd w:fill="ECECEC"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18"/>
                <w:szCs w:val="18"/>
              </w:rPr>
              <w:t xml:space="preserve">Class</w:t>
            </w:r>
          </w:p>
        </w:tc>
        <w:tc>
          <w:tcPr>
            <w:tcW w:type="dxa" w:w="1700"/>
            <w:shd w:fill="ECECEC" w:val="clear"/>
            <w:tcMar>
              <w:top w:type="dxa" w:w="60"/>
              <w:left w:type="dxa" w:w="110"/>
              <w:bottom w:type="dxa" w:w="60"/>
              <w:right w:type="dxa" w:w="110"/>
            </w:tcMar>
          </w:tcPr>
          <w:p>
            <w:pPr>
              <w:spacing w:after="0" w:line="240"/>
              <w:jc w:val="right"/>
            </w:pPr>
            <w:r>
              <w:rPr>
                <w:rFonts w:ascii="Times New Roman" w:cs="Times New Roman" w:eastAsia="Times New Roman" w:hAnsi="Times New Roman"/>
                <w:b/>
                <w:bCs/>
                <w:sz w:val="18"/>
                <w:szCs w:val="18"/>
              </w:rPr>
              <w:t xml:space="preserve">Total</w:t>
            </w:r>
          </w:p>
        </w:tc>
        <w:tc>
          <w:tcPr>
            <w:tcW w:type="dxa" w:w="1700"/>
            <w:shd w:fill="ECECEC" w:val="clear"/>
            <w:tcMar>
              <w:top w:type="dxa" w:w="60"/>
              <w:left w:type="dxa" w:w="110"/>
              <w:bottom w:type="dxa" w:w="60"/>
              <w:right w:type="dxa" w:w="110"/>
            </w:tcMar>
          </w:tcPr>
          <w:p>
            <w:pPr>
              <w:spacing w:after="0" w:line="240"/>
              <w:jc w:val="right"/>
            </w:pPr>
            <w:r>
              <w:rPr>
                <w:rFonts w:ascii="Times New Roman" w:cs="Times New Roman" w:eastAsia="Times New Roman" w:hAnsi="Times New Roman"/>
                <w:b/>
                <w:bCs/>
                <w:sz w:val="18"/>
                <w:szCs w:val="18"/>
              </w:rPr>
              <w:t xml:space="preserve">Driven</w:t>
            </w:r>
          </w:p>
        </w:tc>
        <w:tc>
          <w:tcPr>
            <w:tcW w:type="dxa" w:w="1700"/>
            <w:shd w:fill="ECECEC" w:val="clear"/>
            <w:tcMar>
              <w:top w:type="dxa" w:w="60"/>
              <w:left w:type="dxa" w:w="110"/>
              <w:bottom w:type="dxa" w:w="60"/>
              <w:right w:type="dxa" w:w="110"/>
            </w:tcMar>
          </w:tcPr>
          <w:p>
            <w:pPr>
              <w:spacing w:after="0" w:line="240"/>
              <w:jc w:val="right"/>
            </w:pPr>
            <w:r>
              <w:rPr>
                <w:rFonts w:ascii="Times New Roman" w:cs="Times New Roman" w:eastAsia="Times New Roman" w:hAnsi="Times New Roman"/>
                <w:b/>
                <w:bCs/>
                <w:sz w:val="18"/>
                <w:szCs w:val="18"/>
              </w:rPr>
              <w:t xml:space="preserve">Gap</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18"/>
                <w:szCs w:val="18"/>
              </w:rPr>
              <w:t xml:space="preserve">Visual</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4,107</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4,107</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0</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18"/>
                <w:szCs w:val="18"/>
              </w:rPr>
              <w:t xml:space="preserve">Olfactory</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2,639</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2,635</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4</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18"/>
                <w:szCs w:val="18"/>
              </w:rPr>
              <w:t xml:space="preserve">Mechanosensory (tactile)</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2,558</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2,532</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26</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18"/>
                <w:szCs w:val="18"/>
              </w:rPr>
              <w:t xml:space="preserve">Mechanosensory (generic)</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1,733</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589</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1,144</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18"/>
                <w:szCs w:val="18"/>
              </w:rPr>
              <w:t xml:space="preserve">Unknown sensory</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1,707</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0</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1,707</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18"/>
                <w:szCs w:val="18"/>
              </w:rPr>
              <w:t xml:space="preserve">Mechanosensory (proprioceptive)</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1,454</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860</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594</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18"/>
                <w:szCs w:val="18"/>
              </w:rPr>
              <w:t xml:space="preserve">Gustatory</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1,428</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1,039</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389</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18"/>
                <w:szCs w:val="18"/>
              </w:rPr>
              <w:t xml:space="preserve">Unclassified</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126</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0</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126</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18"/>
                <w:szCs w:val="18"/>
              </w:rPr>
              <w:t xml:space="preserve">Hygrosensory</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66</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65</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1</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18"/>
                <w:szCs w:val="18"/>
              </w:rPr>
              <w:t xml:space="preserve">Chemosensory</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58</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0</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58</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18"/>
                <w:szCs w:val="18"/>
              </w:rPr>
              <w:t xml:space="preserve">Thermosensory</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25</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25</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0</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b w:val="false"/>
                <w:bCs w:val="false"/>
                <w:sz w:val="18"/>
                <w:szCs w:val="18"/>
              </w:rPr>
              <w:t xml:space="preserve">Mechanosensory (tbc)</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11</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0</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val="false"/>
                <w:bCs w:val="false"/>
                <w:sz w:val="18"/>
                <w:szCs w:val="18"/>
              </w:rPr>
              <w:t xml:space="preserve">11</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b/>
                <w:bCs/>
                <w:sz w:val="18"/>
                <w:szCs w:val="18"/>
              </w:rPr>
              <w:t xml:space="preserve">Total</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bCs/>
                <w:sz w:val="18"/>
                <w:szCs w:val="18"/>
              </w:rPr>
              <w:t xml:space="preserve">15,912</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bCs/>
                <w:sz w:val="18"/>
                <w:szCs w:val="18"/>
              </w:rPr>
              <w:t xml:space="preserve">11,852</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b/>
                <w:bCs/>
                <w:sz w:val="18"/>
                <w:szCs w:val="18"/>
              </w:rPr>
              <w:t xml:space="preserve">4,060</w:t>
            </w:r>
          </w:p>
        </w:tc>
      </w:tr>
    </w:tbl>
    <w:p>
      <w:pPr>
        <w:spacing w:after="200" w:before="80"/>
      </w:pPr>
      <w:r>
        <w:rPr>
          <w:rFonts w:ascii="Times New Roman" w:cs="Times New Roman" w:eastAsia="Times New Roman" w:hAnsi="Times New Roman"/>
          <w:i/>
          <w:iCs/>
          <w:color w:val="444444"/>
          <w:sz w:val="18"/>
          <w:szCs w:val="18"/>
        </w:rPr>
        <w:t xml:space="preserve">Table 5. Sensory coverage by annotated class. Overall 74.5% driven.</w:t>
      </w:r>
    </w:p>
    <w:p>
      <w:pPr>
        <w:spacing w:after="140" w:line="276"/>
      </w:pPr>
      <w:r>
        <w:rPr>
          <w:rFonts w:ascii="Times New Roman" w:cs="Times New Roman" w:eastAsia="Times New Roman" w:hAnsi="Times New Roman"/>
          <w:sz w:val="22"/>
          <w:szCs w:val="22"/>
        </w:rPr>
        <w:t xml:space="preserve">Vision, thermosensation, olfaction, tactile mechanosensation and hygrosensation are essentially complete. The substantive gaps are generic mechanosensory afferents and the 1,707 neurons annotated only as unknown sensory, which cannot be driven without knowing their modality.</w:t>
      </w:r>
    </w:p>
    <w:p>
      <w:pPr>
        <w:pStyle w:val="Heading2"/>
        <w:spacing w:after="120" w:before="280"/>
      </w:pPr>
      <w:r>
        <w:t xml:space="preserve">7.4 Output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700"/>
        <w:gridCol w:w="1700"/>
        <w:gridCol w:w="1700"/>
      </w:tblGrid>
      <w:tr>
        <w:trPr>
          <w:tblHeader/>
        </w:trPr>
        <w:tc>
          <w:tcPr>
            <w:tcW w:type="dxa" w:w="4260"/>
            <w:shd w:fill="ECECEC" w:val="clear"/>
            <w:tcMar>
              <w:top w:type="dxa" w:w="60"/>
              <w:left w:type="dxa" w:w="110"/>
              <w:bottom w:type="dxa" w:w="60"/>
              <w:right w:type="dxa" w:w="110"/>
            </w:tcMar>
          </w:tcPr>
          <w:p>
            <w:pPr>
              <w:spacing w:after="0" w:line="240"/>
              <w:jc w:val="left"/>
            </w:pPr>
            <w:r>
              <w:rPr>
                <w:rFonts w:ascii="Times New Roman" w:cs="Times New Roman" w:eastAsia="Times New Roman" w:hAnsi="Times New Roman"/>
                <w:b/>
                <w:bCs/>
                <w:sz w:val="18"/>
                <w:szCs w:val="18"/>
              </w:rPr>
              <w:t xml:space="preserve">Population</w:t>
            </w:r>
          </w:p>
        </w:tc>
        <w:tc>
          <w:tcPr>
            <w:tcW w:type="dxa" w:w="1700"/>
            <w:shd w:fill="ECECEC" w:val="clear"/>
            <w:tcMar>
              <w:top w:type="dxa" w:w="60"/>
              <w:left w:type="dxa" w:w="110"/>
              <w:bottom w:type="dxa" w:w="60"/>
              <w:right w:type="dxa" w:w="110"/>
            </w:tcMar>
          </w:tcPr>
          <w:p>
            <w:pPr>
              <w:spacing w:after="0" w:line="240"/>
              <w:jc w:val="right"/>
            </w:pPr>
            <w:r>
              <w:rPr>
                <w:rFonts w:ascii="Times New Roman" w:cs="Times New Roman" w:eastAsia="Times New Roman" w:hAnsi="Times New Roman"/>
                <w:b/>
                <w:bCs/>
                <w:sz w:val="18"/>
                <w:szCs w:val="18"/>
              </w:rPr>
              <w:t xml:space="preserve">Total</w:t>
            </w:r>
          </w:p>
        </w:tc>
        <w:tc>
          <w:tcPr>
            <w:tcW w:type="dxa" w:w="1700"/>
            <w:shd w:fill="ECECEC" w:val="clear"/>
            <w:tcMar>
              <w:top w:type="dxa" w:w="60"/>
              <w:left w:type="dxa" w:w="110"/>
              <w:bottom w:type="dxa" w:w="60"/>
              <w:right w:type="dxa" w:w="110"/>
            </w:tcMar>
          </w:tcPr>
          <w:p>
            <w:pPr>
              <w:spacing w:after="0" w:line="240"/>
              <w:jc w:val="right"/>
            </w:pPr>
            <w:r>
              <w:rPr>
                <w:rFonts w:ascii="Times New Roman" w:cs="Times New Roman" w:eastAsia="Times New Roman" w:hAnsi="Times New Roman"/>
                <w:b/>
                <w:bCs/>
                <w:sz w:val="18"/>
                <w:szCs w:val="18"/>
              </w:rPr>
              <w:t xml:space="preserve">Read</w:t>
            </w:r>
          </w:p>
        </w:tc>
        <w:tc>
          <w:tcPr>
            <w:tcW w:type="dxa" w:w="1700"/>
            <w:shd w:fill="ECECEC" w:val="clear"/>
            <w:tcMar>
              <w:top w:type="dxa" w:w="60"/>
              <w:left w:type="dxa" w:w="110"/>
              <w:bottom w:type="dxa" w:w="60"/>
              <w:right w:type="dxa" w:w="110"/>
            </w:tcMar>
          </w:tcPr>
          <w:p>
            <w:pPr>
              <w:spacing w:after="0" w:line="240"/>
              <w:jc w:val="right"/>
            </w:pPr>
            <w:r>
              <w:rPr>
                <w:rFonts w:ascii="Times New Roman" w:cs="Times New Roman" w:eastAsia="Times New Roman" w:hAnsi="Times New Roman"/>
                <w:b/>
                <w:bCs/>
                <w:sz w:val="18"/>
                <w:szCs w:val="18"/>
              </w:rPr>
              <w:t xml:space="preserve">Gap</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Descending neurons</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1,314</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69</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1,245</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VNC motor neurons</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708</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386</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322</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CB motor neurons</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107</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79</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28</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Efferent neurons</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110</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0</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110</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Endocrine cells</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94</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0</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94</w:t>
            </w:r>
          </w:p>
        </w:tc>
      </w:tr>
      <w:tr>
        <w:tc>
          <w:tcPr>
            <w:tcW w:type="dxa" w:w="4260"/>
            <w:tcMar>
              <w:top w:type="dxa" w:w="60"/>
              <w:left w:type="dxa" w:w="110"/>
              <w:bottom w:type="dxa" w:w="60"/>
              <w:right w:type="dxa" w:w="110"/>
            </w:tcMar>
          </w:tcPr>
          <w:p>
            <w:pPr>
              <w:spacing w:after="0" w:line="240"/>
              <w:jc w:val="left"/>
            </w:pPr>
            <w:r>
              <w:rPr>
                <w:rFonts w:ascii="Times New Roman" w:cs="Times New Roman" w:eastAsia="Times New Roman" w:hAnsi="Times New Roman"/>
                <w:sz w:val="18"/>
                <w:szCs w:val="18"/>
              </w:rPr>
              <w:t xml:space="preserve">Enteric nervous system</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47</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0</w:t>
            </w:r>
          </w:p>
        </w:tc>
        <w:tc>
          <w:tcPr>
            <w:tcW w:type="dxa" w:w="1700"/>
            <w:tcMar>
              <w:top w:type="dxa" w:w="60"/>
              <w:left w:type="dxa" w:w="110"/>
              <w:bottom w:type="dxa" w:w="60"/>
              <w:right w:type="dxa" w:w="110"/>
            </w:tcMar>
          </w:tcPr>
          <w:p>
            <w:pPr>
              <w:spacing w:after="0" w:line="240"/>
              <w:jc w:val="right"/>
            </w:pPr>
            <w:r>
              <w:rPr>
                <w:rFonts w:ascii="Times New Roman" w:cs="Times New Roman" w:eastAsia="Times New Roman" w:hAnsi="Times New Roman"/>
                <w:sz w:val="18"/>
                <w:szCs w:val="18"/>
              </w:rPr>
              <w:t xml:space="preserve">47</w:t>
            </w:r>
          </w:p>
        </w:tc>
      </w:tr>
    </w:tbl>
    <w:p>
      <w:pPr>
        <w:spacing w:after="200" w:before="80"/>
      </w:pPr>
      <w:r>
        <w:rPr>
          <w:rFonts w:ascii="Times New Roman" w:cs="Times New Roman" w:eastAsia="Times New Roman" w:hAnsi="Times New Roman"/>
          <w:i/>
          <w:iCs/>
          <w:color w:val="444444"/>
          <w:sz w:val="18"/>
          <w:szCs w:val="18"/>
        </w:rPr>
        <w:t xml:space="preserve">Table 6. Output-side coverage.</w:t>
      </w:r>
    </w:p>
    <w:p>
      <w:pPr>
        <w:spacing w:after="140" w:line="276"/>
      </w:pPr>
      <w:r>
        <w:rPr>
          <w:rFonts w:ascii="Times New Roman" w:cs="Times New Roman" w:eastAsia="Times New Roman" w:hAnsi="Times New Roman"/>
          <w:b/>
          <w:bCs/>
          <w:sz w:val="22"/>
          <w:szCs w:val="22"/>
        </w:rPr>
        <w:t xml:space="preserve">The descending gap is the most consequential finding. </w:t>
      </w:r>
      <w:r>
        <w:rPr>
          <w:rFonts w:ascii="Times New Roman" w:cs="Times New Roman" w:eastAsia="Times New Roman" w:hAnsi="Times New Roman"/>
          <w:sz w:val="22"/>
          <w:szCs w:val="22"/>
        </w:rPr>
        <w:t xml:space="preserve">The motor layer reads approximately 18 named descending types; the connectome contains 1,314 descending neurons. In descending mode the remaining approximately 95% influence behaviour only indirectly. Full connectome mode engages more of the ventral nerve cord but is not the default. Three whole systems are absent from the loop: efferent neuromodulatory projections, the endocrine system, and the enteric nervous system governing the gut.</w:t>
      </w:r>
    </w:p>
    <w:p>
      <w:pPr>
        <w:pStyle w:val="Heading1"/>
        <w:spacing w:after="160" w:before="360"/>
      </w:pPr>
      <w:r>
        <w:t xml:space="preserve">8. Limitations</w:t>
      </w:r>
    </w:p>
    <w:p>
      <w:pPr>
        <w:pStyle w:val="ListParagraph"/>
        <w:numPr>
          <w:ilvl w:val="0"/>
          <w:numId w:val="3"/>
        </w:numPr>
        <w:spacing w:after="90" w:line="276"/>
      </w:pPr>
      <w:r>
        <w:rPr>
          <w:rFonts w:ascii="Times New Roman" w:cs="Times New Roman" w:eastAsia="Times New Roman" w:hAnsi="Times New Roman"/>
          <w:sz w:val="22"/>
          <w:szCs w:val="22"/>
        </w:rPr>
        <w:t xml:space="preserve">No validation against behavioural data. No gait, trajectory, or response statistic has been compared quantitatively to recorded Drosophila behaviour.</w:t>
      </w:r>
    </w:p>
    <w:p>
      <w:pPr>
        <w:pStyle w:val="ListParagraph"/>
        <w:numPr>
          <w:ilvl w:val="0"/>
          <w:numId w:val="3"/>
        </w:numPr>
        <w:spacing w:after="90" w:line="276"/>
      </w:pPr>
      <w:r>
        <w:rPr>
          <w:rFonts w:ascii="Times New Roman" w:cs="Times New Roman" w:eastAsia="Times New Roman" w:hAnsi="Times New Roman"/>
          <w:sz w:val="22"/>
          <w:szCs w:val="22"/>
        </w:rPr>
        <w:t xml:space="preserve">Transduction functions are plausible, not fitted. Every gain and time constant in Section 5 was chosen for reasonable dynamics, not estimated from electrophysiology.</w:t>
      </w:r>
    </w:p>
    <w:p>
      <w:pPr>
        <w:pStyle w:val="ListParagraph"/>
        <w:numPr>
          <w:ilvl w:val="0"/>
          <w:numId w:val="3"/>
        </w:numPr>
        <w:spacing w:after="90" w:line="276"/>
      </w:pPr>
      <w:r>
        <w:rPr>
          <w:rFonts w:ascii="Times New Roman" w:cs="Times New Roman" w:eastAsia="Times New Roman" w:hAnsi="Times New Roman"/>
          <w:sz w:val="22"/>
          <w:szCs w:val="22"/>
        </w:rPr>
        <w:t xml:space="preserve">Synaptic sign is predicted, not measured, and approximately 1.5% of neurons have no assigned sign.</w:t>
      </w:r>
    </w:p>
    <w:p>
      <w:pPr>
        <w:pStyle w:val="ListParagraph"/>
        <w:numPr>
          <w:ilvl w:val="0"/>
          <w:numId w:val="3"/>
        </w:numPr>
        <w:spacing w:after="90" w:line="276"/>
      </w:pPr>
      <w:r>
        <w:rPr>
          <w:rFonts w:ascii="Times New Roman" w:cs="Times New Roman" w:eastAsia="Times New Roman" w:hAnsi="Times New Roman"/>
          <w:sz w:val="22"/>
          <w:szCs w:val="22"/>
        </w:rPr>
        <w:t xml:space="preserve">No synaptic plasticity outside the mushroom body, and no homeostatic or neuromodulatory regulation of the kind Marder and Goaillard (2006) show to be pervasive.</w:t>
      </w:r>
    </w:p>
    <w:p>
      <w:pPr>
        <w:pStyle w:val="ListParagraph"/>
        <w:numPr>
          <w:ilvl w:val="0"/>
          <w:numId w:val="3"/>
        </w:numPr>
        <w:spacing w:after="90" w:line="276"/>
      </w:pPr>
      <w:r>
        <w:rPr>
          <w:rFonts w:ascii="Times New Roman" w:cs="Times New Roman" w:eastAsia="Times New Roman" w:hAnsi="Times New Roman"/>
          <w:sz w:val="22"/>
          <w:szCs w:val="22"/>
        </w:rPr>
        <w:t xml:space="preserve">The plasticity result is weak. A dose-response across three conditions yields a plasticity-dependent, odour-specific shift in MBON valence balance that scales with dose (aversive/appetitive ratio: +6.8 ± 2.2 control, +12.8 ± 4.7 at 1× dose, +13.6 ± 2.3 at 9×). However, replicates shared one arena and were therefore pseudo-replicates; n = 4 per condition; and no behavioural consequence was demonstrated. The effect sign is inverted relative to textbook aversive learning, consistent with disinhibition through inhibitory MBONs but not established as such.</w:t>
      </w:r>
    </w:p>
    <w:p>
      <w:pPr>
        <w:pStyle w:val="ListParagraph"/>
        <w:numPr>
          <w:ilvl w:val="0"/>
          <w:numId w:val="3"/>
        </w:numPr>
        <w:spacing w:after="90" w:line="276"/>
      </w:pPr>
      <w:r>
        <w:rPr>
          <w:rFonts w:ascii="Times New Roman" w:cs="Times New Roman" w:eastAsia="Times New Roman" w:hAnsi="Times New Roman"/>
          <w:sz w:val="22"/>
          <w:szCs w:val="22"/>
        </w:rPr>
        <w:t xml:space="preserve">Inter-animal physics is approximate — conspecifics are kinematic proxies.</w:t>
      </w:r>
    </w:p>
    <w:p>
      <w:pPr>
        <w:pStyle w:val="ListParagraph"/>
        <w:numPr>
          <w:ilvl w:val="0"/>
          <w:numId w:val="3"/>
        </w:numPr>
        <w:spacing w:after="90" w:line="276"/>
      </w:pPr>
      <w:r>
        <w:rPr>
          <w:rFonts w:ascii="Times New Roman" w:cs="Times New Roman" w:eastAsia="Times New Roman" w:hAnsi="Times New Roman"/>
          <w:sz w:val="22"/>
          <w:szCs w:val="22"/>
        </w:rPr>
        <w:t xml:space="preserve">Timescale. The animal runs at roughly 0.065× real time on the reference hardware; experience is compressed relative to a real fly’s development and learning history.</w:t>
      </w:r>
    </w:p>
    <w:p>
      <w:pPr>
        <w:pStyle w:val="Heading1"/>
        <w:spacing w:after="160" w:before="360"/>
      </w:pPr>
      <w:r>
        <w:t xml:space="preserve">9. Toward greater realism</w:t>
      </w:r>
    </w:p>
    <w:p>
      <w:pPr>
        <w:spacing w:after="140" w:line="276"/>
      </w:pPr>
      <w:r>
        <w:rPr>
          <w:rFonts w:ascii="Times New Roman" w:cs="Times New Roman" w:eastAsia="Times New Roman" w:hAnsi="Times New Roman"/>
          <w:sz w:val="22"/>
          <w:szCs w:val="22"/>
        </w:rPr>
        <w:t xml:space="preserve">Ordered by expected gain per unit effort.</w:t>
      </w:r>
    </w:p>
    <w:p>
      <w:pPr>
        <w:pStyle w:val="Heading3"/>
        <w:spacing w:after="100" w:before="220"/>
      </w:pPr>
      <w:r>
        <w:t xml:space="preserve">9.1 Close the descending gap</w:t>
      </w:r>
    </w:p>
    <w:p>
      <w:pPr>
        <w:spacing w:after="140" w:line="276"/>
      </w:pPr>
      <w:r>
        <w:rPr>
          <w:rFonts w:ascii="Times New Roman" w:cs="Times New Roman" w:eastAsia="Times New Roman" w:hAnsi="Times New Roman"/>
          <w:sz w:val="22"/>
          <w:szCs w:val="22"/>
        </w:rPr>
        <w:t xml:space="preserve">1,245 descending neurons are simulated but unread. Reading the full descending population as a distributed motor command — rather than 18 named types — would let more of the brain’s output actually reach the body. This is the single largest structural gap.</w:t>
      </w:r>
    </w:p>
    <w:p>
      <w:pPr>
        <w:pStyle w:val="Heading3"/>
        <w:spacing w:after="100" w:before="220"/>
      </w:pPr>
      <w:r>
        <w:t xml:space="preserve">9.2 Resolve unknown sensory annotations</w:t>
      </w:r>
    </w:p>
    <w:p>
      <w:pPr>
        <w:spacing w:after="140" w:line="276"/>
      </w:pPr>
      <w:r>
        <w:rPr>
          <w:rFonts w:ascii="Times New Roman" w:cs="Times New Roman" w:eastAsia="Times New Roman" w:hAnsi="Times New Roman"/>
          <w:sz w:val="22"/>
          <w:szCs w:val="22"/>
        </w:rPr>
        <w:t xml:space="preserve">1,707 sensory neurons lack a modality annotation. Cross-referencing against newer cell-typing (Schlegel et al., 2024) could assign many, converting a coverage gap into working channels.</w:t>
      </w:r>
    </w:p>
    <w:p>
      <w:pPr>
        <w:pStyle w:val="Heading3"/>
        <w:spacing w:after="100" w:before="220"/>
      </w:pPr>
      <w:r>
        <w:t xml:space="preserve">9.3 Interoception and internal state</w:t>
      </w:r>
    </w:p>
    <w:p>
      <w:pPr>
        <w:spacing w:after="140" w:line="276"/>
      </w:pPr>
      <w:r>
        <w:rPr>
          <w:rFonts w:ascii="Times New Roman" w:cs="Times New Roman" w:eastAsia="Times New Roman" w:hAnsi="Times New Roman"/>
          <w:sz w:val="22"/>
          <w:szCs w:val="22"/>
        </w:rPr>
        <w:t xml:space="preserve">The enteric (47) and endocrine (94) populations are entirely outside the loop. A crop-fullness signal, an osmotic signal, and slow hormonal modulation of feeding and locomotor thresholds would give the animal an internal milieu rather than a single scalar energy variable.</w:t>
      </w:r>
    </w:p>
    <w:p>
      <w:pPr>
        <w:pStyle w:val="Heading3"/>
        <w:spacing w:after="100" w:before="220"/>
      </w:pPr>
      <w:r>
        <w:t xml:space="preserve">9.4 Neuromodulation as a state variable</w:t>
      </w:r>
    </w:p>
    <w:p>
      <w:pPr>
        <w:spacing w:after="140" w:line="276"/>
      </w:pPr>
      <w:r>
        <w:rPr>
          <w:rFonts w:ascii="Times New Roman" w:cs="Times New Roman" w:eastAsia="Times New Roman" w:hAnsi="Times New Roman"/>
          <w:sz w:val="22"/>
          <w:szCs w:val="22"/>
        </w:rPr>
        <w:t xml:space="preserve">Octopaminergic and dopaminergic tone currently enter as a narrow hunger channel. Marder and Goaillard (2006) would predict that modulatory state changes effective circuit function substantially; implementing it as a global gain and threshold modulator is tractable.</w:t>
      </w:r>
    </w:p>
    <w:p>
      <w:pPr>
        <w:pStyle w:val="Heading3"/>
        <w:spacing w:after="100" w:before="220"/>
      </w:pPr>
      <w:r>
        <w:t xml:space="preserve">9.5 Individual chemical identity</w:t>
      </w:r>
    </w:p>
    <w:p>
      <w:pPr>
        <w:spacing w:after="140" w:line="276"/>
      </w:pPr>
      <w:r>
        <w:rPr>
          <w:rFonts w:ascii="Times New Roman" w:cs="Times New Roman" w:eastAsia="Times New Roman" w:hAnsi="Times New Roman"/>
          <w:sz w:val="22"/>
          <w:szCs w:val="22"/>
        </w:rPr>
        <w:t xml:space="preserve">Conspecifics emit an identical pheromone, so an animal senses a fly rather than a particular fly. Per-individual blends across the pheromone glomeruli would make individual recognition learnable by the mushroom body — the prerequisite for any social memory.</w:t>
      </w:r>
    </w:p>
    <w:p>
      <w:pPr>
        <w:pStyle w:val="Heading3"/>
        <w:spacing w:after="100" w:before="220"/>
      </w:pPr>
      <w:r>
        <w:t xml:space="preserve">9.6 Behavioural validation</w:t>
      </w:r>
    </w:p>
    <w:p>
      <w:pPr>
        <w:spacing w:after="140" w:line="276"/>
      </w:pPr>
      <w:r>
        <w:rPr>
          <w:rFonts w:ascii="Times New Roman" w:cs="Times New Roman" w:eastAsia="Times New Roman" w:hAnsi="Times New Roman"/>
          <w:sz w:val="22"/>
          <w:szCs w:val="22"/>
        </w:rPr>
        <w:t xml:space="preserve">Optomotor response, odour-tracking trajectory statistics, grooming sequence structure (Seeds et al., 2014), and courtship song timing are all measurable in the artefact and comparable to published data. Until such comparisons exist, claims about realism remain architectural rather than empirical.</w:t>
      </w:r>
    </w:p>
    <w:p>
      <w:pPr>
        <w:pStyle w:val="Heading3"/>
        <w:spacing w:after="100" w:before="220"/>
      </w:pPr>
      <w:r>
        <w:t xml:space="preserve">9.7 Developmental and lifetime timescales</w:t>
      </w:r>
    </w:p>
    <w:p>
      <w:pPr>
        <w:spacing w:after="140" w:line="276"/>
      </w:pPr>
      <w:r>
        <w:rPr>
          <w:rFonts w:ascii="Times New Roman" w:cs="Times New Roman" w:eastAsia="Times New Roman" w:hAnsi="Times New Roman"/>
          <w:sz w:val="22"/>
          <w:szCs w:val="22"/>
        </w:rPr>
        <w:t xml:space="preserve">Overnight headless recording currently yields approximately 90 minutes of simulated experience per animal. Meaningful learning histories would require either substantially faster simulation — a batched GPU formulation computing all animals in one sparse matrix product rather than N independent ones — or accepting offline, non-interactive runs.</w:t>
      </w:r>
    </w:p>
    <w:p>
      <w:pPr>
        <w:pStyle w:val="Heading1"/>
        <w:spacing w:after="160" w:before="360"/>
      </w:pPr>
      <w:r>
        <w:t xml:space="preserve">10. Conclusion</w:t>
      </w:r>
    </w:p>
    <w:p>
      <w:pPr>
        <w:spacing w:after="140" w:line="276"/>
      </w:pPr>
      <w:r>
        <w:rPr>
          <w:rFonts w:ascii="Times New Roman" w:cs="Times New Roman" w:eastAsia="Times New Roman" w:hAnsi="Times New Roman"/>
          <w:sz w:val="22"/>
          <w:szCs w:val="22"/>
        </w:rPr>
        <w:t xml:space="preserve">The artefact demonstrates that a complete insect connectome can be embedded in a physically simulated body and run in a closed sensorimotor loop on consumer hardware, with every sensory and motor signal terminating on identified neurons. Coverage analysis shows the interface to be substantially complete on the sensory side (74.5% of annotated sensory neurons) and markedly incomplete on the output side, where 1,245 of 1,314 descending neurons are simulated but unread, and three subsystems — efferent, endocrine, enteric — are absent from the loop entirely.</w:t>
      </w:r>
    </w:p>
    <w:p>
      <w:pPr>
        <w:spacing w:after="140" w:line="276"/>
      </w:pPr>
      <w:r>
        <w:rPr>
          <w:rFonts w:ascii="Times New Roman" w:cs="Times New Roman" w:eastAsia="Times New Roman" w:hAnsi="Times New Roman"/>
          <w:sz w:val="22"/>
          <w:szCs w:val="22"/>
        </w:rPr>
        <w:t xml:space="preserve">The addition of mushroom-body plasticity shows that associative machinery can be added at 0.4% of the graph’s memory cost, and that the resulting synaptic changes are contingent on reinforcement and scale with training dose. It has </w:t>
      </w:r>
      <w:r>
        <w:rPr>
          <w:rFonts w:ascii="Times New Roman" w:cs="Times New Roman" w:eastAsia="Times New Roman" w:hAnsi="Times New Roman"/>
          <w:b/>
          <w:bCs/>
          <w:sz w:val="22"/>
          <w:szCs w:val="22"/>
        </w:rPr>
        <w:t xml:space="preserve">not</w:t>
      </w:r>
      <w:r>
        <w:rPr>
          <w:rFonts w:ascii="Times New Roman" w:cs="Times New Roman" w:eastAsia="Times New Roman" w:hAnsi="Times New Roman"/>
          <w:sz w:val="22"/>
          <w:szCs w:val="22"/>
        </w:rPr>
        <w:t xml:space="preserve"> been shown that these changes alter behaviour, and that distinction should be preserved in any description of this work.</w:t>
      </w:r>
    </w:p>
    <w:p>
      <w:pPr>
        <w:spacing w:after="140" w:line="276"/>
      </w:pPr>
      <w:r>
        <w:rPr>
          <w:rFonts w:ascii="Times New Roman" w:cs="Times New Roman" w:eastAsia="Times New Roman" w:hAnsi="Times New Roman"/>
          <w:sz w:val="22"/>
          <w:szCs w:val="22"/>
        </w:rPr>
        <w:t xml:space="preserve">The artefact’s principal value is as an instrument: it makes the consequences of connectome-derived assumptions visible and testable in a closed loop, which is precisely the regime in which Bargmann and Marder (2013) argued connectivity alone is insufficient.</w:t>
      </w:r>
    </w:p>
    <w:p>
      <w:r>
        <w:br w:type="page"/>
      </w:r>
    </w:p>
    <w:p>
      <w:pPr>
        <w:pStyle w:val="Heading1"/>
        <w:spacing w:after="160" w:before="360"/>
      </w:pPr>
      <w:r>
        <w:t xml:space="preserve">References</w:t>
      </w:r>
    </w:p>
    <w:p>
      <w:pPr>
        <w:spacing w:after="120" w:line="276"/>
        <w:ind w:left="720" w:hanging="720"/>
      </w:pPr>
      <w:r>
        <w:rPr>
          <w:rFonts w:ascii="Times New Roman" w:cs="Times New Roman" w:eastAsia="Times New Roman" w:hAnsi="Times New Roman"/>
          <w:sz w:val="22"/>
          <w:szCs w:val="22"/>
        </w:rPr>
        <w:t xml:space="preserve">Aso, Y., Hattori, D., Yu, Y., Johnston, R. M., Iyer, N. A., Ngo, T.-T. B., Dionne, H., Abbott, L. F., Axel, R., Tanimoto, H., &amp; Rubin, G. M. (2014). The neuronal architecture of the mushroom body provides a logic for associative learning. eLife, 3, e04577.</w:t>
      </w:r>
    </w:p>
    <w:p>
      <w:pPr>
        <w:spacing w:after="120" w:line="276"/>
        <w:ind w:left="720" w:hanging="720"/>
      </w:pPr>
      <w:r>
        <w:rPr>
          <w:rFonts w:ascii="Times New Roman" w:cs="Times New Roman" w:eastAsia="Times New Roman" w:hAnsi="Times New Roman"/>
          <w:sz w:val="22"/>
          <w:szCs w:val="22"/>
        </w:rPr>
        <w:t xml:space="preserve">Bargmann, C. I., &amp; Marder, E. (2013). From the connectome to brain function. Nature Methods, 10(6), 483–490.</w:t>
      </w:r>
    </w:p>
    <w:p>
      <w:pPr>
        <w:spacing w:after="120" w:line="276"/>
        <w:ind w:left="720" w:hanging="720"/>
      </w:pPr>
      <w:r>
        <w:rPr>
          <w:rFonts w:ascii="Times New Roman" w:cs="Times New Roman" w:eastAsia="Times New Roman" w:hAnsi="Times New Roman"/>
          <w:sz w:val="22"/>
          <w:szCs w:val="22"/>
        </w:rPr>
        <w:t xml:space="preserve">Bidaye, S. S., Machacek, C., Wu, Y., &amp; Dickson, B. J. (2014). Neuronal control of Drosophila walking direction. Science, 344(6179), 97–101.</w:t>
      </w:r>
    </w:p>
    <w:p>
      <w:pPr>
        <w:spacing w:after="120" w:line="276"/>
        <w:ind w:left="720" w:hanging="720"/>
      </w:pPr>
      <w:r>
        <w:rPr>
          <w:rFonts w:ascii="Times New Roman" w:cs="Times New Roman" w:eastAsia="Times New Roman" w:hAnsi="Times New Roman"/>
          <w:sz w:val="22"/>
          <w:szCs w:val="22"/>
        </w:rPr>
        <w:t xml:space="preserve">Cande, J., Namiki, S., Qiu, J., Korff, W., Card, G. M., Shaevitz, J. W., Stern, D. L., &amp; Berman, G. J. (2018). Optogenetic dissection of descending behavioral control in Drosophila. eLife, 7, e34275.</w:t>
      </w:r>
    </w:p>
    <w:p>
      <w:pPr>
        <w:spacing w:after="120" w:line="276"/>
        <w:ind w:left="720" w:hanging="720"/>
      </w:pPr>
      <w:r>
        <w:rPr>
          <w:rFonts w:ascii="Times New Roman" w:cs="Times New Roman" w:eastAsia="Times New Roman" w:hAnsi="Times New Roman"/>
          <w:sz w:val="22"/>
          <w:szCs w:val="22"/>
        </w:rPr>
        <w:t xml:space="preserve">Coen, P., Clemens, J., Weinstein, A. J., Pacheco, D. A., Deng, Y., &amp; Murthy, M. (2014). Dynamic sensory cues shape song structure in Drosophila. Nature, 507(7491), 233–237.</w:t>
      </w:r>
    </w:p>
    <w:p>
      <w:pPr>
        <w:spacing w:after="120" w:line="276"/>
        <w:ind w:left="720" w:hanging="720"/>
      </w:pPr>
      <w:r>
        <w:rPr>
          <w:rFonts w:ascii="Times New Roman" w:cs="Times New Roman" w:eastAsia="Times New Roman" w:hAnsi="Times New Roman"/>
          <w:sz w:val="22"/>
          <w:szCs w:val="22"/>
        </w:rPr>
        <w:t xml:space="preserve">Cohn, R., Morantte, I., &amp; Ruta, V. (2015). Coordinated and compartmentalized neuromodulation shapes sensory processing in Drosophila. Cell, 163(7), 1742–1755.</w:t>
      </w:r>
    </w:p>
    <w:p>
      <w:pPr>
        <w:spacing w:after="120" w:line="276"/>
        <w:ind w:left="720" w:hanging="720"/>
      </w:pPr>
      <w:r>
        <w:rPr>
          <w:rFonts w:ascii="Times New Roman" w:cs="Times New Roman" w:eastAsia="Times New Roman" w:hAnsi="Times New Roman"/>
          <w:sz w:val="22"/>
          <w:szCs w:val="22"/>
        </w:rPr>
        <w:t xml:space="preserve">Dorkenwald, S., Matsliah, A., Sterling, A. R., Schlegel, P., Yu, S.-C., McKellar, C. E., Lin, A., Costa, M., Eichler, K., Yin, Y., Silversmith, W., Murthy, M., &amp; Seung, H. S. (2024). Neuronal wiring diagram of an adult brain. Nature, 634, 124–138.</w:t>
      </w:r>
    </w:p>
    <w:p>
      <w:pPr>
        <w:spacing w:after="120" w:line="276"/>
        <w:ind w:left="720" w:hanging="720"/>
      </w:pPr>
      <w:r>
        <w:rPr>
          <w:rFonts w:ascii="Times New Roman" w:cs="Times New Roman" w:eastAsia="Times New Roman" w:hAnsi="Times New Roman"/>
          <w:sz w:val="22"/>
          <w:szCs w:val="22"/>
        </w:rPr>
        <w:t xml:space="preserve">Enjin, A., Zaharieva, E. E., Frank, D. D., Mansourian, S., Suh, G. S. B., Gallio, M., &amp; Stensmyr, M. C. (2016). Humidity sensing in Drosophila. Current Biology, 26(10), 1352–1358.</w:t>
      </w:r>
    </w:p>
    <w:p>
      <w:pPr>
        <w:spacing w:after="120" w:line="276"/>
        <w:ind w:left="720" w:hanging="720"/>
      </w:pPr>
      <w:r>
        <w:rPr>
          <w:rFonts w:ascii="Times New Roman" w:cs="Times New Roman" w:eastAsia="Times New Roman" w:hAnsi="Times New Roman"/>
          <w:sz w:val="22"/>
          <w:szCs w:val="22"/>
        </w:rPr>
        <w:t xml:space="preserve">Gallio, M., Ofstad, T. A., Macpherson, L. J., Wang, J. W., &amp; Zuker, C. S. (2011). The coding of temperature in the Drosophila brain. Cell, 144(4), 614–624.</w:t>
      </w:r>
    </w:p>
    <w:p>
      <w:pPr>
        <w:spacing w:after="120" w:line="276"/>
        <w:ind w:left="720" w:hanging="720"/>
      </w:pPr>
      <w:r>
        <w:rPr>
          <w:rFonts w:ascii="Times New Roman" w:cs="Times New Roman" w:eastAsia="Times New Roman" w:hAnsi="Times New Roman"/>
          <w:sz w:val="22"/>
          <w:szCs w:val="22"/>
        </w:rPr>
        <w:t xml:space="preserve">Hige, T., Aso, Y., Modi, M. N., Rubin, G. M., &amp; Turner, G. C. (2015). Heterosynaptic plasticity underlies aversive olfactory learning in Drosophila. Neuron, 88(5), 985–998.</w:t>
      </w:r>
    </w:p>
    <w:p>
      <w:pPr>
        <w:spacing w:after="120" w:line="276"/>
        <w:ind w:left="720" w:hanging="720"/>
      </w:pPr>
      <w:r>
        <w:rPr>
          <w:rFonts w:ascii="Times New Roman" w:cs="Times New Roman" w:eastAsia="Times New Roman" w:hAnsi="Times New Roman"/>
          <w:sz w:val="22"/>
          <w:szCs w:val="22"/>
        </w:rPr>
        <w:t xml:space="preserve">Ito, K., Shinomiya, K., Ito, M., Armstrong, J. D., Boyan, G., Hartenstein, V., Harzsch, S., Heisenberg, M., Homberg, U., Jenett, A., Keshishian, H., Restifo, L. L., Rössler, W., Simpson, J. H., Strausfeld, N. J., Strauss, R., &amp; Vosshall, L. B. (2014). A systematic nomenclature for the insect brain. Neuron, 81(4), 755–765.</w:t>
      </w:r>
    </w:p>
    <w:p>
      <w:pPr>
        <w:spacing w:after="120" w:line="276"/>
        <w:ind w:left="720" w:hanging="720"/>
      </w:pPr>
      <w:r>
        <w:rPr>
          <w:rFonts w:ascii="Times New Roman" w:cs="Times New Roman" w:eastAsia="Times New Roman" w:hAnsi="Times New Roman"/>
          <w:sz w:val="22"/>
          <w:szCs w:val="22"/>
        </w:rPr>
        <w:t xml:space="preserve">Kamikouchi, A., Inagaki, H. K., Effertz, T., Hendrich, O., Fiala, A., Göpfert, M. C., &amp; Ito, K. (2009). The neural basis of Drosophila gravity-sensing and hearing. Nature, 458(7235), 165–171.</w:t>
      </w:r>
    </w:p>
    <w:p>
      <w:pPr>
        <w:spacing w:after="120" w:line="276"/>
        <w:ind w:left="720" w:hanging="720"/>
      </w:pPr>
      <w:r>
        <w:rPr>
          <w:rFonts w:ascii="Times New Roman" w:cs="Times New Roman" w:eastAsia="Times New Roman" w:hAnsi="Times New Roman"/>
          <w:sz w:val="22"/>
          <w:szCs w:val="22"/>
        </w:rPr>
        <w:t xml:space="preserve">Kim, A. J., Fitzgerald, J. K., &amp; Maimon, G. (2015). Cellular evidence for efference copy in Drosophila visuomotor processing. Nature Neuroscience, 18(9), 1247–1255.</w:t>
      </w:r>
    </w:p>
    <w:p>
      <w:pPr>
        <w:spacing w:after="120" w:line="276"/>
        <w:ind w:left="720" w:hanging="720"/>
      </w:pPr>
      <w:r>
        <w:rPr>
          <w:rFonts w:ascii="Times New Roman" w:cs="Times New Roman" w:eastAsia="Times New Roman" w:hAnsi="Times New Roman"/>
          <w:sz w:val="22"/>
          <w:szCs w:val="22"/>
        </w:rPr>
        <w:t xml:space="preserve">Knecht, Z. A., Silbering, A. F., Ni, L., Klein, M., Budelli, G., Bell, R., Abuin, L., Ferrer, A. J., Samuel, A. D. T., Benton, R., &amp; Garrity, P. A. (2016). Distinct combinations of variant ionotropic glutamate receptors mediate thermosensation and hygrosensation in Drosophila. eLife, 5, e17879.</w:t>
      </w:r>
    </w:p>
    <w:p>
      <w:pPr>
        <w:spacing w:after="120" w:line="276"/>
        <w:ind w:left="720" w:hanging="720"/>
      </w:pPr>
      <w:r>
        <w:rPr>
          <w:rFonts w:ascii="Times New Roman" w:cs="Times New Roman" w:eastAsia="Times New Roman" w:hAnsi="Times New Roman"/>
          <w:sz w:val="22"/>
          <w:szCs w:val="22"/>
        </w:rPr>
        <w:t xml:space="preserve">Lappalainen, J. K., Tschopp, F. D., Prakhya, S., McGill, M., Nern, A., Shinomiya, K., Takemura, S., Gruntman, E., Macke, J. H., &amp; Turaga, S. C. (2024). Connectome-constrained networks predict neural activity across the fly visual system. Nature, 634, 1132–1140.</w:t>
      </w:r>
    </w:p>
    <w:p>
      <w:pPr>
        <w:spacing w:after="120" w:line="276"/>
        <w:ind w:left="720" w:hanging="720"/>
      </w:pPr>
      <w:r>
        <w:rPr>
          <w:rFonts w:ascii="Times New Roman" w:cs="Times New Roman" w:eastAsia="Times New Roman" w:hAnsi="Times New Roman"/>
          <w:sz w:val="22"/>
          <w:szCs w:val="22"/>
        </w:rPr>
        <w:t xml:space="preserve">Lin, A. C., Bygrave, A. M., de Calignon, A., Lee, T., &amp; Miesenböck, G. (2014). Sparse, decorrelated odor coding in the mushroom body enhances learned odor discrimination. Nature Neuroscience, 17(4), 559–568.</w:t>
      </w:r>
    </w:p>
    <w:p>
      <w:pPr>
        <w:spacing w:after="120" w:line="276"/>
        <w:ind w:left="720" w:hanging="720"/>
      </w:pPr>
      <w:r>
        <w:rPr>
          <w:rFonts w:ascii="Times New Roman" w:cs="Times New Roman" w:eastAsia="Times New Roman" w:hAnsi="Times New Roman"/>
          <w:sz w:val="22"/>
          <w:szCs w:val="22"/>
        </w:rPr>
        <w:t xml:space="preserve">Marder, E., &amp; Goaillard, J.-M. (2006). Variability, compensation and homeostasis in neuron and network function. Nature Reviews Neuroscience, 7(7), 563–574.</w:t>
      </w:r>
    </w:p>
    <w:p>
      <w:pPr>
        <w:spacing w:after="120" w:line="276"/>
        <w:ind w:left="720" w:hanging="720"/>
      </w:pPr>
      <w:r>
        <w:rPr>
          <w:rFonts w:ascii="Times New Roman" w:cs="Times New Roman" w:eastAsia="Times New Roman" w:hAnsi="Times New Roman"/>
          <w:sz w:val="22"/>
          <w:szCs w:val="22"/>
        </w:rPr>
        <w:t xml:space="preserve">Modi, M. N., Shuai, Y., &amp; Turner, G. C. (2020). The Drosophila mushroom body: From architecture to algorithm in a learning circuit. Annual Review of Neuroscience, 43, 465–484.</w:t>
      </w:r>
    </w:p>
    <w:p>
      <w:pPr>
        <w:spacing w:after="120" w:line="276"/>
        <w:ind w:left="720" w:hanging="720"/>
      </w:pPr>
      <w:r>
        <w:rPr>
          <w:rFonts w:ascii="Times New Roman" w:cs="Times New Roman" w:eastAsia="Times New Roman" w:hAnsi="Times New Roman"/>
          <w:sz w:val="22"/>
          <w:szCs w:val="22"/>
        </w:rPr>
        <w:t xml:space="preserve">Namiki, S., Dickinson, M. H., Wong, A. M., Korff, W., &amp; Card, G. M. (2018). The functional organization of descending sensory-motor pathways in Drosophila. eLife, 7, e34272.</w:t>
      </w:r>
    </w:p>
    <w:p>
      <w:pPr>
        <w:spacing w:after="120" w:line="276"/>
        <w:ind w:left="720" w:hanging="720"/>
      </w:pPr>
      <w:r>
        <w:rPr>
          <w:rFonts w:ascii="Times New Roman" w:cs="Times New Roman" w:eastAsia="Times New Roman" w:hAnsi="Times New Roman"/>
          <w:sz w:val="22"/>
          <w:szCs w:val="22"/>
        </w:rPr>
        <w:t xml:space="preserve">Olsen, S. R., &amp; Wilson, R. I. (2008). Lateral presynaptic inhibition mediates gain control in an olfactory circuit. Nature, 452(7190), 956–960.</w:t>
      </w:r>
    </w:p>
    <w:p>
      <w:pPr>
        <w:spacing w:after="120" w:line="276"/>
        <w:ind w:left="720" w:hanging="720"/>
      </w:pPr>
      <w:r>
        <w:rPr>
          <w:rFonts w:ascii="Times New Roman" w:cs="Times New Roman" w:eastAsia="Times New Roman" w:hAnsi="Times New Roman"/>
          <w:sz w:val="22"/>
          <w:szCs w:val="22"/>
        </w:rPr>
        <w:t xml:space="preserve">Ribeiro, I. M. A., Drews, M., Bahl, A., Machacek, C., Borst, A., &amp; Dickson, B. J. (2018). Visual projection neurons mediating directed courtship in Drosophila. Cell, 174(3), 607–621.</w:t>
      </w:r>
    </w:p>
    <w:p>
      <w:pPr>
        <w:spacing w:after="120" w:line="276"/>
        <w:ind w:left="720" w:hanging="720"/>
      </w:pPr>
      <w:r>
        <w:rPr>
          <w:rFonts w:ascii="Times New Roman" w:cs="Times New Roman" w:eastAsia="Times New Roman" w:hAnsi="Times New Roman"/>
          <w:sz w:val="22"/>
          <w:szCs w:val="22"/>
        </w:rPr>
        <w:t xml:space="preserve">Scheffer, L. K., Xu, C. S., Januszewski, M., Lu, Z., Takemura, S., Hayworth, K. J., Huang, G. B., Shinomiya, K., Maitlin-Shepard, J., Berg, S., Hess, H. F., &amp; Plaza, S. M. (2020). A connectome and analysis of the adult Drosophila central brain. eLife, 9, e57443.</w:t>
      </w:r>
    </w:p>
    <w:p>
      <w:pPr>
        <w:spacing w:after="120" w:line="276"/>
        <w:ind w:left="720" w:hanging="720"/>
      </w:pPr>
      <w:r>
        <w:rPr>
          <w:rFonts w:ascii="Times New Roman" w:cs="Times New Roman" w:eastAsia="Times New Roman" w:hAnsi="Times New Roman"/>
          <w:sz w:val="22"/>
          <w:szCs w:val="22"/>
        </w:rPr>
        <w:t xml:space="preserve">Schlegel, P., Yin, Y., Bates, A. S., Dorkenwald, S., Eichler, K., Brooks, P., Han, D. S., Gkantia, M., dos Santos, M., Munnelly, E. J., Murthy, M., &amp; Jefferis, G. S. X. E. (2024). Whole-brain annotation and multi-connectome cell typing of Drosophila. Nature, 634, 139–152.</w:t>
      </w:r>
    </w:p>
    <w:p>
      <w:pPr>
        <w:spacing w:after="120" w:line="276"/>
        <w:ind w:left="720" w:hanging="720"/>
      </w:pPr>
      <w:r>
        <w:rPr>
          <w:rFonts w:ascii="Times New Roman" w:cs="Times New Roman" w:eastAsia="Times New Roman" w:hAnsi="Times New Roman"/>
          <w:sz w:val="22"/>
          <w:szCs w:val="22"/>
        </w:rPr>
        <w:t xml:space="preserve">Seeds, A. M., Ravbar, P., Chung, P., Hampel, S., Midgley, F. M., Mensh, B. D., &amp; Simpson, J. H. (2014). A suppression hierarchy among competing motor programs drives sequential grooming in Drosophila. eLife, 3, e02951.</w:t>
      </w:r>
    </w:p>
    <w:p>
      <w:pPr>
        <w:spacing w:after="120" w:line="276"/>
        <w:ind w:left="720" w:hanging="720"/>
      </w:pPr>
      <w:r>
        <w:rPr>
          <w:rFonts w:ascii="Times New Roman" w:cs="Times New Roman" w:eastAsia="Times New Roman" w:hAnsi="Times New Roman"/>
          <w:sz w:val="22"/>
          <w:szCs w:val="22"/>
        </w:rPr>
        <w:t xml:space="preserve">Shiu, P. K., Sterne, G. R., Spiller, N., Franconville, R., Sandoval, A., Zhou, J., Simha, N., Kang, C. H., Yu, S., Kim, J. S., Dorkenwald, S., &amp; Scott, K. (2024). A leaky integrate-and-fire computational model based on the connectome of the entire adult Drosophila brain reveals insights into sensorimotor processing. Nature, 634, 210–219.</w:t>
      </w:r>
    </w:p>
    <w:p>
      <w:pPr>
        <w:spacing w:after="120" w:line="276"/>
        <w:ind w:left="720" w:hanging="720"/>
      </w:pPr>
      <w:r>
        <w:rPr>
          <w:rFonts w:ascii="Times New Roman" w:cs="Times New Roman" w:eastAsia="Times New Roman" w:hAnsi="Times New Roman"/>
          <w:sz w:val="22"/>
          <w:szCs w:val="22"/>
        </w:rPr>
        <w:t xml:space="preserve">Todorov, E., Erez, T., &amp; Tassa, Y. (2012). MuJoCo: A physics engine for model-based control. In 2012 IEEE/RSJ International Conference on Intelligent Robots and Systems (pp. 5026–5033). IEEE.</w:t>
      </w:r>
    </w:p>
    <w:p>
      <w:pPr>
        <w:spacing w:after="120" w:line="276"/>
        <w:ind w:left="720" w:hanging="720"/>
      </w:pPr>
      <w:r>
        <w:rPr>
          <w:rFonts w:ascii="Times New Roman" w:cs="Times New Roman" w:eastAsia="Times New Roman" w:hAnsi="Times New Roman"/>
          <w:sz w:val="22"/>
          <w:szCs w:val="22"/>
        </w:rPr>
        <w:t xml:space="preserve">Turner, G. C., Bazhenov, M., &amp; Laurent, G. (2008). Olfactory representations by Drosophila mushroom body neurons. Journal of Neurophysiology, 99(2), 734–746.</w:t>
      </w:r>
    </w:p>
    <w:p>
      <w:pPr>
        <w:spacing w:after="120" w:line="276"/>
        <w:ind w:left="720" w:hanging="720"/>
      </w:pPr>
      <w:r>
        <w:rPr>
          <w:rFonts w:ascii="Times New Roman" w:cs="Times New Roman" w:eastAsia="Times New Roman" w:hAnsi="Times New Roman"/>
          <w:sz w:val="22"/>
          <w:szCs w:val="22"/>
        </w:rPr>
        <w:t xml:space="preserve">Vaxenburg, R., Siwanowicz, I., Merel, J., Robie, A. A., Morrow, C., Novati, G., Stefanidi, Z., Card, G. M., Reiser, M. B., Botvinick, M. M., Branson, K., Tassa, Y., &amp; Turaga, S. C. (2024). Whole-body physics simulation of fruit fly locomotion. bioRxiv.</w:t>
      </w:r>
    </w:p>
    <w:p>
      <w:pPr>
        <w:spacing w:after="120" w:line="276"/>
        <w:ind w:left="720" w:hanging="720"/>
      </w:pPr>
      <w:r>
        <w:rPr>
          <w:rFonts w:ascii="Times New Roman" w:cs="Times New Roman" w:eastAsia="Times New Roman" w:hAnsi="Times New Roman"/>
          <w:sz w:val="22"/>
          <w:szCs w:val="22"/>
        </w:rPr>
        <w:t xml:space="preserve">von Reyn, C. R., Breads, P., Peek, M. Y., Zheng, G. Z., Williamson, W. R., Yee, A. L., Leonardo, A., &amp; Card, G. M. (2014). A spike-timing mechanism for action selection. Nature Neuroscience, 17(7), 962–970.</w:t>
      </w:r>
    </w:p>
    <w:p>
      <w:pPr>
        <w:spacing w:after="120" w:line="276"/>
        <w:ind w:left="720" w:hanging="720"/>
      </w:pPr>
      <w:r>
        <w:rPr>
          <w:rFonts w:ascii="Times New Roman" w:cs="Times New Roman" w:eastAsia="Times New Roman" w:hAnsi="Times New Roman"/>
          <w:sz w:val="22"/>
          <w:szCs w:val="22"/>
        </w:rPr>
        <w:t xml:space="preserve">Yorozu, S., Wong, A., Fischer, B. J., Dankert, H., Kernan, M. J., Kamikouchi, A., Ito, K., &amp; Anderson, D. J. (2009). Distinct sensory representations of wind and near-field sound in the Drosophila brain. Nature, 458(7235), 201–205.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t xml:space="preserve">PROJECT: NAF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BBBBB" w:sz="4" w:space="6"/>
      </w:pBdr>
      <w:spacing w:after="160" w:before="360"/>
    </w:pPr>
    <w:rPr>
      <w:rFonts w:ascii="Times New Roman" w:cs="Times New Roman" w:eastAsia="Times New Roman" w:hAnsi="Times New Roman"/>
      <w:b/>
      <w:bCs/>
      <w:color w:val="1A1A1A"/>
      <w:sz w:val="28"/>
      <w:szCs w:val="28"/>
    </w:rPr>
  </w:style>
  <w:style w:type="paragraph" w:styleId="Heading2">
    <w:name w:val="Heading 2"/>
    <w:basedOn w:val="Normal"/>
    <w:next w:val="Normal"/>
    <w:qFormat/>
    <w:pPr>
      <w:spacing w:after="120" w:before="280"/>
    </w:pPr>
    <w:rPr>
      <w:rFonts w:ascii="Times New Roman" w:cs="Times New Roman" w:eastAsia="Times New Roman" w:hAnsi="Times New Roman"/>
      <w:b/>
      <w:bCs/>
      <w:color w:val="222222"/>
      <w:sz w:val="24"/>
      <w:szCs w:val="24"/>
    </w:rPr>
  </w:style>
  <w:style w:type="paragraph" w:styleId="Heading3">
    <w:name w:val="Heading 3"/>
    <w:basedOn w:val="Normal"/>
    <w:next w:val="Normal"/>
    <w:qFormat/>
    <w:pPr>
      <w:spacing w:after="100" w:before="220"/>
    </w:pPr>
    <w:rPr>
      <w:rFonts w:ascii="Times New Roman" w:cs="Times New Roman" w:eastAsia="Times New Roman" w:hAnsi="Times New Roman"/>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2026-09-14T20:53:14.153Z</dcterms:created>
  <dcterms:modified xsi:type="dcterms:W3CDTF">2026-09-14T20:53:14.154Z</dcterms:modified>
</cp:coreProperties>
</file>

<file path=docProps/custom.xml><?xml version="1.0" encoding="utf-8"?>
<Properties xmlns="http://schemas.openxmlformats.org/officeDocument/2006/custom-properties" xmlns:vt="http://schemas.openxmlformats.org/officeDocument/2006/docPropsVTypes"/>
</file>