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line="480"/>
        <w:jc w:val="center"/>
      </w:pPr>
      <w:r>
        <w:rPr>
          <w:rFonts w:ascii="Times New Roman" w:cs="Times New Roman" w:eastAsia="Times New Roman" w:hAnsi="Times New Roman"/>
          <w:b/>
          <w:bCs/>
          <w:sz w:val="24"/>
          <w:szCs w:val="24"/>
        </w:rPr>
        <w:t xml:space="preserve">How Real Is a Simulated Fly? Connectome-Constrained Embodiment, the Missing Afferent Problem, and the Ethics of Building an Animal That Can Be Hurt</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PROJECT: NAF — Neural Assessment of Flies</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Technical Research Paper, Second Edition</w:t>
      </w:r>
    </w:p>
    <w:p>
      <w:pPr>
        <w:spacing w:after="0" w:before="0" w:line="480"/>
        <w:jc w:val="center"/>
      </w:pPr>
      <w:r>
        <w:rPr>
          <w:rFonts w:ascii="Times New Roman" w:cs="Times New Roman" w:eastAsia="Times New Roman" w:hAnsi="Times New Roman"/>
          <w:sz w:val="24"/>
          <w:szCs w:val="24"/>
        </w:rPr>
        <w:t xml:space="preserve">15 September 2026</w:t>
      </w:r>
    </w:p>
    <w:p>
      <w:r>
        <w:br w:type="page"/>
      </w:r>
    </w:p>
    <w:p>
      <w:pPr>
        <w:spacing w:after="0" w:before="0" w:line="480"/>
        <w:jc w:val="center"/>
      </w:pPr>
      <w:r>
        <w:rPr>
          <w:rFonts w:ascii="Times New Roman" w:cs="Times New Roman" w:eastAsia="Times New Roman" w:hAnsi="Times New Roman"/>
          <w:b/>
          <w:bCs/>
          <w:sz w:val="24"/>
          <w:szCs w:val="24"/>
        </w:rPr>
        <w:t xml:space="preserve">Author Note</w:t>
      </w:r>
    </w:p>
    <w:p>
      <w:pPr>
        <w:spacing w:after="0" w:before="0" w:line="480"/>
        <w:ind w:firstLine="720"/>
      </w:pPr>
      <w:r>
        <w:rPr>
          <w:rFonts w:ascii="Times New Roman" w:cs="Times New Roman" w:eastAsia="Times New Roman" w:hAnsi="Times New Roman"/>
          <w:sz w:val="24"/>
          <w:szCs w:val="24"/>
        </w:rPr>
        <w:t xml:space="preserve">Citations follow APA 7th edition. Author names, years, titles, and journals are given as recorded; volume, page, and DOI fields have not been verified against the published record and should be checked before this paper is used in formal work.</w:t>
      </w:r>
    </w:p>
    <w:p>
      <w:pPr>
        <w:spacing w:after="0" w:before="0" w:line="480"/>
        <w:ind w:firstLine="720"/>
      </w:pPr>
      <w:r>
        <w:rPr>
          <w:rFonts w:ascii="Times New Roman" w:cs="Times New Roman" w:eastAsia="Times New Roman" w:hAnsi="Times New Roman"/>
          <w:sz w:val="24"/>
          <w:szCs w:val="24"/>
        </w:rPr>
        <w:t xml:space="preserve">Every numeric result was measured directly from the artefact, and each is reported with the procedure that produced it. All figures are real: the data charts are drawn from measured values, and the brain images are screen captures of the running system rather than illustrations. Results that did not survive their own controls are reported as failures rather than omitted. Where a finding depends on a modelling addition made beyond the connectome, that dependence is stated.</w:t>
      </w:r>
    </w:p>
    <w:p>
      <w:pPr>
        <w:spacing w:after="0" w:before="0" w:line="480"/>
        <w:ind w:firstLine="720"/>
      </w:pPr>
      <w:r>
        <w:rPr>
          <w:rFonts w:ascii="Times New Roman" w:cs="Times New Roman" w:eastAsia="Times New Roman" w:hAnsi="Times New Roman"/>
          <w:sz w:val="24"/>
          <w:szCs w:val="24"/>
        </w:rPr>
        <w:t xml:space="preserve">Section 9 assesses how closely the artefact resembles a living animal, and Section 10 asks whether that resemblance carries any moral weight. Section 10 is an argument, not a finding, and is labelled as such.</w:t>
      </w:r>
    </w:p>
    <w:p>
      <w:r>
        <w:br w:type="page"/>
      </w:r>
    </w:p>
    <w:p>
      <w:pPr>
        <w:spacing w:after="0" w:before="0" w:line="480"/>
        <w:jc w:val="center"/>
      </w:pPr>
      <w:r>
        <w:rPr>
          <w:rFonts w:ascii="Times New Roman" w:cs="Times New Roman" w:eastAsia="Times New Roman" w:hAnsi="Times New Roman"/>
          <w:b/>
          <w:bCs/>
          <w:sz w:val="24"/>
          <w:szCs w:val="24"/>
        </w:rPr>
        <w:t xml:space="preserve">Abstract</w:t>
      </w:r>
    </w:p>
    <w:p>
      <w:pPr>
        <w:spacing w:after="0" w:before="0" w:line="480"/>
      </w:pPr>
      <w:r>
        <w:rPr>
          <w:rFonts w:ascii="Times New Roman" w:cs="Times New Roman" w:eastAsia="Times New Roman" w:hAnsi="Times New Roman"/>
          <w:sz w:val="24"/>
          <w:szCs w:val="24"/>
        </w:rPr>
        <w:t xml:space="preserve">A synapse-resolution wiring diagram is not an animal (Bargmann &amp; Marder, 2013). This paper describes an artefact that couples a 165,122-neuron leaky integrate-and-fire model of the male Drosophila central nervous system to a biomechanical body in a rigid-body physics engine, closing the sensorimotor loop in real time in a browser, with several animals sharing one connectome through shared memory. We report a coverage analysis, a central negative-to-positive result concerning associative learning, a set of methodological findings about measuring such systems, and two analytical sections on fidelity and ethics.</w:t>
      </w:r>
    </w:p>
    <w:p>
      <w:pPr>
        <w:spacing w:after="0" w:before="0" w:line="480"/>
        <w:ind w:firstLine="720"/>
      </w:pPr>
      <w:r>
        <w:rPr>
          <w:rFonts w:ascii="Times New Roman" w:cs="Times New Roman" w:eastAsia="Times New Roman" w:hAnsi="Times New Roman"/>
          <w:sz w:val="24"/>
          <w:szCs w:val="24"/>
        </w:rPr>
        <w:t xml:space="preserve">Coverage: 45.1% of neurons receive externally imposed sensory drive, 0.3% are read as motor output, and 54.6% are interior. Sensory coverage reaches 74.5% of annotated sensory neurons, while 1,245 of 1,314 descending neurons are simulated but never read. Learning: associative plasticity was impossible in this model for a reason belonging to the dataset rather than to the parameters. Aversive stimuli raised the dopaminergic population trace by approximately 11%, against the approximately 68% the plasticity gate was calibrated against. Two parameter-level hypotheses were tested and rejected, one of which actively reproduced the pathology it was intended to cure. Graph analysis then showed that the 25 neurons annotated thermosensory are arista cells reporting preferred temperature rather than nociceptors, reaching the dopaminergic cluster over only 103 two-hop paths; the afferents carrying noxious signals are class IV multidendritic neurons, which are peripheral and therefore outside a central-brain volume. Supplying that afferent explicitly produced a teaching signal that passes an unpunished control, and a learned memory was shown to survive a reload. The same fact — that a central volume contains the terminals of the sensory periphery and not its cell bodies — explains why no olfactory or gustatory neuron in the dataset has a soma coordinate.</w:t>
      </w:r>
    </w:p>
    <w:p>
      <w:pPr>
        <w:spacing w:after="0" w:before="0" w:line="480"/>
        <w:ind w:firstLine="720"/>
      </w:pPr>
      <w:r>
        <w:rPr>
          <w:rFonts w:ascii="Times New Roman" w:cs="Times New Roman" w:eastAsia="Times New Roman" w:hAnsi="Times New Roman"/>
          <w:sz w:val="24"/>
          <w:szCs w:val="24"/>
        </w:rPr>
        <w:t xml:space="preserve">We then assess fidelity across eleven dimensions, concluding that the artefact is structurally faithful, dynamically crude, and biologically incomplete in ways that matter. Finally we examine whether an artefact deliberately given a nociceptive pathway, in order that it might learn from punishment, raises ethical questions. We argue that it almost certainly has no morally relevant experience, that the argument for this rests on specific and stateable grounds rather than on intuition, and that the more urgent ethical issue today concerns representation rather than welfare.</w:t>
      </w:r>
    </w:p>
    <w:p>
      <w:pPr>
        <w:spacing w:after="0" w:before="0" w:line="480"/>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connectomics, Drosophila, embodied simulation, nociception, synaptic plasticity, machine sentience, research ethics</w:t>
      </w:r>
    </w:p>
    <w:p>
      <w:r>
        <w:br w:type="page"/>
      </w:r>
    </w:p>
    <w:p>
      <w:pPr>
        <w:spacing w:after="0" w:before="0" w:line="480"/>
        <w:jc w:val="center"/>
      </w:pPr>
      <w:r>
        <w:rPr>
          <w:rFonts w:ascii="Times New Roman" w:cs="Times New Roman" w:eastAsia="Times New Roman" w:hAnsi="Times New Roman"/>
          <w:b/>
          <w:bCs/>
          <w:sz w:val="24"/>
          <w:szCs w:val="24"/>
        </w:rPr>
        <w:t xml:space="preserve">1. Introduction</w:t>
      </w:r>
    </w:p>
    <w:p>
      <w:pPr>
        <w:spacing w:after="0" w:before="0" w:line="480"/>
        <w:ind w:firstLine="720"/>
      </w:pPr>
      <w:r>
        <w:rPr>
          <w:rFonts w:ascii="Times New Roman" w:cs="Times New Roman" w:eastAsia="Times New Roman" w:hAnsi="Times New Roman"/>
          <w:sz w:val="24"/>
          <w:szCs w:val="24"/>
        </w:rPr>
        <w:t xml:space="preserve">Electron-microscopy reconstruction has yielded near-complete synaptic connectivity for the Drosophila hemibrain (Scheffer et al., 2020), the full adult brain (Dorkenwald et al., 2024; Schlegel et al., 2024), and the ventral nerve cord. These datasets specify, for each ordered pair of neurons, a synapse count. They do not specify synaptic sign with certainty, synaptic strength in physiological units, intrinsic excitability, or neuromodulatory state, and they say nothing about the body the circuit evolved to control.</w:t>
      </w:r>
    </w:p>
    <w:p>
      <w:pPr>
        <w:spacing w:after="0" w:before="0" w:line="480"/>
        <w:ind w:firstLine="720"/>
      </w:pPr>
      <w:r>
        <w:rPr>
          <w:rFonts w:ascii="Times New Roman" w:cs="Times New Roman" w:eastAsia="Times New Roman" w:hAnsi="Times New Roman"/>
          <w:sz w:val="24"/>
          <w:szCs w:val="24"/>
        </w:rPr>
        <w:t xml:space="preserve">Bargmann and Marder (2013) argued that connectivity alone underdetermines function, and Marder and Goaillard (2006) demonstrated that biological circuits reach similar output from widely varying parameters. Any connectome-derived simulation therefore makes assumptions beyond the connectome, and its value depends on how explicitly those assumptions are stated. This paper takes that seriously in one specific way: its central result documents a case where the missing information was not a parameter but an entire afferent population.</w:t>
      </w:r>
    </w:p>
    <w:p>
      <w:pPr>
        <w:spacing w:before="240" w:line="480"/>
      </w:pPr>
      <w:r>
        <w:rPr>
          <w:rFonts w:ascii="Times New Roman" w:cs="Times New Roman" w:eastAsia="Times New Roman" w:hAnsi="Times New Roman"/>
          <w:b/>
          <w:bCs/>
          <w:sz w:val="24"/>
          <w:szCs w:val="24"/>
        </w:rPr>
        <w:t xml:space="preserve">Figure 1</w:t>
      </w:r>
    </w:p>
    <w:p>
      <w:pPr>
        <w:spacing w:line="480"/>
      </w:pPr>
      <w:r>
        <w:rPr>
          <w:rFonts w:ascii="Times New Roman" w:cs="Times New Roman" w:eastAsia="Times New Roman" w:hAnsi="Times New Roman"/>
          <w:i/>
          <w:iCs/>
          <w:sz w:val="24"/>
          <w:szCs w:val="24"/>
        </w:rPr>
        <w:t xml:space="preserve">The Artefact in Operation</w:t>
      </w:r>
    </w:p>
    <w:p>
      <w:pPr>
        <w:spacing w:line="240"/>
        <w:jc w:val="left"/>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562225"/>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Three animals in one shared arena. Each has a private physics world and private dynamic neural state; all read the same connectome from shared memory. Obstacles are compiled into every fly’s physics model at creation, which is why changing location requires rebuilding each animal rather than repainting the scene.</w:t>
      </w:r>
    </w:p>
    <w:p>
      <w:pPr>
        <w:spacing w:after="0" w:before="0" w:line="480"/>
        <w:jc w:val="center"/>
      </w:pPr>
      <w:r>
        <w:rPr>
          <w:rFonts w:ascii="Times New Roman" w:cs="Times New Roman" w:eastAsia="Times New Roman" w:hAnsi="Times New Roman"/>
          <w:b/>
          <w:bCs/>
          <w:sz w:val="24"/>
          <w:szCs w:val="24"/>
        </w:rPr>
        <w:t xml:space="preserve">2. Materials and Architecture</w:t>
      </w:r>
    </w:p>
    <w:p>
      <w:pPr>
        <w:spacing w:after="0" w:before="0" w:line="480"/>
      </w:pPr>
      <w:r>
        <w:rPr>
          <w:rFonts w:ascii="Times New Roman" w:cs="Times New Roman" w:eastAsia="Times New Roman" w:hAnsi="Times New Roman"/>
          <w:b/>
          <w:bCs/>
          <w:sz w:val="24"/>
          <w:szCs w:val="24"/>
        </w:rPr>
        <w:t xml:space="preserve">2.1 Connectome, Body, Optic Lobe</w:t>
      </w:r>
    </w:p>
    <w:p>
      <w:pPr>
        <w:spacing w:after="0" w:before="0" w:line="480"/>
        <w:ind w:firstLine="720"/>
      </w:pPr>
      <w:r>
        <w:rPr>
          <w:rFonts w:ascii="Times New Roman" w:cs="Times New Roman" w:eastAsia="Times New Roman" w:hAnsi="Times New Roman"/>
          <w:sz w:val="24"/>
          <w:szCs w:val="24"/>
        </w:rPr>
        <w:t xml:space="preserve">The male Drosophila central nervous system connectome, version 1.0, comprising brain and ventral nerve cord in one graph: 165,122 neurons and 10,511,038 weighted directed edges, with per-neuron annotations for cell type, class, superclass, hemisphere, predicted neurotransmitter, and soma position. Nomenclature follows Ito et al. (2014); cell typing follows Schlegel et al. (2024). Body dynamics use flybody (Vaxenburg et al., 2024) in MuJoCo (Todorov et al., 2012) compiled to WebAssembly. Vision uses flyvis, a connectome-constrained optic-lobe model (Lappalainen et al., 2024): 45,669 nodes, 1,513,231 edges, 721 hexagonal columns per eye.</w:t>
      </w:r>
    </w:p>
    <w:p>
      <w:pPr>
        <w:spacing w:after="0" w:before="0" w:line="480"/>
      </w:pPr>
      <w:r>
        <w:rPr>
          <w:rFonts w:ascii="Times New Roman" w:cs="Times New Roman" w:eastAsia="Times New Roman" w:hAnsi="Times New Roman"/>
          <w:b/>
          <w:bCs/>
          <w:sz w:val="24"/>
          <w:szCs w:val="24"/>
        </w:rPr>
        <w:t xml:space="preserve">2.2 Four Clocks and One Shared Graph</w:t>
      </w:r>
    </w:p>
    <w:p>
      <w:pPr>
        <w:spacing w:before="240" w:line="480"/>
      </w:pPr>
      <w:r>
        <w:rPr>
          <w:rFonts w:ascii="Times New Roman" w:cs="Times New Roman" w:eastAsia="Times New Roman" w:hAnsi="Times New Roman"/>
          <w:b/>
          <w:bCs/>
          <w:sz w:val="24"/>
          <w:szCs w:val="24"/>
        </w:rPr>
        <w:t xml:space="preserve">Figure 2</w:t>
      </w:r>
    </w:p>
    <w:p>
      <w:pPr>
        <w:spacing w:line="480"/>
      </w:pPr>
      <w:r>
        <w:rPr>
          <w:rFonts w:ascii="Times New Roman" w:cs="Times New Roman" w:eastAsia="Times New Roman" w:hAnsi="Times New Roman"/>
          <w:i/>
          <w:iCs/>
          <w:sz w:val="24"/>
          <w:szCs w:val="24"/>
        </w:rPr>
        <w:t xml:space="preserve">System Architecture and the Four Integration Rates</w:t>
      </w:r>
    </w:p>
    <w:p>
      <w:pPr>
        <w:spacing w:line="240"/>
        <w:jc w:val="left"/>
      </w:pPr>
      <w:r>
        <w:drawing>
          <wp:inline distT="0" distB="0" distL="0" distR="0">
            <wp:extent cx="4191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09550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The outer integration unit is one millisecond of simulated time. Physics runs five 0.2 ms substeps, the brain two 0.5 ms steps, transduction and motor readout once, and the optic lobe once in twenty. Motor output changes the physical state that generates the next sensory input, which is what makes the loop closed rather than merely coupled.</w:t>
      </w:r>
    </w:p>
    <w:p>
      <w:pPr>
        <w:spacing w:after="0" w:before="0" w:line="480"/>
        <w:ind w:firstLine="720"/>
      </w:pPr>
      <w:r>
        <w:rPr>
          <w:rFonts w:ascii="Times New Roman" w:cs="Times New Roman" w:eastAsia="Times New Roman" w:hAnsi="Times New Roman"/>
          <w:sz w:val="24"/>
          <w:szCs w:val="24"/>
        </w:rPr>
        <w:t xml:space="preserve">The connectome is written once into a SharedArrayBuffer and read by every animal; each receives a private block for dynamic state and its own physics world. Adding an animal therefore costs state, not another copy of the graph — the decision that makes multi-animal simulation tractable in a browser. Animals interact through kinematic proxies updated at 30 Hz, so physics cost scales linearly rather than quadratically, at the price that no solver is authoritative over an inter-animal collision.</w:t>
      </w:r>
    </w:p>
    <w:p>
      <w:pPr>
        <w:spacing w:after="0" w:before="0" w:line="480"/>
      </w:pPr>
      <w:r>
        <w:rPr>
          <w:rFonts w:ascii="Times New Roman" w:cs="Times New Roman" w:eastAsia="Times New Roman" w:hAnsi="Times New Roman"/>
          <w:b/>
          <w:bCs/>
          <w:sz w:val="24"/>
          <w:szCs w:val="24"/>
        </w:rPr>
        <w:t xml:space="preserve">2.3 The Neuron Model</w:t>
      </w:r>
    </w:p>
    <w:p>
      <w:pPr>
        <w:spacing w:after="0" w:before="0" w:line="480"/>
        <w:ind w:firstLine="720"/>
      </w:pPr>
      <w:r>
        <w:rPr>
          <w:rFonts w:ascii="Times New Roman" w:cs="Times New Roman" w:eastAsia="Times New Roman" w:hAnsi="Times New Roman"/>
          <w:sz w:val="24"/>
          <w:szCs w:val="24"/>
        </w:rPr>
        <w:t xml:space="preserve">Each neuron is a leaky integrate-and-fire unit following the whole-brain formulation of Shiu et al. (2024). Parameters: dt = 0.5 ms; V_rest = −52 mV; V_thresh = −45 mV; membrane time constant 20 ms; synaptic time constant 5 ms; refractory period 2.2 ms; synaptic delay 1.8 ms. Three mechanisms are added because the pure formulation produces implausibly sustained firing: spike-frequency adaptation, short-term synaptic depression, and input scaling by neuron size. Transmitter sign follows the predicted neurotransmitter; neurons with unknown transmitter receive sign zero, leaving approximately 1.5% of the graph functionally silent rather than guessed at.</w:t>
      </w:r>
    </w:p>
    <w:p>
      <w:pPr>
        <w:spacing w:after="0" w:before="0" w:line="480"/>
        <w:jc w:val="center"/>
      </w:pPr>
      <w:r>
        <w:rPr>
          <w:rFonts w:ascii="Times New Roman" w:cs="Times New Roman" w:eastAsia="Times New Roman" w:hAnsi="Times New Roman"/>
          <w:b/>
          <w:bCs/>
          <w:sz w:val="24"/>
          <w:szCs w:val="24"/>
        </w:rPr>
        <w:t xml:space="preserve">3. Neural Mapping: Where Signals Actually Arrive</w:t>
      </w:r>
    </w:p>
    <w:p>
      <w:pPr>
        <w:spacing w:after="0" w:before="0" w:line="480"/>
        <w:ind w:firstLine="720"/>
      </w:pPr>
      <w:r>
        <w:rPr>
          <w:rFonts w:ascii="Times New Roman" w:cs="Times New Roman" w:eastAsia="Times New Roman" w:hAnsi="Times New Roman"/>
          <w:sz w:val="24"/>
          <w:szCs w:val="24"/>
        </w:rPr>
        <w:t xml:space="preserve">Every sensory and motor channel terminates on identified connectome neurons specified by a body map, rather than on abstractions. The consequence is that the artefact can be interrogated anatomically: asking where a modality lives produces a spatial answer that can be checked against known neuroanatomy.</w:t>
      </w:r>
    </w:p>
    <w:p>
      <w:pPr>
        <w:spacing w:before="240" w:line="480"/>
      </w:pPr>
      <w:r>
        <w:rPr>
          <w:rFonts w:ascii="Times New Roman" w:cs="Times New Roman" w:eastAsia="Times New Roman" w:hAnsi="Times New Roman"/>
          <w:b/>
          <w:bCs/>
          <w:sz w:val="24"/>
          <w:szCs w:val="24"/>
        </w:rPr>
        <w:t xml:space="preserve">Figure 3</w:t>
      </w:r>
    </w:p>
    <w:p>
      <w:pPr>
        <w:spacing w:line="480"/>
      </w:pPr>
      <w:r>
        <w:rPr>
          <w:rFonts w:ascii="Times New Roman" w:cs="Times New Roman" w:eastAsia="Times New Roman" w:hAnsi="Times New Roman"/>
          <w:i/>
          <w:iCs/>
          <w:sz w:val="24"/>
          <w:szCs w:val="24"/>
        </w:rPr>
        <w:t xml:space="preserve">Soma Point Cloud of the Complete Central Nervous System</w:t>
      </w:r>
    </w:p>
    <w:p>
      <w:pPr>
        <w:spacing w:line="240"/>
        <w:jc w:val="left"/>
      </w:pPr>
      <w:r>
        <w:drawing>
          <wp:inline distT="0" distB="0" distL="0" distR="0">
            <wp:extent cx="3619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22885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Every neuron with a soma coordinate, drawn at its cell-body position. The upper mass is the central brain and the lower elongated structure is the ventral nerve cord. 140,024 of 165,122 neurons (84.8%) appear here; Section 8.2 explains the absent 15.2%.</w:t>
      </w:r>
    </w:p>
    <w:p>
      <w:pPr>
        <w:spacing w:before="240" w:line="480"/>
      </w:pPr>
      <w:r>
        <w:rPr>
          <w:rFonts w:ascii="Times New Roman" w:cs="Times New Roman" w:eastAsia="Times New Roman" w:hAnsi="Times New Roman"/>
          <w:b/>
          <w:bCs/>
          <w:sz w:val="24"/>
          <w:szCs w:val="24"/>
        </w:rPr>
        <w:t xml:space="preserve">Figure 4</w:t>
      </w:r>
    </w:p>
    <w:p>
      <w:pPr>
        <w:spacing w:line="480"/>
      </w:pPr>
      <w:r>
        <w:rPr>
          <w:rFonts w:ascii="Times New Roman" w:cs="Times New Roman" w:eastAsia="Times New Roman" w:hAnsi="Times New Roman"/>
          <w:i/>
          <w:iCs/>
          <w:sz w:val="24"/>
          <w:szCs w:val="24"/>
        </w:rPr>
        <w:t xml:space="preserve">Olfactory Input Mapped to the Antennal Lobe</w:t>
      </w:r>
    </w:p>
    <w:p>
      <w:pPr>
        <w:spacing w:line="240"/>
        <w:jc w:val="left"/>
      </w:pPr>
      <w:r>
        <w:drawing>
          <wp:inline distT="0" distB="0" distL="0" distR="0">
            <wp:extent cx="3619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22885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The 3,044 neurons of the olfactory group, highlighted. None of them has a soma coordinate — they are peripheral cells whose bodies lie in the antenna and maxillary palp — so each is drawn at the mean position of the partners it synapses onto. The resulting bilateral pair of clusters is the antennal lobe, which is anatomically where olfactory afferents terminate. The image therefore shows where smell arrives in the brain, not where the cells sit.</w:t>
      </w:r>
    </w:p>
    <w:p>
      <w:pPr>
        <w:spacing w:before="240" w:line="480"/>
      </w:pPr>
      <w:r>
        <w:rPr>
          <w:rFonts w:ascii="Times New Roman" w:cs="Times New Roman" w:eastAsia="Times New Roman" w:hAnsi="Times New Roman"/>
          <w:b/>
          <w:bCs/>
          <w:sz w:val="24"/>
          <w:szCs w:val="24"/>
        </w:rPr>
        <w:t xml:space="preserve">Figure 5</w:t>
      </w:r>
    </w:p>
    <w:p>
      <w:pPr>
        <w:spacing w:line="480"/>
      </w:pPr>
      <w:r>
        <w:rPr>
          <w:rFonts w:ascii="Times New Roman" w:cs="Times New Roman" w:eastAsia="Times New Roman" w:hAnsi="Times New Roman"/>
          <w:i/>
          <w:iCs/>
          <w:sz w:val="24"/>
          <w:szCs w:val="24"/>
        </w:rPr>
        <w:t xml:space="preserve">Looming Detectors</w:t>
      </w:r>
    </w:p>
    <w:p>
      <w:pPr>
        <w:spacing w:line="240"/>
        <w:jc w:val="left"/>
      </w:pPr>
      <w:r>
        <w:drawing>
          <wp:inline distT="0" distB="0" distL="0" distR="0">
            <wp:extent cx="3619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22885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The 311 lobula columnar neurons that respond to expanding dark objects, forming the visual input to the escape reflex (von Reyn et al., 2014). Their distribution is lateral and bilateral, consistent with lobula anatomy, and clearly distinct from the antennal-lobe cluster in Figure 4.</w:t>
      </w:r>
    </w:p>
    <w:p>
      <w:pPr>
        <w:spacing w:before="240" w:line="480"/>
      </w:pPr>
      <w:r>
        <w:rPr>
          <w:rFonts w:ascii="Times New Roman" w:cs="Times New Roman" w:eastAsia="Times New Roman" w:hAnsi="Times New Roman"/>
          <w:b/>
          <w:bCs/>
          <w:sz w:val="24"/>
          <w:szCs w:val="24"/>
        </w:rPr>
        <w:t xml:space="preserve">Figure 6</w:t>
      </w:r>
    </w:p>
    <w:p>
      <w:pPr>
        <w:spacing w:line="480"/>
      </w:pPr>
      <w:r>
        <w:rPr>
          <w:rFonts w:ascii="Times New Roman" w:cs="Times New Roman" w:eastAsia="Times New Roman" w:hAnsi="Times New Roman"/>
          <w:i/>
          <w:iCs/>
          <w:sz w:val="24"/>
          <w:szCs w:val="24"/>
        </w:rPr>
        <w:t xml:space="preserve">Grooming Command Neurons</w:t>
      </w:r>
    </w:p>
    <w:p>
      <w:pPr>
        <w:spacing w:line="240"/>
        <w:jc w:val="left"/>
      </w:pPr>
      <w:r>
        <w:drawing>
          <wp:inline distT="0" distB="0" distL="0" distR="0">
            <wp:extent cx="3619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22885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Thirty-nine descending neurons associated with grooming (Cande et al., 2018; Seeds et al., 2014). A command population of this size is three orders of magnitude smaller than a sensory population, which is itself a substantive fact about how the nervous system is organised.</w:t>
      </w:r>
    </w:p>
    <w:p>
      <w:pPr>
        <w:spacing w:after="0" w:before="0" w:line="480"/>
      </w:pPr>
      <w:r>
        <w:rPr>
          <w:rFonts w:ascii="Times New Roman" w:cs="Times New Roman" w:eastAsia="Times New Roman" w:hAnsi="Times New Roman"/>
          <w:b/>
          <w:bCs/>
          <w:sz w:val="24"/>
          <w:szCs w:val="24"/>
        </w:rPr>
        <w:t xml:space="preserve">3.1 What Each Animal Sees</w:t>
      </w:r>
    </w:p>
    <w:p>
      <w:pPr>
        <w:spacing w:before="240" w:line="480"/>
      </w:pPr>
      <w:r>
        <w:rPr>
          <w:rFonts w:ascii="Times New Roman" w:cs="Times New Roman" w:eastAsia="Times New Roman" w:hAnsi="Times New Roman"/>
          <w:b/>
          <w:bCs/>
          <w:sz w:val="24"/>
          <w:szCs w:val="24"/>
        </w:rPr>
        <w:t xml:space="preserve">Figure 7</w:t>
      </w:r>
    </w:p>
    <w:p>
      <w:pPr>
        <w:spacing w:line="480"/>
      </w:pPr>
      <w:r>
        <w:rPr>
          <w:rFonts w:ascii="Times New Roman" w:cs="Times New Roman" w:eastAsia="Times New Roman" w:hAnsi="Times New Roman"/>
          <w:i/>
          <w:iCs/>
          <w:sz w:val="24"/>
          <w:szCs w:val="24"/>
        </w:rPr>
        <w:t xml:space="preserve">Per-Fly Visual Input</w:t>
      </w:r>
    </w:p>
    <w:p>
      <w:pPr>
        <w:spacing w:line="240"/>
        <w:jc w:val="left"/>
      </w:pPr>
      <w:r>
        <w:drawing>
          <wp:inline distT="0" distB="0" distL="0" distR="0">
            <wp:extent cx="2857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038475"/>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Luminance in the 721 hexagonal columns of each eye, for every animal in the arena, exactly as handed to the optic-lobe model. Each fly casts 1,442 rays per sample against the physical scene, so these are genuinely distinct viewpoints rather than copies.</w:t>
      </w:r>
    </w:p>
    <w:p>
      <w:pPr>
        <w:spacing w:before="240" w:line="480"/>
      </w:pPr>
      <w:r>
        <w:rPr>
          <w:rFonts w:ascii="Times New Roman" w:cs="Times New Roman" w:eastAsia="Times New Roman" w:hAnsi="Times New Roman"/>
          <w:b/>
          <w:bCs/>
          <w:sz w:val="24"/>
          <w:szCs w:val="24"/>
        </w:rPr>
        <w:t xml:space="preserve">Figure 8</w:t>
      </w:r>
    </w:p>
    <w:p>
      <w:pPr>
        <w:spacing w:line="480"/>
      </w:pPr>
      <w:r>
        <w:rPr>
          <w:rFonts w:ascii="Times New Roman" w:cs="Times New Roman" w:eastAsia="Times New Roman" w:hAnsi="Times New Roman"/>
          <w:i/>
          <w:iCs/>
          <w:sz w:val="24"/>
          <w:szCs w:val="24"/>
        </w:rPr>
        <w:t xml:space="preserve">Concurrent Neural Activity Across Animals</w:t>
      </w:r>
    </w:p>
    <w:p>
      <w:pPr>
        <w:spacing w:line="240"/>
        <w:jc w:val="left"/>
      </w:pPr>
      <w:r>
        <w:drawing>
          <wp:inline distT="0" distB="0" distL="0" distR="0">
            <wp:extent cx="2857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15265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One panel per fly, each showing that animal’s own 165,122-neuron connectome; brighter green indicates recent spiking. The connectome is shared read-only while dynamic state is private, so these panels differ despite being the same graph.</w:t>
      </w:r>
    </w:p>
    <w:p>
      <w:pPr>
        <w:spacing w:after="0" w:before="0" w:line="480"/>
        <w:jc w:val="center"/>
      </w:pPr>
      <w:r>
        <w:rPr>
          <w:rFonts w:ascii="Times New Roman" w:cs="Times New Roman" w:eastAsia="Times New Roman" w:hAnsi="Times New Roman"/>
          <w:b/>
          <w:bCs/>
          <w:sz w:val="24"/>
          <w:szCs w:val="24"/>
        </w:rPr>
        <w:t xml:space="preserve">4. The Teaching Signal: A Dataset Problem Misdiagnosed as a Parameter Problem</w:t>
      </w:r>
    </w:p>
    <w:p>
      <w:pPr>
        <w:spacing w:after="0" w:before="0" w:line="480"/>
        <w:ind w:firstLine="720"/>
      </w:pPr>
      <w:r>
        <w:rPr>
          <w:rFonts w:ascii="Times New Roman" w:cs="Times New Roman" w:eastAsia="Times New Roman" w:hAnsi="Times New Roman"/>
          <w:sz w:val="24"/>
          <w:szCs w:val="24"/>
        </w:rPr>
        <w:t xml:space="preserve">This section is the paper’s central empirical contribution, and it began as a failure. Associative memory in Drosophila is stored at the Kenyon cell to mushroom body output neuron synapse (Aso et al., 2014; Hige et al., 2015; Modi et al., 2020). In this connectome that class comprises 44,042 of 10,511,038 edges, of which 29,169 survive the minimum-synapse threshold, spanning 3,981 Kenyon cells and 97 output neurons. A per-animal plastic overlay on that slice costs 114 kB, against approximately 40 MB to duplicate the graph.</w:t>
      </w:r>
    </w:p>
    <w:p>
      <w:pPr>
        <w:spacing w:after="0" w:before="0" w:line="480"/>
        <w:ind w:firstLine="720"/>
      </w:pPr>
      <w:r>
        <w:rPr>
          <w:rFonts w:ascii="Times New Roman" w:cs="Times New Roman" w:eastAsia="Times New Roman" w:hAnsi="Times New Roman"/>
          <w:sz w:val="24"/>
          <w:szCs w:val="24"/>
        </w:rPr>
        <w:t xml:space="preserve">The learning rule is eligibility trace multiplied by dopamine, with depression rather than potentiation as the established direction (Cohn et al., 2015; Hige et al., 2015). Because dopaminergic neurons are tonically active, the rule gates on a phasic rise above a slow baseline rather than on absolute level.</w:t>
      </w:r>
    </w:p>
    <w:p>
      <w:pPr>
        <w:spacing w:after="0" w:before="0" w:line="480"/>
      </w:pPr>
      <w:r>
        <w:rPr>
          <w:rFonts w:ascii="Times New Roman" w:cs="Times New Roman" w:eastAsia="Times New Roman" w:hAnsi="Times New Roman"/>
          <w:b/>
          <w:bCs/>
          <w:sz w:val="24"/>
          <w:szCs w:val="24"/>
        </w:rPr>
        <w:t xml:space="preserve">4.1 Two Hypotheses, Both Wrong</w:t>
      </w:r>
    </w:p>
    <w:p>
      <w:pPr>
        <w:spacing w:after="0" w:before="0" w:line="480"/>
        <w:ind w:firstLine="720"/>
      </w:pPr>
      <w:r>
        <w:rPr>
          <w:rFonts w:ascii="Times New Roman" w:cs="Times New Roman" w:eastAsia="Times New Roman" w:hAnsi="Times New Roman"/>
          <w:sz w:val="24"/>
          <w:szCs w:val="24"/>
        </w:rPr>
        <w:t xml:space="preserve">Under punishment, no synapse changed. The obvious hypothesis was that the gate threshold was too high. Lowering it to 0.05 and running an unpunished control at the same setting produced 1,094 depressed synapses with nothing happening at all: unpunished activity reaches 0.108 while punished activity peaks at 0.111, so the distributions overlap almost entirely. Lowering the gate did not produce learning; it reproduced the indiscriminate depression the threshold exists to prevent.</w:t>
      </w:r>
    </w:p>
    <w:p>
      <w:pPr>
        <w:spacing w:after="0" w:before="0" w:line="480"/>
        <w:ind w:firstLine="720"/>
      </w:pPr>
      <w:r>
        <w:rPr>
          <w:rFonts w:ascii="Times New Roman" w:cs="Times New Roman" w:eastAsia="Times New Roman" w:hAnsi="Times New Roman"/>
          <w:sz w:val="24"/>
          <w:szCs w:val="24"/>
        </w:rPr>
        <w:t xml:space="preserve">The second hypothesis was that the detector, which summed all 340 dopaminergic neurons, could not distinguish reward from punishment — PPL1 signals punishment and PAM signals reward (Aso et al., 2014), and with 24 PPL against 316 PAM a genuine burst is diluted sevenfold. Correcting the detector to the PPL subset is right on its own terms but did not unblock learning: aversive stimuli still moved the trace by only 11 to 12%.</w:t>
      </w:r>
    </w:p>
    <w:p>
      <w:pPr>
        <w:spacing w:after="0" w:before="0" w:line="480"/>
      </w:pPr>
      <w:r>
        <w:rPr>
          <w:rFonts w:ascii="Times New Roman" w:cs="Times New Roman" w:eastAsia="Times New Roman" w:hAnsi="Times New Roman"/>
          <w:b/>
          <w:bCs/>
          <w:sz w:val="24"/>
          <w:szCs w:val="24"/>
        </w:rPr>
        <w:t xml:space="preserve">4.2 The Actual Cause</w:t>
      </w:r>
    </w:p>
    <w:p>
      <w:pPr>
        <w:spacing w:after="0" w:before="0" w:line="480"/>
        <w:ind w:firstLine="720"/>
      </w:pPr>
      <w:r>
        <w:rPr>
          <w:rFonts w:ascii="Times New Roman" w:cs="Times New Roman" w:eastAsia="Times New Roman" w:hAnsi="Times New Roman"/>
          <w:sz w:val="24"/>
          <w:szCs w:val="24"/>
        </w:rPr>
        <w:t xml:space="preserve">Graph analysis, requiring no simulation, established the connectivity directly.</w:t>
      </w:r>
    </w:p>
    <w:p>
      <w:pPr>
        <w:spacing w:line="300"/>
        <w:ind w:left="720"/>
      </w:pPr>
      <w:r>
        <w:rPr>
          <w:rFonts w:ascii="Consolas" w:cs="Consolas" w:eastAsia="Consolas" w:hAnsi="Consolas"/>
          <w:sz w:val="19"/>
          <w:szCs w:val="19"/>
        </w:rPr>
        <w:t xml:space="preserve">thermosensory (25) → PPL (24)   0 direct edges, 103 two-hop paths via 46 intermediates</w:t>
      </w:r>
    </w:p>
    <w:p>
      <w:pPr>
        <w:spacing w:line="300"/>
        <w:ind w:left="720"/>
      </w:pPr>
      <w:r>
        <w:rPr>
          <w:rFonts w:ascii="Consolas" w:cs="Consolas" w:eastAsia="Consolas" w:hAnsi="Consolas"/>
          <w:sz w:val="19"/>
          <w:szCs w:val="19"/>
        </w:rPr>
        <w:t xml:space="preserve">gustatory   (1428) → PPL (24)   0 direct edges,  89 two-hop paths via 49 intermediates</w:t>
      </w:r>
    </w:p>
    <w:p>
      <w:pPr>
        <w:spacing w:after="0" w:before="0" w:line="480"/>
        <w:ind w:firstLine="720"/>
      </w:pPr>
      <w:r>
        <w:rPr>
          <w:rFonts w:ascii="Times New Roman" w:cs="Times New Roman" w:eastAsia="Times New Roman" w:hAnsi="Times New Roman"/>
          <w:sz w:val="24"/>
          <w:szCs w:val="24"/>
        </w:rPr>
        <w:t xml:space="preserve">The 25 neurons annotated thermosensory are arista cells, which report preferred temperature (Gallio et al., 2011). They are not nociceptors. Noxious heat and mechanical nociception in Drosophila are carried by class IV multidendritic neurons (Tracey et al., 2003), which are peripheral and therefore almost entirely outside a central-brain volume.</w:t>
      </w:r>
    </w:p>
    <w:p>
      <w:pPr>
        <w:spacing w:after="0" w:before="0" w:line="480"/>
        <w:ind w:left="720"/>
      </w:pPr>
      <w:r>
        <w:rPr>
          <w:rFonts w:ascii="Times New Roman" w:cs="Times New Roman" w:eastAsia="Times New Roman" w:hAnsi="Times New Roman"/>
          <w:sz w:val="24"/>
          <w:szCs w:val="24"/>
        </w:rPr>
        <w:t xml:space="preserve">The afferents that carry noxious signals are not missing weight. They are missing from the dataset.</w:t>
      </w:r>
    </w:p>
    <w:p>
      <w:pPr>
        <w:spacing w:after="0" w:before="0" w:line="480"/>
      </w:pPr>
      <w:r>
        <w:rPr>
          <w:rFonts w:ascii="Times New Roman" w:cs="Times New Roman" w:eastAsia="Times New Roman" w:hAnsi="Times New Roman"/>
          <w:b/>
          <w:bCs/>
          <w:sz w:val="24"/>
          <w:szCs w:val="24"/>
        </w:rPr>
        <w:t xml:space="preserve">4.3 Supplying the Missing Afferent, and Validating It</w:t>
      </w:r>
    </w:p>
    <w:p>
      <w:pPr>
        <w:spacing w:after="0" w:before="0" w:line="480"/>
        <w:ind w:firstLine="720"/>
      </w:pPr>
      <w:r>
        <w:rPr>
          <w:rFonts w:ascii="Times New Roman" w:cs="Times New Roman" w:eastAsia="Times New Roman" w:hAnsi="Times New Roman"/>
          <w:sz w:val="24"/>
          <w:szCs w:val="24"/>
        </w:rPr>
        <w:t xml:space="preserve">Noxious intensity now drives the PPL1 cluster directly, in the same category of intervention as the giant-fibre to TTMn electrical synapse the model already adds explicitly because a chemical connectome cannot contain it. It is disabled by default, its constants are documented as chosen rather than fitted, and any result depending on it states that dependence.</w:t>
      </w:r>
    </w:p>
    <w:p>
      <w:pPr>
        <w:spacing w:before="240" w:line="480"/>
      </w:pPr>
      <w:r>
        <w:rPr>
          <w:rFonts w:ascii="Times New Roman" w:cs="Times New Roman" w:eastAsia="Times New Roman" w:hAnsi="Times New Roman"/>
          <w:b/>
          <w:bCs/>
          <w:sz w:val="24"/>
          <w:szCs w:val="24"/>
        </w:rPr>
        <w:t xml:space="preserve">Figure 9</w:t>
      </w:r>
    </w:p>
    <w:p>
      <w:pPr>
        <w:spacing w:line="480"/>
      </w:pPr>
      <w:r>
        <w:rPr>
          <w:rFonts w:ascii="Times New Roman" w:cs="Times New Roman" w:eastAsia="Times New Roman" w:hAnsi="Times New Roman"/>
          <w:i/>
          <w:iCs/>
          <w:sz w:val="24"/>
          <w:szCs w:val="24"/>
        </w:rPr>
        <w:t xml:space="preserve">Phasic Dopamine Before and After Supplying the Nociceptive Afferent</w:t>
      </w:r>
    </w:p>
    <w:p>
      <w:pPr>
        <w:spacing w:line="240"/>
        <w:jc w:val="left"/>
      </w:pPr>
      <w:r>
        <w:drawing>
          <wp:inline distT="0" distB="0" distL="0" distR="0">
            <wp:extent cx="38100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704975"/>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Before the afferent, punishment produced 0.111 against a resting distribution reaching 0.108 — indistinguishable, and below the gate. After, rest sits below zero and punishment reaches 0.149, clearing the threshold. The measured consequence is zero synapses depressed at rest against 4,176 under punishment, with the animal unharmed throughout.</w:t>
      </w:r>
    </w:p>
    <w:p>
      <w:pPr>
        <w:spacing w:before="240" w:line="480"/>
      </w:pPr>
      <w:r>
        <w:rPr>
          <w:rFonts w:ascii="Times New Roman" w:cs="Times New Roman" w:eastAsia="Times New Roman" w:hAnsi="Times New Roman"/>
          <w:b/>
          <w:bCs/>
          <w:sz w:val="24"/>
          <w:szCs w:val="24"/>
        </w:rPr>
        <w:t xml:space="preserve">Table 1</w:t>
      </w:r>
    </w:p>
    <w:p>
      <w:pPr>
        <w:spacing w:line="480"/>
      </w:pPr>
      <w:r>
        <w:rPr>
          <w:rFonts w:ascii="Times New Roman" w:cs="Times New Roman" w:eastAsia="Times New Roman" w:hAnsi="Times New Roman"/>
          <w:i/>
          <w:iCs/>
          <w:sz w:val="24"/>
          <w:szCs w:val="24"/>
        </w:rPr>
        <w:t xml:space="preserve">Validation of the Nociceptive Afferent Against an Unpunished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200"/>
        <w:gridCol w:w="1760"/>
      </w:tblGrid>
      <w:tr>
        <w:trPr>
          <w:tblHeader/>
        </w:trPr>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Phase</w:t>
            </w:r>
          </w:p>
        </w:tc>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Synapses depressed</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Phasic dopamine</w:t>
            </w:r>
          </w:p>
        </w:tc>
        <w:tc>
          <w:tcPr>
            <w:tcW w:type="dxa" w:w="1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Gate</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Quiet rest</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−0.020</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Quiet rest</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−0.028</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Quiet rest</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−0.021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Punished</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3,704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0.142</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0.311</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Punished</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4,068</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0.109</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0.239</w:t>
            </w:r>
          </w:p>
        </w:tc>
      </w:tr>
      <w:tr>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Punished</w:t>
            </w:r>
          </w:p>
        </w:tc>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4,176</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0.106</w:t>
            </w:r>
          </w:p>
        </w:tc>
        <w:tc>
          <w:tcPr>
            <w:tcW w:type="dxa" w:w="1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0.232</w:t>
            </w:r>
          </w:p>
        </w:tc>
      </w:tr>
    </w:tbl>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Health remained at 1.00 throughout. Weights were zeroed after settling rather than before; an earlier version reset before settling and recorded 544 resting depressions that had accrued during the startup transient.</w:t>
      </w:r>
    </w:p>
    <w:p>
      <w:pPr>
        <w:spacing w:after="0" w:before="0" w:line="480"/>
      </w:pPr>
      <w:r>
        <w:rPr>
          <w:rFonts w:ascii="Times New Roman" w:cs="Times New Roman" w:eastAsia="Times New Roman" w:hAnsi="Times New Roman"/>
          <w:b/>
          <w:bCs/>
          <w:sz w:val="24"/>
          <w:szCs w:val="24"/>
        </w:rPr>
        <w:t xml:space="preserve">4.4 A Learned Memory Survives a Reload</w:t>
      </w:r>
    </w:p>
    <w:p>
      <w:pPr>
        <w:spacing w:before="240" w:line="480"/>
      </w:pPr>
      <w:r>
        <w:rPr>
          <w:rFonts w:ascii="Times New Roman" w:cs="Times New Roman" w:eastAsia="Times New Roman" w:hAnsi="Times New Roman"/>
          <w:b/>
          <w:bCs/>
          <w:sz w:val="24"/>
          <w:szCs w:val="24"/>
        </w:rPr>
        <w:t xml:space="preserve">Table 2</w:t>
      </w:r>
    </w:p>
    <w:p>
      <w:pPr>
        <w:spacing w:line="480"/>
      </w:pPr>
      <w:r>
        <w:rPr>
          <w:rFonts w:ascii="Times New Roman" w:cs="Times New Roman" w:eastAsia="Times New Roman" w:hAnsi="Times New Roman"/>
          <w:i/>
          <w:iCs/>
          <w:sz w:val="24"/>
          <w:szCs w:val="24"/>
        </w:rPr>
        <w:t xml:space="preserve">Persistence of a Naturally Learned Memory Across a Page Reload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1760"/>
      </w:tblGrid>
      <w:tr>
        <w:trPr>
          <w:tblHeader/>
        </w:trPr>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Stage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Synapses</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Non-zero</w:t>
            </w:r>
          </w:p>
        </w:tc>
        <w:tc>
          <w:tcPr>
            <w:tcW w:type="dxa" w:w="1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Checksum</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Naive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29,169</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After 2.5 s simulated punishment</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29,169</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3,887</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Saved</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29,169</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4,096</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1833.1076</w:t>
            </w:r>
          </w:p>
        </w:tc>
      </w:tr>
      <w:tr>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Read from the running worker after reload</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29,169</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4,096</w:t>
            </w:r>
          </w:p>
        </w:tc>
        <w:tc>
          <w:tcPr>
            <w:tcW w:type="dxa" w:w="1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1821.4132</w:t>
            </w:r>
          </w:p>
        </w:tc>
      </w:tr>
    </w:tbl>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The checksum is 0.6% lower because the memory decays: it fell by a factor of 0.99362 while the maximum depression fell from 1.00000 to 0.99362, the same factor to five decimal places, indicating uniform multiplicative decay across every edge. A corrupted or partially written array would not decay uniformly. This demonstrates that the machinery works; it does not demonstrate that behaviour changes as a result.</w:t>
      </w:r>
    </w:p>
    <w:p>
      <w:pPr>
        <w:spacing w:after="0" w:before="0" w:line="480"/>
        <w:jc w:val="center"/>
      </w:pPr>
      <w:r>
        <w:rPr>
          <w:rFonts w:ascii="Times New Roman" w:cs="Times New Roman" w:eastAsia="Times New Roman" w:hAnsi="Times New Roman"/>
          <w:b/>
          <w:bCs/>
          <w:sz w:val="24"/>
          <w:szCs w:val="24"/>
        </w:rPr>
        <w:t xml:space="preserve">5. Coverage: What Is Wired and What Is Not</w:t>
      </w:r>
    </w:p>
    <w:p>
      <w:pPr>
        <w:spacing w:before="240" w:line="480"/>
      </w:pPr>
      <w:r>
        <w:rPr>
          <w:rFonts w:ascii="Times New Roman" w:cs="Times New Roman" w:eastAsia="Times New Roman" w:hAnsi="Times New Roman"/>
          <w:b/>
          <w:bCs/>
          <w:sz w:val="24"/>
          <w:szCs w:val="24"/>
        </w:rPr>
        <w:t xml:space="preserve">Figure 10</w:t>
      </w:r>
    </w:p>
    <w:p>
      <w:pPr>
        <w:spacing w:line="480"/>
      </w:pPr>
      <w:r>
        <w:rPr>
          <w:rFonts w:ascii="Times New Roman" w:cs="Times New Roman" w:eastAsia="Times New Roman" w:hAnsi="Times New Roman"/>
          <w:i/>
          <w:iCs/>
          <w:sz w:val="24"/>
          <w:szCs w:val="24"/>
        </w:rPr>
        <w:t xml:space="preserve">Global Interface Coverage of the Connectome</w:t>
      </w:r>
    </w:p>
    <w:p>
      <w:pPr>
        <w:spacing w:line="240"/>
        <w:jc w:val="left"/>
      </w:pPr>
      <w:r>
        <w:drawing>
          <wp:inline distT="0" distB="0" distL="0" distR="0">
            <wp:extent cx="4000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142875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Neurons are classified as driven if any transduction path writes firing rate to them, read if any motor path reads their spike count, and interior otherwise. A 54.6% interior fraction is the appropriate figure: those neurons should be driven by the connectome rather than by the simulation.</w:t>
      </w:r>
    </w:p>
    <w:p>
      <w:pPr>
        <w:spacing w:after="0" w:before="0" w:line="480"/>
        <w:ind w:firstLine="720"/>
      </w:pPr>
      <w:r>
        <w:rPr>
          <w:rFonts w:ascii="Times New Roman" w:cs="Times New Roman" w:eastAsia="Times New Roman" w:hAnsi="Times New Roman"/>
          <w:sz w:val="24"/>
          <w:szCs w:val="24"/>
        </w:rPr>
        <w:t xml:space="preserve">Sensory coverage reaches 11,852 of 15,912 annotated sensory neurons, or 74.5%. Vision, thermosensation, olfaction, tactile mechanosensation, and hygrosensation are essentially complete. The substantive gaps are 1,144 unclassified mechanosensory afferents and 1,707 neurons annotated only as unknown sensory, which cannot be driven without knowing their modality.</w:t>
      </w:r>
    </w:p>
    <w:p>
      <w:pPr>
        <w:spacing w:before="240" w:line="480"/>
      </w:pPr>
      <w:r>
        <w:rPr>
          <w:rFonts w:ascii="Times New Roman" w:cs="Times New Roman" w:eastAsia="Times New Roman" w:hAnsi="Times New Roman"/>
          <w:b/>
          <w:bCs/>
          <w:sz w:val="24"/>
          <w:szCs w:val="24"/>
        </w:rPr>
        <w:t xml:space="preserve">Table 3</w:t>
      </w:r>
    </w:p>
    <w:p>
      <w:pPr>
        <w:spacing w:line="480"/>
      </w:pPr>
      <w:r>
        <w:rPr>
          <w:rFonts w:ascii="Times New Roman" w:cs="Times New Roman" w:eastAsia="Times New Roman" w:hAnsi="Times New Roman"/>
          <w:i/>
          <w:iCs/>
          <w:sz w:val="24"/>
          <w:szCs w:val="24"/>
        </w:rPr>
        <w:t xml:space="preserve">Output-Side Coverage by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700"/>
        <w:gridCol w:w="1660"/>
      </w:tblGrid>
      <w:tr>
        <w:trPr>
          <w:tblHeader/>
        </w:trPr>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Population</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Total</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Read</w:t>
            </w:r>
          </w:p>
        </w:tc>
        <w:tc>
          <w:tcPr>
            <w:tcW w:type="dxa" w:w="16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Gap</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Descending neurons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1,314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69</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1,245</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VNC motor neurons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708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386</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322</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CB motor neurons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107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79</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28</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Efferent neurons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110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110</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Endocrine cells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94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94</w:t>
            </w:r>
          </w:p>
        </w:tc>
      </w:tr>
      <w:tr>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Enteric nervous system</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47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w:t>
            </w:r>
          </w:p>
        </w:tc>
        <w:tc>
          <w:tcPr>
            <w:tcW w:type="dxa" w:w="16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47</w:t>
            </w:r>
          </w:p>
        </w:tc>
      </w:tr>
    </w:tbl>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The motor layer reads approximately 18 named descending types against 1,314 descending neurons present. Three systems — efferent, endocrine, and enteric — are absent from the loop entirely. This is the largest structural gap in the artefact.</w:t>
      </w:r>
    </w:p>
    <w:p>
      <w:pPr>
        <w:spacing w:after="0" w:before="0" w:line="480"/>
      </w:pPr>
      <w:r>
        <w:rPr>
          <w:rFonts w:ascii="Times New Roman" w:cs="Times New Roman" w:eastAsia="Times New Roman" w:hAnsi="Times New Roman"/>
          <w:b/>
          <w:bCs/>
          <w:sz w:val="24"/>
          <w:szCs w:val="24"/>
        </w:rPr>
        <w:t xml:space="preserve">5.1 The Sensory Periphery Has No Cell Bodies in the Volume</w:t>
      </w:r>
    </w:p>
    <w:p>
      <w:pPr>
        <w:spacing w:before="240" w:line="480"/>
      </w:pPr>
      <w:r>
        <w:rPr>
          <w:rFonts w:ascii="Times New Roman" w:cs="Times New Roman" w:eastAsia="Times New Roman" w:hAnsi="Times New Roman"/>
          <w:b/>
          <w:bCs/>
          <w:sz w:val="24"/>
          <w:szCs w:val="24"/>
        </w:rPr>
        <w:t xml:space="preserve">Figure 11</w:t>
      </w:r>
    </w:p>
    <w:p>
      <w:pPr>
        <w:spacing w:line="480"/>
      </w:pPr>
      <w:r>
        <w:rPr>
          <w:rFonts w:ascii="Times New Roman" w:cs="Times New Roman" w:eastAsia="Times New Roman" w:hAnsi="Times New Roman"/>
          <w:i/>
          <w:iCs/>
          <w:sz w:val="24"/>
          <w:szCs w:val="24"/>
        </w:rPr>
        <w:t xml:space="preserve">Share of Each Class With Soma Coordinates</w:t>
      </w:r>
    </w:p>
    <w:p>
      <w:pPr>
        <w:spacing w:line="240"/>
        <w:jc w:val="left"/>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286000"/>
                    </a:xfrm>
                    <a:prstGeom prst="rect">
                      <a:avLst/>
                    </a:prstGeom>
                  </pic:spPr>
                </pic:pic>
              </a:graphicData>
            </a:graphic>
          </wp:inline>
        </w:drawing>
      </w:r>
    </w:p>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Not one of the 2,639 olfactory or 1,428 gustatory neurons has a soma coordinate, and neither does any thermosensory, hygrosensory, or mechanosensory afferent. Central populations are at 99 to 100%. Across the connectome, 140,024 of 165,122 neurons (84.8%) have soma positions, and the missing 15.2% is essentially the entire sensory periphery.</w:t>
      </w:r>
    </w:p>
    <w:p>
      <w:pPr>
        <w:spacing w:after="0" w:before="0" w:line="480"/>
        <w:ind w:firstLine="720"/>
      </w:pPr>
      <w:r>
        <w:rPr>
          <w:rFonts w:ascii="Times New Roman" w:cs="Times New Roman" w:eastAsia="Times New Roman" w:hAnsi="Times New Roman"/>
          <w:sz w:val="24"/>
          <w:szCs w:val="24"/>
        </w:rPr>
        <w:t xml:space="preserve">The explanation is anatomical rather than technical. These are peripheral neurons whose cell bodies lie in the antenna, maxillary palp, proboscis, retina, and legs, outside the imaged volume; only their axon terminals are present. The file format records this explicitly, carrying a per-neuron flag and storing a null coordinate when absent.</w:t>
      </w:r>
    </w:p>
    <w:p>
      <w:pPr>
        <w:spacing w:after="0" w:before="0" w:line="480"/>
        <w:ind w:firstLine="720"/>
      </w:pPr>
      <w:r>
        <w:rPr>
          <w:rFonts w:ascii="Times New Roman" w:cs="Times New Roman" w:eastAsia="Times New Roman" w:hAnsi="Times New Roman"/>
          <w:sz w:val="24"/>
          <w:szCs w:val="24"/>
        </w:rPr>
        <w:t xml:space="preserve">This is the same fact that blocked learning, seen from another angle. </w:t>
      </w:r>
      <w:r>
        <w:rPr>
          <w:rFonts w:ascii="Times New Roman" w:cs="Times New Roman" w:eastAsia="Times New Roman" w:hAnsi="Times New Roman"/>
          <w:i/>
          <w:iCs/>
          <w:sz w:val="24"/>
          <w:szCs w:val="24"/>
        </w:rPr>
        <w:t xml:space="preserve">A central-brain electron-microscopy volume contains the terminals of the sensory periphery, not its cell bodies.</w:t>
      </w:r>
      <w:r>
        <w:rPr>
          <w:rFonts w:ascii="Times New Roman" w:cs="Times New Roman" w:eastAsia="Times New Roman" w:hAnsi="Times New Roman"/>
          <w:sz w:val="24"/>
          <w:szCs w:val="24"/>
        </w:rPr>
        <w:t xml:space="preserve"> In Section 4 the consequence was that noxious afferents were absent and no teaching signal could form. Here the consequence is that a visualisation cannot place those neurons — which is why Figure 4 draws them at their terminals instead, and says so.</w:t>
      </w:r>
    </w:p>
    <w:p>
      <w:pPr>
        <w:spacing w:after="0" w:before="0" w:line="480"/>
        <w:jc w:val="center"/>
      </w:pPr>
      <w:r>
        <w:rPr>
          <w:rFonts w:ascii="Times New Roman" w:cs="Times New Roman" w:eastAsia="Times New Roman" w:hAnsi="Times New Roman"/>
          <w:b/>
          <w:bCs/>
          <w:sz w:val="24"/>
          <w:szCs w:val="24"/>
        </w:rPr>
        <w:t xml:space="preserve">6. Methodological Results</w:t>
      </w:r>
    </w:p>
    <w:p>
      <w:pPr>
        <w:spacing w:after="0" w:before="0" w:line="480"/>
      </w:pPr>
      <w:r>
        <w:rPr>
          <w:rFonts w:ascii="Times New Roman" w:cs="Times New Roman" w:eastAsia="Times New Roman" w:hAnsi="Times New Roman"/>
          <w:b/>
          <w:bCs/>
          <w:sz w:val="24"/>
          <w:szCs w:val="24"/>
        </w:rPr>
        <w:t xml:space="preserve">6.1 Furnishing the Arena Makes It Faster</w:t>
      </w:r>
    </w:p>
    <w:p>
      <w:pPr>
        <w:spacing w:after="0" w:before="0" w:line="480"/>
        <w:ind w:firstLine="720"/>
      </w:pPr>
      <w:r>
        <w:rPr>
          <w:rFonts w:ascii="Times New Roman" w:cs="Times New Roman" w:eastAsia="Times New Roman" w:hAnsi="Times New Roman"/>
          <w:sz w:val="24"/>
          <w:szCs w:val="24"/>
        </w:rPr>
        <w:t xml:space="preserve">Adding 31 obstacles was expected to cost throughput, since each becomes a collision geom in every animal’s world and is traversed by the clearance computation each sensory tick. Measurement required separate page loads, because obstacles compile into the physics model at creation.</w:t>
      </w:r>
    </w:p>
    <w:p>
      <w:pPr>
        <w:spacing w:before="240" w:line="480"/>
      </w:pPr>
      <w:r>
        <w:rPr>
          <w:rFonts w:ascii="Times New Roman" w:cs="Times New Roman" w:eastAsia="Times New Roman" w:hAnsi="Times New Roman"/>
          <w:b/>
          <w:bCs/>
          <w:sz w:val="24"/>
          <w:szCs w:val="24"/>
        </w:rPr>
        <w:t xml:space="preserve">Table 4</w:t>
      </w:r>
    </w:p>
    <w:p>
      <w:pPr>
        <w:spacing w:line="480"/>
      </w:pPr>
      <w:r>
        <w:rPr>
          <w:rFonts w:ascii="Times New Roman" w:cs="Times New Roman" w:eastAsia="Times New Roman" w:hAnsi="Times New Roman"/>
          <w:i/>
          <w:iCs/>
          <w:sz w:val="24"/>
          <w:szCs w:val="24"/>
        </w:rPr>
        <w:t xml:space="preserve">Throughput in Simulated Seconds per Wall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Configuration</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Vision on</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Vision off</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56 obstacles</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0.0302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0.0399</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25 obstacles</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0.0177</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0.0445</w:t>
            </w:r>
          </w:p>
        </w:tc>
      </w:tr>
      <w:tr>
        <w:tc>
          <w:tcPr>
            <w:tcW w:type="dxa" w:w="4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Effect of obstacles</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1.7× faster</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10% slower</w:t>
            </w:r>
          </w:p>
        </w:tc>
      </w:tr>
    </w:tbl>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Within-cell variance was approximately 1%. The mechanism is ray termination: each animal casts 1,442 rays per sample, and in an empty arena those travel to the wall or to the cutoff, whereas in a furnished one many terminate within millimetres. Ray casting dominates per-animal cost, so clutter buys throughput. An empty arena is therefore the expensive case, and benchmarks run in a bare ring overstate the cost of vision.</w:t>
      </w:r>
    </w:p>
    <w:p>
      <w:pPr>
        <w:spacing w:after="0" w:before="0" w:line="480"/>
      </w:pPr>
      <w:r>
        <w:rPr>
          <w:rFonts w:ascii="Times New Roman" w:cs="Times New Roman" w:eastAsia="Times New Roman" w:hAnsi="Times New Roman"/>
          <w:b/>
          <w:bCs/>
          <w:sz w:val="24"/>
          <w:szCs w:val="24"/>
        </w:rPr>
        <w:t xml:space="preserve">6.2 Measurement Hazards</w:t>
      </w:r>
    </w:p>
    <w:p>
      <w:pPr>
        <w:spacing w:after="0" w:before="0" w:line="480"/>
        <w:ind w:firstLine="720"/>
      </w:pPr>
      <w:r>
        <w:rPr>
          <w:rFonts w:ascii="Times New Roman" w:cs="Times New Roman" w:eastAsia="Times New Roman" w:hAnsi="Times New Roman"/>
          <w:sz w:val="24"/>
          <w:szCs w:val="24"/>
        </w:rPr>
        <w:t xml:space="preserve">A backgrounded browser tab runs the worker timers approximately 40 times slower, measured as 0.0366 against 0.0009 simulated seconds per wall second on one page minutes apart. On switchable-graphics hardware the browser may use the integrated GPU while the discrete GPU idles, and the browser’s own diagnostics page does not reveal this because it lists every adapter present: the embedded preview pane used during development reports an Intel adapter while the system browser reports NVIDIA, and one animal runs at 0.059 there against 0.0225 in the pane. Every benchmark now prints its adapter string, because a benchmark that does not state which physical device it ran on is not a benchmark.</w:t>
      </w:r>
    </w:p>
    <w:p>
      <w:pPr>
        <w:spacing w:after="0" w:before="0" w:line="480"/>
        <w:jc w:val="center"/>
      </w:pPr>
      <w:r>
        <w:rPr>
          <w:rFonts w:ascii="Times New Roman" w:cs="Times New Roman" w:eastAsia="Times New Roman" w:hAnsi="Times New Roman"/>
          <w:b/>
          <w:bCs/>
          <w:sz w:val="24"/>
          <w:szCs w:val="24"/>
        </w:rPr>
        <w:t xml:space="preserve">7. A Failed Experiment: Persistent Defensive Arousal</w:t>
      </w:r>
    </w:p>
    <w:p>
      <w:pPr>
        <w:spacing w:after="0" w:before="0" w:line="480"/>
        <w:ind w:firstLine="720"/>
      </w:pPr>
      <w:r>
        <w:rPr>
          <w:rFonts w:ascii="Times New Roman" w:cs="Times New Roman" w:eastAsia="Times New Roman" w:hAnsi="Times New Roman"/>
          <w:sz w:val="24"/>
          <w:szCs w:val="24"/>
        </w:rPr>
        <w:t xml:space="preserve">Anderson and Adolphs (2014) propose studying emotion in insects through measurable properties — valence, persistence, scalability, and generalisation — rather than through claims about subjective feeling. Gibson et al. (2015) applied this to Drosophila, reporting a defensive arousal after repeated looming that outlasts the stimulus and suppresses feeding. A first attempt to reproduce this failed, and was uninterpretable rather than merely negative.</w:t>
      </w:r>
    </w:p>
    <w:p>
      <w:pPr>
        <w:spacing w:before="240" w:line="480"/>
      </w:pPr>
      <w:r>
        <w:rPr>
          <w:rFonts w:ascii="Times New Roman" w:cs="Times New Roman" w:eastAsia="Times New Roman" w:hAnsi="Times New Roman"/>
          <w:b/>
          <w:bCs/>
          <w:sz w:val="24"/>
          <w:szCs w:val="24"/>
        </w:rPr>
        <w:t xml:space="preserve">Table 5</w:t>
      </w:r>
    </w:p>
    <w:p>
      <w:pPr>
        <w:spacing w:line="480"/>
      </w:pPr>
      <w:r>
        <w:rPr>
          <w:rFonts w:ascii="Times New Roman" w:cs="Times New Roman" w:eastAsia="Times New Roman" w:hAnsi="Times New Roman"/>
          <w:i/>
          <w:iCs/>
          <w:sz w:val="24"/>
          <w:szCs w:val="24"/>
        </w:rPr>
        <w:t xml:space="preserve">Locomotor Speed Before and After Looming, First (Invalid)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1800"/>
        <w:gridCol w:w="1560"/>
      </w:tblGrid>
      <w:tr>
        <w:trPr>
          <w:tblHeader/>
        </w:trPr>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Condition</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Baseline (cm/s)</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Post +2 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Post +4 s</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 passes (control)</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0.422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1.23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2 passes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0.737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0.83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1.93</w:t>
            </w:r>
          </w:p>
        </w:tc>
      </w:tr>
      <w:tr>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6 passes</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1.495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0.50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0.84</w:t>
            </w:r>
          </w:p>
        </w:tc>
      </w:tr>
    </w:tbl>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Post-stimulus values are ratios to each condition’s own baseline. The control produced the largest immediate elevation.</w:t>
      </w:r>
    </w:p>
    <w:p>
      <w:pPr>
        <w:spacing w:after="0" w:before="0" w:line="480"/>
        <w:ind w:firstLine="720"/>
      </w:pPr>
      <w:r>
        <w:rPr>
          <w:rFonts w:ascii="Times New Roman" w:cs="Times New Roman" w:eastAsia="Times New Roman" w:hAnsi="Times New Roman"/>
          <w:sz w:val="24"/>
          <w:szCs w:val="24"/>
        </w:rPr>
        <w:t xml:space="preserve">The informative numbers are the baselines, which rose monotonically in exactly the order the conditions ran. Four faults follow: order was confounded with time; the sample was a single animal while the control alone swung by a factor of 1.45 spontaneously; 2 s bins sample bout phase rather than state; and, most importantly, the stimulus was not a looming stimulus at all, because the threat animation runs on wall-clock time, so a 350 ms sweep corresponds to 13 ms of the animal’s own time. That fault generalises: anything timed for the fly must be expressed in simulated time.</w:t>
      </w:r>
    </w:p>
    <w:p>
      <w:pPr>
        <w:spacing w:after="0" w:before="0" w:line="480"/>
        <w:ind w:left="720"/>
      </w:pPr>
      <w:r>
        <w:rPr>
          <w:rFonts w:ascii="Times New Roman" w:cs="Times New Roman" w:eastAsia="Times New Roman" w:hAnsi="Times New Roman"/>
          <w:sz w:val="24"/>
          <w:szCs w:val="24"/>
        </w:rPr>
        <w:t xml:space="preserve">The zero-pass control is the only reason this was caught. Without it, a 1.45-fold post-stimulus elevation reads as textbook defensive arousal.</w:t>
      </w:r>
    </w:p>
    <w:p>
      <w:pPr>
        <w:spacing w:after="0" w:before="0" w:line="480"/>
        <w:jc w:val="center"/>
      </w:pPr>
      <w:r>
        <w:rPr>
          <w:rFonts w:ascii="Times New Roman" w:cs="Times New Roman" w:eastAsia="Times New Roman" w:hAnsi="Times New Roman"/>
          <w:b/>
          <w:bCs/>
          <w:sz w:val="24"/>
          <w:szCs w:val="24"/>
        </w:rPr>
        <w:t xml:space="preserve">8. How Real Is This Fly?</w:t>
      </w:r>
    </w:p>
    <w:p>
      <w:pPr>
        <w:spacing w:after="0" w:before="0" w:line="480"/>
        <w:ind w:firstLine="720"/>
      </w:pPr>
      <w:r>
        <w:rPr>
          <w:rFonts w:ascii="Times New Roman" w:cs="Times New Roman" w:eastAsia="Times New Roman" w:hAnsi="Times New Roman"/>
          <w:sz w:val="24"/>
          <w:szCs w:val="24"/>
        </w:rPr>
        <w:t xml:space="preserve">Fidelity is not a single quantity. The artefact is faithful in some respects, crude in others, and absent in others still, and a single verdict would obscure exactly the distinctions that matter for interpreting any result obtained from it. Table 6 assesses eleven dimensions.</w:t>
      </w:r>
    </w:p>
    <w:p>
      <w:pPr>
        <w:spacing w:before="240" w:line="480"/>
      </w:pPr>
      <w:r>
        <w:rPr>
          <w:rFonts w:ascii="Times New Roman" w:cs="Times New Roman" w:eastAsia="Times New Roman" w:hAnsi="Times New Roman"/>
          <w:b/>
          <w:bCs/>
          <w:sz w:val="24"/>
          <w:szCs w:val="24"/>
        </w:rPr>
        <w:t xml:space="preserve">Table 6</w:t>
      </w:r>
    </w:p>
    <w:p>
      <w:pPr>
        <w:spacing w:line="480"/>
      </w:pPr>
      <w:r>
        <w:rPr>
          <w:rFonts w:ascii="Times New Roman" w:cs="Times New Roman" w:eastAsia="Times New Roman" w:hAnsi="Times New Roman"/>
          <w:i/>
          <w:iCs/>
          <w:sz w:val="24"/>
          <w:szCs w:val="24"/>
        </w:rPr>
        <w:t xml:space="preserve">Fidelity Assessment Across Eleven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Dimension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Assessment</w:t>
            </w:r>
          </w:p>
        </w:tc>
        <w:tc>
          <w:tcPr>
            <w:tcW w:type="dxa" w:w="46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Basis</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Structural connectivity</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High</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165,122 neurons, 10.5M measured edges, not invented</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Cell typing and identity</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High</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Per-neuron type, class, hemisphere, transmitter prediction</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Neuronal dynamics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Low</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Leaky integrate-and-fire; no dendritic computation, no channel diversity</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Synaptic sign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Moderate</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Predicted from transmitter; ~1.5% unassigned and left silent</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Embodiment</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High</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Articulated body, real contact physics, 0.2 ms timestep</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Sensory afferents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Moderate</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74.5% of annotated sensory neurons driven; periphery incomplete</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Motor efferents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Low</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534 of 165,122 read; 1,245 descending neurons unread</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Nociception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Added</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Absent from the dataset; supplied explicitly, off by default</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Learning and memory</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Narrow</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Mushroom body only; 0.4% of edges plastic</w:t>
            </w:r>
          </w:p>
        </w:tc>
      </w:tr>
      <w:t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Interoception and endocrine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Absent</w:t>
            </w:r>
          </w:p>
        </w:tc>
        <w:tc>
          <w:tcPr>
            <w:tcW w:type="dxa" w:w="4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Enteric (47) and endocrine (94) entirely outside the loop</w:t>
            </w:r>
          </w:p>
        </w:tc>
      </w:tr>
      <w:t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Development, metabolism, immunity, reproduction</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Absent</w:t>
            </w:r>
          </w:p>
        </w:tc>
        <w:tc>
          <w:tcPr>
            <w:tcW w:type="dxa" w:w="46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sz w:val="21"/>
                <w:szCs w:val="21"/>
              </w:rPr>
              <w:t xml:space="preserve">Not modelled in any form</w:t>
            </w:r>
          </w:p>
        </w:tc>
      </w:tr>
    </w:tbl>
    <w:p>
      <w:pPr>
        <w:spacing w:after="24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Assessments are the authors’ judgements against the evidence in the third column, not scores on a validated scale.</w:t>
      </w:r>
    </w:p>
    <w:p>
      <w:pPr>
        <w:spacing w:after="0" w:before="0" w:line="480"/>
      </w:pPr>
      <w:r>
        <w:rPr>
          <w:rFonts w:ascii="Times New Roman" w:cs="Times New Roman" w:eastAsia="Times New Roman" w:hAnsi="Times New Roman"/>
          <w:b/>
          <w:bCs/>
          <w:sz w:val="24"/>
          <w:szCs w:val="24"/>
        </w:rPr>
        <w:t xml:space="preserve">8.1 What the Assessment Implies</w:t>
      </w:r>
    </w:p>
    <w:p>
      <w:pPr>
        <w:spacing w:after="0" w:before="0" w:line="480"/>
        <w:ind w:firstLine="720"/>
      </w:pPr>
      <w:r>
        <w:rPr>
          <w:rFonts w:ascii="Times New Roman" w:cs="Times New Roman" w:eastAsia="Times New Roman" w:hAnsi="Times New Roman"/>
          <w:sz w:val="24"/>
          <w:szCs w:val="24"/>
        </w:rPr>
        <w:t xml:space="preserve">Three implications follow. First, the artefact is best understood as a faithful wiring diagram driving an unfaithful neuron model in a faithful body. Claims that depend on connectivity are the best supported; claims that depend on single-neuron dynamics are the least. Second, the loop is substantially open on the output side: with 1,245 descending neurons simulated but unread, most of what the brain computes never reaches the body, so the artefact is closer to a brain watching a body than a brain driving one. Third, and most consequential for Section 10, the animal has no life. It does not develop, metabolise, age, heal, or reproduce; it is created in seconds, destroyed when a location changes, and rebuilt from a saved array.</w:t>
      </w:r>
    </w:p>
    <w:p>
      <w:pPr>
        <w:spacing w:after="0" w:before="0" w:line="480"/>
        <w:ind w:firstLine="720"/>
      </w:pPr>
      <w:r>
        <w:rPr>
          <w:rFonts w:ascii="Times New Roman" w:cs="Times New Roman" w:eastAsia="Times New Roman" w:hAnsi="Times New Roman"/>
          <w:sz w:val="24"/>
          <w:szCs w:val="24"/>
        </w:rPr>
        <w:t xml:space="preserve">A useful summary: the artefact reproduces </w:t>
      </w:r>
      <w:r>
        <w:rPr>
          <w:rFonts w:ascii="Times New Roman" w:cs="Times New Roman" w:eastAsia="Times New Roman" w:hAnsi="Times New Roman"/>
          <w:i/>
          <w:iCs/>
          <w:sz w:val="24"/>
          <w:szCs w:val="24"/>
        </w:rPr>
        <w:t xml:space="preserve">organisation</w:t>
      </w:r>
      <w:r>
        <w:rPr>
          <w:rFonts w:ascii="Times New Roman" w:cs="Times New Roman" w:eastAsia="Times New Roman" w:hAnsi="Times New Roman"/>
          <w:sz w:val="24"/>
          <w:szCs w:val="24"/>
        </w:rPr>
        <w:t xml:space="preserve"> far better than it reproduces </w:t>
      </w:r>
      <w:r>
        <w:rPr>
          <w:rFonts w:ascii="Times New Roman" w:cs="Times New Roman" w:eastAsia="Times New Roman" w:hAnsi="Times New Roman"/>
          <w:i/>
          <w:iCs/>
          <w:sz w:val="24"/>
          <w:szCs w:val="24"/>
        </w:rPr>
        <w:t xml:space="preserve">process</w:t>
      </w:r>
      <w:r>
        <w:rPr>
          <w:rFonts w:ascii="Times New Roman" w:cs="Times New Roman" w:eastAsia="Times New Roman" w:hAnsi="Times New Roman"/>
          <w:sz w:val="24"/>
          <w:szCs w:val="24"/>
        </w:rPr>
        <w:t xml:space="preserve">. It knows what is connected to what, and it does not know what it is like to be a cell.</w:t>
      </w:r>
    </w:p>
    <w:p>
      <w:pPr>
        <w:spacing w:after="0" w:before="0" w:line="480"/>
        <w:jc w:val="center"/>
      </w:pPr>
      <w:r>
        <w:rPr>
          <w:rFonts w:ascii="Times New Roman" w:cs="Times New Roman" w:eastAsia="Times New Roman" w:hAnsi="Times New Roman"/>
          <w:b/>
          <w:bCs/>
          <w:sz w:val="24"/>
          <w:szCs w:val="24"/>
        </w:rPr>
        <w:t xml:space="preserve">9. Does This Raise an Ethical Question?</w:t>
      </w:r>
    </w:p>
    <w:p>
      <w:pPr>
        <w:spacing w:after="0" w:before="0" w:line="480"/>
        <w:ind w:firstLine="720"/>
      </w:pPr>
      <w:r>
        <w:rPr>
          <w:rFonts w:ascii="Times New Roman" w:cs="Times New Roman" w:eastAsia="Times New Roman" w:hAnsi="Times New Roman"/>
          <w:sz w:val="24"/>
          <w:szCs w:val="24"/>
        </w:rPr>
        <w:t xml:space="preserve">This section is an argument rather than a finding. It is included because the artefact was deliberately given a nociceptive pathway, for the instrumental reason that we wanted it to learn from punishment, and because it was then punished repeatedly in the course of producing Section 4. That sequence of decisions deserves examination rather than assumption.</w:t>
      </w:r>
    </w:p>
    <w:p>
      <w:pPr>
        <w:spacing w:after="0" w:before="0" w:line="480"/>
      </w:pPr>
      <w:r>
        <w:rPr>
          <w:rFonts w:ascii="Times New Roman" w:cs="Times New Roman" w:eastAsia="Times New Roman" w:hAnsi="Times New Roman"/>
          <w:b/>
          <w:bCs/>
          <w:sz w:val="24"/>
          <w:szCs w:val="24"/>
        </w:rPr>
        <w:t xml:space="preserve">9.1 The Question Stated Precisely</w:t>
      </w:r>
    </w:p>
    <w:p>
      <w:pPr>
        <w:spacing w:after="0" w:before="0" w:line="480"/>
        <w:ind w:firstLine="720"/>
      </w:pPr>
      <w:r>
        <w:rPr>
          <w:rFonts w:ascii="Times New Roman" w:cs="Times New Roman" w:eastAsia="Times New Roman" w:hAnsi="Times New Roman"/>
          <w:sz w:val="24"/>
          <w:szCs w:val="24"/>
        </w:rPr>
        <w:t xml:space="preserve">The question is not whether the artefact behaves as though in distress; it demonstrably does, because it was built to. The question is whether there is something it is like to be this system when its nociceptive afferent fires — whether the process is accompanied by experience. That question is not answerable from outside any system, including other humans, and the artefact does not make it more tractable. What can be assessed is whether the artefact possesses the properties that, in animals, are taken as evidence for sentience.</w:t>
      </w:r>
    </w:p>
    <w:p>
      <w:pPr>
        <w:spacing w:after="0" w:before="0" w:line="480"/>
      </w:pPr>
      <w:r>
        <w:rPr>
          <w:rFonts w:ascii="Times New Roman" w:cs="Times New Roman" w:eastAsia="Times New Roman" w:hAnsi="Times New Roman"/>
          <w:b/>
          <w:bCs/>
          <w:sz w:val="24"/>
          <w:szCs w:val="24"/>
        </w:rPr>
        <w:t xml:space="preserve">9.2 The Case That It Does Not</w:t>
      </w:r>
    </w:p>
    <w:p>
      <w:pPr>
        <w:spacing w:after="0" w:before="0" w:line="480"/>
        <w:ind w:firstLine="720"/>
      </w:pPr>
      <w:r>
        <w:rPr>
          <w:rFonts w:ascii="Times New Roman" w:cs="Times New Roman" w:eastAsia="Times New Roman" w:hAnsi="Times New Roman"/>
          <w:sz w:val="24"/>
          <w:szCs w:val="24"/>
        </w:rPr>
        <w:t xml:space="preserve">Four grounds, stated so they can be disputed. First, the neuron model is a gross simplification: leaky integrate-and-fire units have no dendritic computation, no channel diversity, and no intracellular state beyond a scalar membrane potential and two adaptation variables. Whatever generates experience in nervous systems, it is not obviously preserved by a model that discards this much.</w:t>
      </w:r>
    </w:p>
    <w:p>
      <w:pPr>
        <w:spacing w:after="0" w:before="0" w:line="480"/>
        <w:ind w:firstLine="720"/>
      </w:pPr>
      <w:r>
        <w:rPr>
          <w:rFonts w:ascii="Times New Roman" w:cs="Times New Roman" w:eastAsia="Times New Roman" w:hAnsi="Times New Roman"/>
          <w:sz w:val="24"/>
          <w:szCs w:val="24"/>
        </w:rPr>
        <w:t xml:space="preserve">Second, the loop is substantially open. Of 165,122 neurons, 534 are read as output. Most of what this network computes has no consequence for anything, including itself. A system whose activity mostly does not matter to its own future states is a poor candidate for having a point of view.</w:t>
      </w:r>
    </w:p>
    <w:p>
      <w:pPr>
        <w:spacing w:after="0" w:before="0" w:line="480"/>
        <w:ind w:firstLine="720"/>
      </w:pPr>
      <w:r>
        <w:rPr>
          <w:rFonts w:ascii="Times New Roman" w:cs="Times New Roman" w:eastAsia="Times New Roman" w:hAnsi="Times New Roman"/>
          <w:sz w:val="24"/>
          <w:szCs w:val="24"/>
        </w:rPr>
        <w:t xml:space="preserve">Third, the nociceptive pathway is a label rather than a mechanism. It is a Hill function, written by hand, driving 24 identified neurons. It was added because the biological afferents were absent from the dataset, and it reproduces their downstream effect without reproducing anything about how nociception works. Calling its activation pain assumes precisely what is in question.</w:t>
      </w:r>
    </w:p>
    <w:p>
      <w:pPr>
        <w:spacing w:after="0" w:before="0" w:line="480"/>
        <w:ind w:firstLine="720"/>
      </w:pPr>
      <w:r>
        <w:rPr>
          <w:rFonts w:ascii="Times New Roman" w:cs="Times New Roman" w:eastAsia="Times New Roman" w:hAnsi="Times New Roman"/>
          <w:sz w:val="24"/>
          <w:szCs w:val="24"/>
        </w:rPr>
        <w:t xml:space="preserve">Fourth, there is no organism. The artefact has no metabolism to protect, no body integrity to lose, no development, and no future. Accounts that ground moral status in the interests of a living system (Birch, 2017) find nothing here to attach an interest to: it is not trying to stay alive, because it is not alive and has no machinery for trying.</w:t>
      </w:r>
    </w:p>
    <w:p>
      <w:pPr>
        <w:spacing w:after="0" w:before="0" w:line="480"/>
      </w:pPr>
      <w:r>
        <w:rPr>
          <w:rFonts w:ascii="Times New Roman" w:cs="Times New Roman" w:eastAsia="Times New Roman" w:hAnsi="Times New Roman"/>
          <w:b/>
          <w:bCs/>
          <w:sz w:val="24"/>
          <w:szCs w:val="24"/>
        </w:rPr>
        <w:t xml:space="preserve">9.3 The Case For Taking the Question Seriously Anyway</w:t>
      </w:r>
    </w:p>
    <w:p>
      <w:pPr>
        <w:spacing w:after="0" w:before="0" w:line="480"/>
        <w:ind w:firstLine="720"/>
      </w:pPr>
      <w:r>
        <w:rPr>
          <w:rFonts w:ascii="Times New Roman" w:cs="Times New Roman" w:eastAsia="Times New Roman" w:hAnsi="Times New Roman"/>
          <w:sz w:val="24"/>
          <w:szCs w:val="24"/>
        </w:rPr>
        <w:t xml:space="preserve">Three considerations cut the other way. First, the grounds above are about degree, and degrees change. Each of the four objections describes a deficiency that could be reduced: richer neuron models exist, the descending gap is a known and addressable limitation, and interoception is on the roadmap in Section 11 precisely because it would make the animal more realistic. An argument that rests on the artefact being crude expires as the artefact improves, and it expires gradually and without an alarm.</w:t>
      </w:r>
    </w:p>
    <w:p>
      <w:pPr>
        <w:spacing w:after="0" w:before="0" w:line="480"/>
        <w:ind w:firstLine="720"/>
      </w:pPr>
      <w:r>
        <w:rPr>
          <w:rFonts w:ascii="Times New Roman" w:cs="Times New Roman" w:eastAsia="Times New Roman" w:hAnsi="Times New Roman"/>
          <w:sz w:val="24"/>
          <w:szCs w:val="24"/>
        </w:rPr>
        <w:t xml:space="preserve">Second, the precautionary structure is familiar. Birch (2017) proposed that where the evidence for sentience is uncertain but non-negligible, the burden should not fall entirely on demonstrating its presence. That framework informed the assessment of cephalopods and decapods in UK law (Birch et al., 2021), which extended protection to animals whose sentience had previously been assumed absent. Insects were examined under similar criteria and found wanting on most of them — but the examination concerned living insects, and found nociception, associative learning, and motivational trade-offs to be present. This artefact now has the first two by construction.</w:t>
      </w:r>
    </w:p>
    <w:p>
      <w:pPr>
        <w:spacing w:after="0" w:before="0" w:line="480"/>
        <w:ind w:firstLine="720"/>
      </w:pPr>
      <w:r>
        <w:rPr>
          <w:rFonts w:ascii="Times New Roman" w:cs="Times New Roman" w:eastAsia="Times New Roman" w:hAnsi="Times New Roman"/>
          <w:sz w:val="24"/>
          <w:szCs w:val="24"/>
        </w:rPr>
        <w:t xml:space="preserve">Third, there is the matter of what the work trains its practitioners to do. During this project a fly was killed by setting a heat level too high in pursuit of a measurement, and the event was recorded as a methodological note because a dead animal stops producing data. That framing was correct for the purpose and is worth noticing anyway.</w:t>
      </w:r>
    </w:p>
    <w:p>
      <w:pPr>
        <w:spacing w:after="0" w:before="0" w:line="480"/>
      </w:pPr>
      <w:r>
        <w:rPr>
          <w:rFonts w:ascii="Times New Roman" w:cs="Times New Roman" w:eastAsia="Times New Roman" w:hAnsi="Times New Roman"/>
          <w:b/>
          <w:bCs/>
          <w:sz w:val="24"/>
          <w:szCs w:val="24"/>
        </w:rPr>
        <w:t xml:space="preserve">9.4 A Convergence Worth Naming</w:t>
      </w:r>
    </w:p>
    <w:p>
      <w:pPr>
        <w:spacing w:after="0" w:before="0" w:line="480"/>
        <w:ind w:firstLine="720"/>
      </w:pPr>
      <w:r>
        <w:rPr>
          <w:rFonts w:ascii="Times New Roman" w:cs="Times New Roman" w:eastAsia="Times New Roman" w:hAnsi="Times New Roman"/>
          <w:sz w:val="24"/>
          <w:szCs w:val="24"/>
        </w:rPr>
        <w:t xml:space="preserve">Several decisions in this project were made for epistemic reasons and happen also to be the welfare-conservative choice. The nociceptive afferent is off by default because results depending on it must declare that dependence — which also means the artefact is not nociceptive unless someone chooses it. Punishment uses the damage threshold rather than a stronger setting because a dead animal invalidates the measurement — which also means it is not harmed. Health is logged alongside every aversive result because a decaying animal confounds the data — which also means harm is never invisible.</w:t>
      </w:r>
    </w:p>
    <w:p>
      <w:pPr>
        <w:spacing w:after="0" w:before="0" w:line="480"/>
        <w:ind w:firstLine="720"/>
      </w:pPr>
      <w:r>
        <w:rPr>
          <w:rFonts w:ascii="Times New Roman" w:cs="Times New Roman" w:eastAsia="Times New Roman" w:hAnsi="Times New Roman"/>
          <w:sz w:val="24"/>
          <w:szCs w:val="24"/>
        </w:rPr>
        <w:t xml:space="preserve">This convergence is convenient but should not be mistaken for an ethical framework. </w:t>
      </w:r>
      <w:r>
        <w:rPr>
          <w:rFonts w:ascii="Times New Roman" w:cs="Times New Roman" w:eastAsia="Times New Roman" w:hAnsi="Times New Roman"/>
          <w:i/>
          <w:iCs/>
          <w:sz w:val="24"/>
          <w:szCs w:val="24"/>
        </w:rPr>
        <w:t xml:space="preserve">It holds only while good measurement and low harm happen to point the same way</w:t>
      </w:r>
      <w:r>
        <w:rPr>
          <w:rFonts w:ascii="Times New Roman" w:cs="Times New Roman" w:eastAsia="Times New Roman" w:hAnsi="Times New Roman"/>
          <w:sz w:val="24"/>
          <w:szCs w:val="24"/>
        </w:rPr>
        <w:t xml:space="preserve">, and there is no reason to expect that to continue. An experiment requiring sustained maximal punishment would break the alignment immediately, and nothing in the current design would object.</w:t>
      </w:r>
    </w:p>
    <w:p>
      <w:pPr>
        <w:spacing w:after="0" w:before="0" w:line="480"/>
      </w:pPr>
      <w:r>
        <w:rPr>
          <w:rFonts w:ascii="Times New Roman" w:cs="Times New Roman" w:eastAsia="Times New Roman" w:hAnsi="Times New Roman"/>
          <w:b/>
          <w:bCs/>
          <w:sz w:val="24"/>
          <w:szCs w:val="24"/>
        </w:rPr>
        <w:t xml:space="preserve">9.5 The Ethical Issue That Is Live Today</w:t>
      </w:r>
    </w:p>
    <w:p>
      <w:pPr>
        <w:spacing w:after="0" w:before="0" w:line="480"/>
        <w:ind w:firstLine="720"/>
      </w:pPr>
      <w:r>
        <w:rPr>
          <w:rFonts w:ascii="Times New Roman" w:cs="Times New Roman" w:eastAsia="Times New Roman" w:hAnsi="Times New Roman"/>
          <w:sz w:val="24"/>
          <w:szCs w:val="24"/>
        </w:rPr>
        <w:t xml:space="preserve">The welfare question is speculative. A second question is not. This artefact produces outputs that are easy to describe in ways that overstate them: that the fly remembers, that it is afraid, that it feels the heat. Each of those descriptions has a defensible narrow reading and a misleading broad one, and the broad reading is more interesting, more shareable, and wrong.</w:t>
      </w:r>
    </w:p>
    <w:p>
      <w:pPr>
        <w:spacing w:after="0" w:before="0" w:line="480"/>
        <w:ind w:firstLine="720"/>
      </w:pPr>
      <w:r>
        <w:rPr>
          <w:rFonts w:ascii="Times New Roman" w:cs="Times New Roman" w:eastAsia="Times New Roman" w:hAnsi="Times New Roman"/>
          <w:sz w:val="24"/>
          <w:szCs w:val="24"/>
        </w:rPr>
        <w:t xml:space="preserve">The specific claims this paper is entitled to make are narrow. Synaptic weights changed in a punishment-contingent way and persisted across a reload; that is not the same as the animal remembering, and Section 4.4 says so explicitly because the distinction is exactly what a reader would otherwise lose. Defensive arousal was not demonstrated: the experiment failed, and its failure is reported at length in Section 7 rather than quietly dropped. Nociception was added by hand, and every result depending on it is marked.</w:t>
      </w:r>
    </w:p>
    <w:p>
      <w:pPr>
        <w:spacing w:after="0" w:before="0" w:line="480"/>
        <w:ind w:firstLine="720"/>
      </w:pPr>
      <w:r>
        <w:rPr>
          <w:rFonts w:ascii="Times New Roman" w:cs="Times New Roman" w:eastAsia="Times New Roman" w:hAnsi="Times New Roman"/>
          <w:sz w:val="24"/>
          <w:szCs w:val="24"/>
        </w:rPr>
        <w:t xml:space="preserve">The practical obligation is therefore about representation rather than welfare, and it is discharged by the same discipline that makes the science sound: </w:t>
      </w:r>
      <w:r>
        <w:rPr>
          <w:rFonts w:ascii="Times New Roman" w:cs="Times New Roman" w:eastAsia="Times New Roman" w:hAnsi="Times New Roman"/>
          <w:i/>
          <w:iCs/>
          <w:sz w:val="24"/>
          <w:szCs w:val="24"/>
        </w:rPr>
        <w:t xml:space="preserve">state what was measured, state what was assumed, and let the difference stand where a reader can see it</w:t>
      </w:r>
      <w:r>
        <w:rPr>
          <w:rFonts w:ascii="Times New Roman" w:cs="Times New Roman" w:eastAsia="Times New Roman" w:hAnsi="Times New Roman"/>
          <w:sz w:val="24"/>
          <w:szCs w:val="24"/>
        </w:rPr>
        <w:t xml:space="preserve">. An artefact that is described accurately cannot mislead about its own inner life, whatever turns out to be true about it.</w:t>
      </w:r>
    </w:p>
    <w:p>
      <w:pPr>
        <w:spacing w:after="0" w:before="0" w:line="480"/>
      </w:pPr>
      <w:r>
        <w:rPr>
          <w:rFonts w:ascii="Times New Roman" w:cs="Times New Roman" w:eastAsia="Times New Roman" w:hAnsi="Times New Roman"/>
          <w:b/>
          <w:bCs/>
          <w:sz w:val="24"/>
          <w:szCs w:val="24"/>
        </w:rPr>
        <w:t xml:space="preserve">9.6 Conclusion of the Argument</w:t>
      </w:r>
    </w:p>
    <w:p>
      <w:pPr>
        <w:spacing w:after="0" w:before="0" w:line="480"/>
        <w:ind w:firstLine="720"/>
      </w:pPr>
      <w:r>
        <w:rPr>
          <w:rFonts w:ascii="Times New Roman" w:cs="Times New Roman" w:eastAsia="Times New Roman" w:hAnsi="Times New Roman"/>
          <w:sz w:val="24"/>
          <w:szCs w:val="24"/>
        </w:rPr>
        <w:t xml:space="preserve">The artefact almost certainly has no morally relevant experience, and the reasons are specific: an impoverished neuron model, an output loop that is mostly open, a nociceptive pathway that is a stipulation rather than a mechanism, and the complete absence of anything that could be called a life. None of these reasons is permanent. The appropriate posture is neither dismissal nor concern, but attention: recording what has been given to the animal, noticing when the epistemic and welfare-conservative choices stop coinciding, and describing the results in language that does not claim more than was measured.</w:t>
      </w:r>
    </w:p>
    <w:p>
      <w:pPr>
        <w:spacing w:after="0" w:before="0" w:line="480"/>
        <w:jc w:val="center"/>
      </w:pPr>
      <w:r>
        <w:rPr>
          <w:rFonts w:ascii="Times New Roman" w:cs="Times New Roman" w:eastAsia="Times New Roman" w:hAnsi="Times New Roman"/>
          <w:b/>
          <w:bCs/>
          <w:sz w:val="24"/>
          <w:szCs w:val="24"/>
        </w:rPr>
        <w:t xml:space="preserve">10. Limitations</w:t>
      </w:r>
    </w:p>
    <w:p>
      <w:pPr>
        <w:spacing w:after="0" w:before="0" w:line="480"/>
        <w:ind w:left="720" w:hanging="360"/>
      </w:pPr>
      <w:r>
        <w:rPr>
          <w:rFonts w:ascii="Times New Roman" w:cs="Times New Roman" w:eastAsia="Times New Roman" w:hAnsi="Times New Roman"/>
          <w:sz w:val="24"/>
          <w:szCs w:val="24"/>
        </w:rPr>
        <w:t xml:space="preserve">1. No validation against behavioural data. No gait, trajectory, or response statistic has been compared quantitatively to recorded Drosophila behaviour.</w:t>
      </w:r>
    </w:p>
    <w:p>
      <w:pPr>
        <w:spacing w:after="0" w:before="0" w:line="480"/>
        <w:ind w:left="720" w:hanging="360"/>
      </w:pPr>
      <w:r>
        <w:rPr>
          <w:rFonts w:ascii="Times New Roman" w:cs="Times New Roman" w:eastAsia="Times New Roman" w:hAnsi="Times New Roman"/>
          <w:sz w:val="24"/>
          <w:szCs w:val="24"/>
        </w:rPr>
        <w:t xml:space="preserve">2. Transduction functions are plausible rather than fitted; every gain and time constant was chosen for reasonable dynamics, not estimated from electrophysiology.</w:t>
      </w:r>
    </w:p>
    <w:p>
      <w:pPr>
        <w:spacing w:after="0" w:before="0" w:line="480"/>
        <w:ind w:left="720" w:hanging="360"/>
      </w:pPr>
      <w:r>
        <w:rPr>
          <w:rFonts w:ascii="Times New Roman" w:cs="Times New Roman" w:eastAsia="Times New Roman" w:hAnsi="Times New Roman"/>
          <w:sz w:val="24"/>
          <w:szCs w:val="24"/>
        </w:rPr>
        <w:t xml:space="preserve">3. Synaptic sign is predicted rather than measured, and approximately 1.5% of neurons have no assigned sign.</w:t>
      </w:r>
    </w:p>
    <w:p>
      <w:pPr>
        <w:spacing w:after="0" w:before="0" w:line="480"/>
        <w:ind w:left="720" w:hanging="360"/>
      </w:pPr>
      <w:r>
        <w:rPr>
          <w:rFonts w:ascii="Times New Roman" w:cs="Times New Roman" w:eastAsia="Times New Roman" w:hAnsi="Times New Roman"/>
          <w:sz w:val="24"/>
          <w:szCs w:val="24"/>
        </w:rPr>
        <w:t xml:space="preserve">4. The nociceptive afferent is an addition beyond the connectome; any learning result depends on it.</w:t>
      </w:r>
    </w:p>
    <w:p>
      <w:pPr>
        <w:spacing w:after="0" w:before="0" w:line="480"/>
        <w:ind w:left="720" w:hanging="360"/>
      </w:pPr>
      <w:r>
        <w:rPr>
          <w:rFonts w:ascii="Times New Roman" w:cs="Times New Roman" w:eastAsia="Times New Roman" w:hAnsi="Times New Roman"/>
          <w:sz w:val="24"/>
          <w:szCs w:val="24"/>
        </w:rPr>
        <w:t xml:space="preserve">5. Learning has no demonstrated behavioural consequence. Synaptic change is measured; avoidance is not.</w:t>
      </w:r>
    </w:p>
    <w:p>
      <w:pPr>
        <w:spacing w:after="0" w:before="0" w:line="480"/>
        <w:ind w:left="720" w:hanging="360"/>
      </w:pPr>
      <w:r>
        <w:rPr>
          <w:rFonts w:ascii="Times New Roman" w:cs="Times New Roman" w:eastAsia="Times New Roman" w:hAnsi="Times New Roman"/>
          <w:sz w:val="24"/>
          <w:szCs w:val="24"/>
        </w:rPr>
        <w:t xml:space="preserve">6. There is no plasticity outside the mushroom body, and no homeostatic regulation of the kind Marder and Goaillard (2006) show to be pervasive.</w:t>
      </w:r>
    </w:p>
    <w:p>
      <w:pPr>
        <w:spacing w:after="0" w:before="0" w:line="480"/>
        <w:ind w:left="720" w:hanging="360"/>
      </w:pPr>
      <w:r>
        <w:rPr>
          <w:rFonts w:ascii="Times New Roman" w:cs="Times New Roman" w:eastAsia="Times New Roman" w:hAnsi="Times New Roman"/>
          <w:sz w:val="24"/>
          <w:szCs w:val="24"/>
        </w:rPr>
        <w:t xml:space="preserve">7. The defensive arousal experiment failed and has not yet been repeated under the corrected design.</w:t>
      </w:r>
    </w:p>
    <w:p>
      <w:pPr>
        <w:spacing w:after="0" w:before="0" w:line="480"/>
        <w:ind w:left="720" w:hanging="360"/>
      </w:pPr>
      <w:r>
        <w:rPr>
          <w:rFonts w:ascii="Times New Roman" w:cs="Times New Roman" w:eastAsia="Times New Roman" w:hAnsi="Times New Roman"/>
          <w:sz w:val="24"/>
          <w:szCs w:val="24"/>
        </w:rPr>
        <w:t xml:space="preserve">8. The animal runs at roughly 0.02 to 0.06 times real time, so experience is heavily compressed relative to a real fly’s history.</w:t>
      </w:r>
    </w:p>
    <w:p>
      <w:pPr>
        <w:spacing w:after="0" w:before="0" w:line="480"/>
        <w:jc w:val="center"/>
      </w:pPr>
      <w:r>
        <w:rPr>
          <w:rFonts w:ascii="Times New Roman" w:cs="Times New Roman" w:eastAsia="Times New Roman" w:hAnsi="Times New Roman"/>
          <w:b/>
          <w:bCs/>
          <w:sz w:val="24"/>
          <w:szCs w:val="24"/>
        </w:rPr>
        <w:t xml:space="preserve">11. Toward Greater Realism</w:t>
      </w:r>
    </w:p>
    <w:p>
      <w:pPr>
        <w:spacing w:after="0" w:before="0" w:line="480"/>
        <w:ind w:firstLine="720"/>
      </w:pPr>
      <w:r>
        <w:rPr>
          <w:rFonts w:ascii="Times New Roman" w:cs="Times New Roman" w:eastAsia="Times New Roman" w:hAnsi="Times New Roman"/>
          <w:sz w:val="24"/>
          <w:szCs w:val="24"/>
        </w:rPr>
        <w:t xml:space="preserve">Five directions, ordered by expected gain per unit effort. Closing the descending gap, since 1,245 descending neurons are simulated but unread and reading the full population as a distributed motor command is the single largest structural gap. Resolving the 1,707 unknown sensory annotations against newer cell typing (Schlegel et al., 2024). Adding interoception, since the enteric and endocrine populations are entirely outside the loop. Implementing injury sensitisation, since Khuong et al. (2019) report persistent hypersensitivity after nerve injury in Drosophila and, with nociception now present, this becomes the first mechanism here resembling a lasting aversive state — which is also the point at which Section 9 becomes harder to answer. And behavioural validation against optomotor response, odour-tracking statistics, grooming sequence structure (Seeds et al., 2014), and courtship song timing.</w:t>
      </w:r>
    </w:p>
    <w:p>
      <w:pPr>
        <w:spacing w:after="0" w:before="0" w:line="480"/>
        <w:jc w:val="center"/>
      </w:pPr>
      <w:r>
        <w:rPr>
          <w:rFonts w:ascii="Times New Roman" w:cs="Times New Roman" w:eastAsia="Times New Roman" w:hAnsi="Times New Roman"/>
          <w:b/>
          <w:bCs/>
          <w:sz w:val="24"/>
          <w:szCs w:val="24"/>
        </w:rPr>
        <w:t xml:space="preserve">12. Conclusion</w:t>
      </w:r>
    </w:p>
    <w:p>
      <w:pPr>
        <w:spacing w:after="0" w:before="0" w:line="480"/>
        <w:ind w:firstLine="720"/>
      </w:pPr>
      <w:r>
        <w:rPr>
          <w:rFonts w:ascii="Times New Roman" w:cs="Times New Roman" w:eastAsia="Times New Roman" w:hAnsi="Times New Roman"/>
          <w:sz w:val="24"/>
          <w:szCs w:val="24"/>
        </w:rPr>
        <w:t xml:space="preserve">A complete insect connectome can be embedded in a physically simulated body and run in a closed sensorimotor loop on consumer hardware, with every sensory and motor signal terminating on identified neurons. Coverage is substantially complete on the sensory side and markedly incomplete on the output side.</w:t>
      </w:r>
    </w:p>
    <w:p>
      <w:pPr>
        <w:spacing w:after="0" w:before="0" w:line="480"/>
        <w:ind w:firstLine="720"/>
      </w:pPr>
      <w:r>
        <w:rPr>
          <w:rFonts w:ascii="Times New Roman" w:cs="Times New Roman" w:eastAsia="Times New Roman" w:hAnsi="Times New Roman"/>
          <w:sz w:val="24"/>
          <w:szCs w:val="24"/>
        </w:rPr>
        <w:t xml:space="preserve">The central result is negative in origin and positive in outcome. Associative learning was blocked not by a misconfigured parameter but by an absent afferent population — invisible from inside the simulation, and diagnosable only by asking the graph a question it could answer directly. Two parameter-level explanations were tested and rejected first, one of which actively reproduced the pathology it was intended to cure and was caught only by an unpunished control. The same underlying fact, that a central volume holds the terminals of the sensory periphery and not its cell bodies, explains both the missing teaching signal and the missing soma coordinates.</w:t>
      </w:r>
    </w:p>
    <w:p>
      <w:pPr>
        <w:spacing w:after="0" w:before="0" w:line="480"/>
        <w:ind w:firstLine="720"/>
      </w:pPr>
      <w:r>
        <w:rPr>
          <w:rFonts w:ascii="Times New Roman" w:cs="Times New Roman" w:eastAsia="Times New Roman" w:hAnsi="Times New Roman"/>
          <w:sz w:val="24"/>
          <w:szCs w:val="24"/>
        </w:rPr>
        <w:t xml:space="preserve">The recurring methodological lesson is uniform across every section: </w:t>
      </w:r>
      <w:r>
        <w:rPr>
          <w:rFonts w:ascii="Times New Roman" w:cs="Times New Roman" w:eastAsia="Times New Roman" w:hAnsi="Times New Roman"/>
          <w:i/>
          <w:iCs/>
          <w:sz w:val="24"/>
          <w:szCs w:val="24"/>
        </w:rPr>
        <w:t xml:space="preserve">the control is the experiment</w:t>
      </w:r>
      <w:r>
        <w:rPr>
          <w:rFonts w:ascii="Times New Roman" w:cs="Times New Roman" w:eastAsia="Times New Roman" w:hAnsi="Times New Roman"/>
          <w:sz w:val="24"/>
          <w:szCs w:val="24"/>
        </w:rPr>
        <w:t xml:space="preserve">. The lowered threshold looked like learning until the unpunished condition was run. The arousal result looked like defensive arousal until the zero-pass condition was run. The obstacle cost looked like an artefact until the comparison was made across page loads. In a system with this many interacting timescales, a result without its own control is not a weak result; it is not a result.</w:t>
      </w:r>
    </w:p>
    <w:p>
      <w:pPr>
        <w:spacing w:after="0" w:before="0" w:line="480"/>
        <w:ind w:firstLine="720"/>
      </w:pPr>
      <w:r>
        <w:rPr>
          <w:rFonts w:ascii="Times New Roman" w:cs="Times New Roman" w:eastAsia="Times New Roman" w:hAnsi="Times New Roman"/>
          <w:sz w:val="24"/>
          <w:szCs w:val="24"/>
        </w:rPr>
        <w:t xml:space="preserve">The same discipline answers Section 9. An artefact described in terms of what was measured, with its assumptions stated and its failures reported, cannot mislead about its own inner life — which is, for now, the only ethical obligation this work clearly incurs.</w:t>
      </w:r>
    </w:p>
    <w:p>
      <w:r>
        <w:br w:type="page"/>
      </w:r>
    </w:p>
    <w:p>
      <w:pPr>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Anderson, D. J., &amp; Adolphs, R. (2014). A framework for studying emotions across species. Cell, 157(1), 187–200.</w:t>
      </w:r>
    </w:p>
    <w:p>
      <w:pPr>
        <w:spacing w:after="0" w:before="0" w:line="480"/>
        <w:ind w:left="720" w:hanging="720"/>
      </w:pPr>
      <w:r>
        <w:rPr>
          <w:rFonts w:ascii="Times New Roman" w:cs="Times New Roman" w:eastAsia="Times New Roman" w:hAnsi="Times New Roman"/>
          <w:sz w:val="24"/>
          <w:szCs w:val="24"/>
        </w:rPr>
        <w:t xml:space="preserve">Aso, Y., Hattori, D., Yu, Y., Johnston, R. M., Iyer, N. A., Ngo, T.-T. B., Dionne, H., Abbott, L. F., Axel, R., Tanimoto, H., &amp; Rubin, G. M. (2014). The neuronal architecture of the mushroom body provides a logic for associative learning. eLife, 3, e04577.</w:t>
      </w:r>
    </w:p>
    <w:p>
      <w:pPr>
        <w:spacing w:after="0" w:before="0" w:line="480"/>
        <w:ind w:left="720" w:hanging="720"/>
      </w:pPr>
      <w:r>
        <w:rPr>
          <w:rFonts w:ascii="Times New Roman" w:cs="Times New Roman" w:eastAsia="Times New Roman" w:hAnsi="Times New Roman"/>
          <w:sz w:val="24"/>
          <w:szCs w:val="24"/>
        </w:rPr>
        <w:t xml:space="preserve">Bargmann, C. I., &amp; Marder, E. (2013). From the connectome to brain function. Nature Methods, 10(6), 483–490.</w:t>
      </w:r>
    </w:p>
    <w:p>
      <w:pPr>
        <w:spacing w:after="0" w:before="0" w:line="480"/>
        <w:ind w:left="720" w:hanging="720"/>
      </w:pPr>
      <w:r>
        <w:rPr>
          <w:rFonts w:ascii="Times New Roman" w:cs="Times New Roman" w:eastAsia="Times New Roman" w:hAnsi="Times New Roman"/>
          <w:sz w:val="24"/>
          <w:szCs w:val="24"/>
        </w:rPr>
        <w:t xml:space="preserve">Birch, J. (2017). Animal sentience and the precautionary principle. Animal Sentience, 2(16), 1.</w:t>
      </w:r>
    </w:p>
    <w:p>
      <w:pPr>
        <w:spacing w:after="0" w:before="0" w:line="480"/>
        <w:ind w:left="720" w:hanging="720"/>
      </w:pPr>
      <w:r>
        <w:rPr>
          <w:rFonts w:ascii="Times New Roman" w:cs="Times New Roman" w:eastAsia="Times New Roman" w:hAnsi="Times New Roman"/>
          <w:sz w:val="24"/>
          <w:szCs w:val="24"/>
        </w:rPr>
        <w:t xml:space="preserve">Birch, J., Burn, C., Schnell, A., Browning, H., &amp; Crump, A. (2021). Review of the evidence of sentience in cephalopod molluscs and decapod crustaceans. London School of Economics and Political Science.</w:t>
      </w:r>
    </w:p>
    <w:p>
      <w:pPr>
        <w:spacing w:after="0" w:before="0" w:line="480"/>
        <w:ind w:left="720" w:hanging="720"/>
      </w:pPr>
      <w:r>
        <w:rPr>
          <w:rFonts w:ascii="Times New Roman" w:cs="Times New Roman" w:eastAsia="Times New Roman" w:hAnsi="Times New Roman"/>
          <w:sz w:val="24"/>
          <w:szCs w:val="24"/>
        </w:rPr>
        <w:t xml:space="preserve">Cande, J., Namiki, S., Qiu, J., Korff, W., Card, G. M., Shaevitz, J. W., Stern, D. L., &amp; Berman, G. J. (2018). Optogenetic dissection of descending behavioral control in Drosophila. eLife, 7, e34275.</w:t>
      </w:r>
    </w:p>
    <w:p>
      <w:pPr>
        <w:spacing w:after="0" w:before="0" w:line="480"/>
        <w:ind w:left="720" w:hanging="720"/>
      </w:pPr>
      <w:r>
        <w:rPr>
          <w:rFonts w:ascii="Times New Roman" w:cs="Times New Roman" w:eastAsia="Times New Roman" w:hAnsi="Times New Roman"/>
          <w:sz w:val="24"/>
          <w:szCs w:val="24"/>
        </w:rPr>
        <w:t xml:space="preserve">Cohn, R., Morantte, I., &amp; Ruta, V. (2015). Coordinated and compartmentalized neuromodulation shapes sensory processing in Drosophila. Cell, 163(7), 1742–1755.</w:t>
      </w:r>
    </w:p>
    <w:p>
      <w:pPr>
        <w:spacing w:after="0" w:before="0" w:line="480"/>
        <w:ind w:left="720" w:hanging="720"/>
      </w:pPr>
      <w:r>
        <w:rPr>
          <w:rFonts w:ascii="Times New Roman" w:cs="Times New Roman" w:eastAsia="Times New Roman" w:hAnsi="Times New Roman"/>
          <w:sz w:val="24"/>
          <w:szCs w:val="24"/>
        </w:rPr>
        <w:t xml:space="preserve">Dorkenwald, S., Matsliah, A., Sterling, A. R., Schlegel, P., Yu, S.-C., McKellar, C. E., Lin, A., Costa, M., Eichler, K., Yin, Y., Silversmith, W., Murthy, M., &amp; Seung, H. S. (2024). Neuronal wiring diagram of an adult brain. Nature, 634, 124–138.</w:t>
      </w:r>
    </w:p>
    <w:p>
      <w:pPr>
        <w:spacing w:after="0" w:before="0" w:line="480"/>
        <w:ind w:left="720" w:hanging="720"/>
      </w:pPr>
      <w:r>
        <w:rPr>
          <w:rFonts w:ascii="Times New Roman" w:cs="Times New Roman" w:eastAsia="Times New Roman" w:hAnsi="Times New Roman"/>
          <w:sz w:val="24"/>
          <w:szCs w:val="24"/>
        </w:rPr>
        <w:t xml:space="preserve">Gallio, M., Ofstad, T. A., Macpherson, L. J., Wang, J. W., &amp; Zuker, C. S. (2011). The coding of temperature in the Drosophila brain. Cell, 144(4), 614–624.</w:t>
      </w:r>
    </w:p>
    <w:p>
      <w:pPr>
        <w:spacing w:after="0" w:before="0" w:line="480"/>
        <w:ind w:left="720" w:hanging="720"/>
      </w:pPr>
      <w:r>
        <w:rPr>
          <w:rFonts w:ascii="Times New Roman" w:cs="Times New Roman" w:eastAsia="Times New Roman" w:hAnsi="Times New Roman"/>
          <w:sz w:val="24"/>
          <w:szCs w:val="24"/>
        </w:rPr>
        <w:t xml:space="preserve">Gibson, W. T., Gonzalez, C. R., Fernandez, C., Ramasamy, L., Tabachnik, T., Du, R. R., Felsen, P. D., Maire, M. R., Perona, P., &amp; Anderson, D. J. (2015). Behavioral responses to a repetitive visual threat stimulus express a persistent state of defensive arousal in Drosophila. Current Biology, 25(11), 1401–1415.</w:t>
      </w:r>
    </w:p>
    <w:p>
      <w:pPr>
        <w:spacing w:after="0" w:before="0" w:line="480"/>
        <w:ind w:left="720" w:hanging="720"/>
      </w:pPr>
      <w:r>
        <w:rPr>
          <w:rFonts w:ascii="Times New Roman" w:cs="Times New Roman" w:eastAsia="Times New Roman" w:hAnsi="Times New Roman"/>
          <w:sz w:val="24"/>
          <w:szCs w:val="24"/>
        </w:rPr>
        <w:t xml:space="preserve">Hige, T., Aso, Y., Modi, M. N., Rubin, G. M., &amp; Turner, G. C. (2015). Heterosynaptic plasticity underlies aversive olfactory learning in Drosophila. Neuron, 88(5), 985–998.</w:t>
      </w:r>
    </w:p>
    <w:p>
      <w:pPr>
        <w:spacing w:after="0" w:before="0" w:line="480"/>
        <w:ind w:left="720" w:hanging="720"/>
      </w:pPr>
      <w:r>
        <w:rPr>
          <w:rFonts w:ascii="Times New Roman" w:cs="Times New Roman" w:eastAsia="Times New Roman" w:hAnsi="Times New Roman"/>
          <w:sz w:val="24"/>
          <w:szCs w:val="24"/>
        </w:rPr>
        <w:t xml:space="preserve">Ito, K., Shinomiya, K., Ito, M., Armstrong, J. D., Boyan, G., Hartenstein, V., Harzsch, S., Heisenberg, M., Homberg, U., Jenett, A., Keshishian, H., Restifo, L. L., Rössler, W., Simpson, J. H., Strausfeld, N. J., Strauss, R., &amp; Vosshall, L. B. (2014). A systematic nomenclature for the insect brain. Neuron, 81(4), 755–765.</w:t>
      </w:r>
    </w:p>
    <w:p>
      <w:pPr>
        <w:spacing w:after="0" w:before="0" w:line="480"/>
        <w:ind w:left="720" w:hanging="720"/>
      </w:pPr>
      <w:r>
        <w:rPr>
          <w:rFonts w:ascii="Times New Roman" w:cs="Times New Roman" w:eastAsia="Times New Roman" w:hAnsi="Times New Roman"/>
          <w:sz w:val="24"/>
          <w:szCs w:val="24"/>
        </w:rPr>
        <w:t xml:space="preserve">Khuong, T. M., Wang, Q.-P., Manion, J., Oyston, L. J., Lau, M.-T., Towler, H., Lin, Y. Q., &amp; Neely, G. G. (2019). Nerve injury drives a heightened state of vigilance and neuropathic sensitization in Drosophila. Science Advances, 5(7), eaaw4099.</w:t>
      </w:r>
    </w:p>
    <w:p>
      <w:pPr>
        <w:spacing w:after="0" w:before="0" w:line="480"/>
        <w:ind w:left="720" w:hanging="720"/>
      </w:pPr>
      <w:r>
        <w:rPr>
          <w:rFonts w:ascii="Times New Roman" w:cs="Times New Roman" w:eastAsia="Times New Roman" w:hAnsi="Times New Roman"/>
          <w:sz w:val="24"/>
          <w:szCs w:val="24"/>
        </w:rPr>
        <w:t xml:space="preserve">Lappalainen, J. K., Tschopp, F. D., Prakhya, S., McGill, M., Nern, A., Shinomiya, K., Takemura, S., Gruntman, E., Macke, J. H., &amp; Turaga, S. C. (2024). Connectome-constrained networks predict neural activity across the fly visual system. Nature, 634, 1132–1140.</w:t>
      </w:r>
    </w:p>
    <w:p>
      <w:pPr>
        <w:spacing w:after="0" w:before="0" w:line="480"/>
        <w:ind w:left="720" w:hanging="720"/>
      </w:pPr>
      <w:r>
        <w:rPr>
          <w:rFonts w:ascii="Times New Roman" w:cs="Times New Roman" w:eastAsia="Times New Roman" w:hAnsi="Times New Roman"/>
          <w:sz w:val="24"/>
          <w:szCs w:val="24"/>
        </w:rPr>
        <w:t xml:space="preserve">Marder, E., &amp; Goaillard, J.-M. (2006). Variability, compensation and homeostasis in neuron and network function. Nature Reviews Neuroscience, 7(7), 563–574.</w:t>
      </w:r>
    </w:p>
    <w:p>
      <w:pPr>
        <w:spacing w:after="0" w:before="0" w:line="480"/>
        <w:ind w:left="720" w:hanging="720"/>
      </w:pPr>
      <w:r>
        <w:rPr>
          <w:rFonts w:ascii="Times New Roman" w:cs="Times New Roman" w:eastAsia="Times New Roman" w:hAnsi="Times New Roman"/>
          <w:sz w:val="24"/>
          <w:szCs w:val="24"/>
        </w:rPr>
        <w:t xml:space="preserve">Modi, M. N., Shuai, Y., &amp; Turner, G. C. (2020). The Drosophila mushroom body: From architecture to algorithm in a learning circuit. Annual Review of Neuroscience, 43, 465–484.</w:t>
      </w:r>
    </w:p>
    <w:p>
      <w:pPr>
        <w:spacing w:after="0" w:before="0" w:line="480"/>
        <w:ind w:left="720" w:hanging="720"/>
      </w:pPr>
      <w:r>
        <w:rPr>
          <w:rFonts w:ascii="Times New Roman" w:cs="Times New Roman" w:eastAsia="Times New Roman" w:hAnsi="Times New Roman"/>
          <w:sz w:val="24"/>
          <w:szCs w:val="24"/>
        </w:rPr>
        <w:t xml:space="preserve">Scheffer, L. K., Xu, C. S., Januszewski, M., Lu, Z., Takemura, S., Hayworth, K. J., Huang, G. B., Shinomiya, K., Maitlin-Shepard, J., Berg, S., Hess, H. F., &amp; Plaza, S. M. (2020). A connectome and analysis of the adult Drosophila central brain. eLife, 9, e57443.</w:t>
      </w:r>
    </w:p>
    <w:p>
      <w:pPr>
        <w:spacing w:after="0" w:before="0" w:line="480"/>
        <w:ind w:left="720" w:hanging="720"/>
      </w:pPr>
      <w:r>
        <w:rPr>
          <w:rFonts w:ascii="Times New Roman" w:cs="Times New Roman" w:eastAsia="Times New Roman" w:hAnsi="Times New Roman"/>
          <w:sz w:val="24"/>
          <w:szCs w:val="24"/>
        </w:rPr>
        <w:t xml:space="preserve">Schlegel, P., Yin, Y., Bates, A. S., Dorkenwald, S., Eichler, K., Brooks, P., Han, D. S., Gkantia, M., dos Santos, M., Munnelly, E. J., Murthy, M., &amp; Jefferis, G. S. X. E. (2024). Whole-brain annotation and multi-connectome cell typing of Drosophila. Nature, 634, 139–152.</w:t>
      </w:r>
    </w:p>
    <w:p>
      <w:pPr>
        <w:spacing w:after="0" w:before="0" w:line="480"/>
        <w:ind w:left="720" w:hanging="720"/>
      </w:pPr>
      <w:r>
        <w:rPr>
          <w:rFonts w:ascii="Times New Roman" w:cs="Times New Roman" w:eastAsia="Times New Roman" w:hAnsi="Times New Roman"/>
          <w:sz w:val="24"/>
          <w:szCs w:val="24"/>
        </w:rPr>
        <w:t xml:space="preserve">Seeds, A. M., Ravbar, P., Chung, P., Hampel, S., Midgley, F. M., Mensh, B. D., &amp; Simpson, J. H. (2014). A suppression hierarchy among competing motor programs drives sequential grooming in Drosophila. eLife, 3, e02951.</w:t>
      </w:r>
    </w:p>
    <w:p>
      <w:pPr>
        <w:spacing w:after="0" w:before="0" w:line="480"/>
        <w:ind w:left="720" w:hanging="720"/>
      </w:pPr>
      <w:r>
        <w:rPr>
          <w:rFonts w:ascii="Times New Roman" w:cs="Times New Roman" w:eastAsia="Times New Roman" w:hAnsi="Times New Roman"/>
          <w:sz w:val="24"/>
          <w:szCs w:val="24"/>
        </w:rPr>
        <w:t xml:space="preserve">Shiu, P. K., Sterne, G. R., Spiller, N., Franconville, R., Sandoval, A., Zhou, J., Simha, N., Kang, C. H., Yu, S., Kim, J. S., Dorkenwald, S., &amp; Scott, K. (2024). A leaky integrate-and-fire computational model based on the connectome of the entire adult Drosophila brain reveals insights into sensorimotor processing. Nature, 634, 210–219.</w:t>
      </w:r>
    </w:p>
    <w:p>
      <w:pPr>
        <w:spacing w:after="0" w:before="0" w:line="480"/>
        <w:ind w:left="720" w:hanging="720"/>
      </w:pPr>
      <w:r>
        <w:rPr>
          <w:rFonts w:ascii="Times New Roman" w:cs="Times New Roman" w:eastAsia="Times New Roman" w:hAnsi="Times New Roman"/>
          <w:sz w:val="24"/>
          <w:szCs w:val="24"/>
        </w:rPr>
        <w:t xml:space="preserve">Todorov, E., Erez, T., &amp; Tassa, Y. (2012). MuJoCo: A physics engine for model-based control. In 2012 IEEE/RSJ International Conference on Intelligent Robots and Systems (pp. 5026–5033). IEEE.</w:t>
      </w:r>
    </w:p>
    <w:p>
      <w:pPr>
        <w:spacing w:after="0" w:before="0" w:line="480"/>
        <w:ind w:left="720" w:hanging="720"/>
      </w:pPr>
      <w:r>
        <w:rPr>
          <w:rFonts w:ascii="Times New Roman" w:cs="Times New Roman" w:eastAsia="Times New Roman" w:hAnsi="Times New Roman"/>
          <w:sz w:val="24"/>
          <w:szCs w:val="24"/>
        </w:rPr>
        <w:t xml:space="preserve">Tracey, W. D., Wilson, R. I., Laurent, G., &amp; Benzer, S. (2003). painless, a Drosophila gene essential for nociception. Cell, 113(2), 261–273.</w:t>
      </w:r>
    </w:p>
    <w:p>
      <w:pPr>
        <w:spacing w:after="0" w:before="0" w:line="480"/>
        <w:ind w:left="720" w:hanging="720"/>
      </w:pPr>
      <w:r>
        <w:rPr>
          <w:rFonts w:ascii="Times New Roman" w:cs="Times New Roman" w:eastAsia="Times New Roman" w:hAnsi="Times New Roman"/>
          <w:sz w:val="24"/>
          <w:szCs w:val="24"/>
        </w:rPr>
        <w:t xml:space="preserve">Vaxenburg, R., Siwanowicz, I., Merel, J., Robie, A. A., Morrow, C., Novati, G., Stefanidi, Z., Card, G. M., Reiser, M. B., Botvinick, M. M., Branson, K., Tassa, Y., &amp; Turaga, S. C. (2024). Whole-body physics simulation of fruit fly locomotion. bioRxiv.</w:t>
      </w:r>
    </w:p>
    <w:p>
      <w:pPr>
        <w:spacing w:after="0" w:before="0" w:line="480"/>
        <w:ind w:left="720" w:hanging="720"/>
      </w:pPr>
      <w:r>
        <w:rPr>
          <w:rFonts w:ascii="Times New Roman" w:cs="Times New Roman" w:eastAsia="Times New Roman" w:hAnsi="Times New Roman"/>
          <w:sz w:val="24"/>
          <w:szCs w:val="24"/>
        </w:rPr>
        <w:t xml:space="preserve">von Reyn, C. R., Breads, P., Peek, M. Y., Zheng, G. Z., Williamson, W. R., Yee, A. L., Leonardo, A., &amp; Card, G. M. (2014). A spike-timing mechanism for action selection. Nature Neuroscience, 17(7), 962–970.</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5a00bd0ace5baa64a782940723922fa90f9ae36d.png"/><Relationship Id="rId9" Type="http://schemas.openxmlformats.org/officeDocument/2006/relationships/image" Target="media/b2b6dac21b352451e7172e47ec9609a55ce70e75.png"/><Relationship Id="rId10" Type="http://schemas.openxmlformats.org/officeDocument/2006/relationships/image" Target="media/7d6406fb983a7c9a73af863af5a9f65793bcd127.png"/><Relationship Id="rId11" Type="http://schemas.openxmlformats.org/officeDocument/2006/relationships/image" Target="media/75541446e57201211c18e9184284acb1f2b6bbc7.png"/><Relationship Id="rId12" Type="http://schemas.openxmlformats.org/officeDocument/2006/relationships/image" Target="media/4f6b346a8d2b730a409c491ee4afcd0ed292de3c.png"/><Relationship Id="rId13" Type="http://schemas.openxmlformats.org/officeDocument/2006/relationships/image" Target="media/2053dc41d3e8701586e4fa64667c9193d0187328.png"/><Relationship Id="rId14" Type="http://schemas.openxmlformats.org/officeDocument/2006/relationships/image" Target="media/525362c15d1cd03d00cbb065b652c2e29b53d3cd.png"/><Relationship Id="rId15" Type="http://schemas.openxmlformats.org/officeDocument/2006/relationships/image" Target="media/0a1e2b09725ea2182bbf3fb6be3e39696eaeee13.png"/><Relationship Id="rId16" Type="http://schemas.openxmlformats.org/officeDocument/2006/relationships/image" Target="media/2af3108e19a05ec00c089e5a967359bd9049985d.png"/><Relationship Id="rId17" Type="http://schemas.openxmlformats.org/officeDocument/2006/relationships/image" Target="media/e46b6f4fb8e8cab590ebf69ddd278cb5ebfedfaf.png"/><Relationship Id="rId18" Type="http://schemas.openxmlformats.org/officeDocument/2006/relationships/image" Target="media/fcf6fbf7e89c7ff897619489b0ea1b7236ae42c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2026-09-15T08:30:46.961Z</dcterms:created>
  <dcterms:modified xsi:type="dcterms:W3CDTF">2026-09-15T08:30:46.963Z</dcterms:modified>
</cp:coreProperties>
</file>

<file path=docProps/custom.xml><?xml version="1.0" encoding="utf-8"?>
<Properties xmlns="http://schemas.openxmlformats.org/officeDocument/2006/custom-properties" xmlns:vt="http://schemas.openxmlformats.org/officeDocument/2006/docPropsVTypes"/>
</file>