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A5F"/>
          <w:sz w:val="56"/>
          <w:szCs w:val="56"/>
        </w:rPr>
        <w:t xml:space="preserve">RISK SCORING METHODOLOGY</w:t>
      </w:r>
    </w:p>
    <w:p>
      <w:pPr>
        <w:spacing w:after="1200"/>
        <w:jc w:val="center"/>
      </w:pPr>
      <w:r>
        <w:rPr>
          <w:color w:val="B87333"/>
          <w:sz w:val="36"/>
          <w:szCs w:val="36"/>
        </w:rPr>
        <w:t xml:space="preserve">Handbook v2</w:t>
      </w:r>
    </w:p>
    <w:p>
      <w:pPr>
        <w:spacing w:after="800"/>
        <w:ind w:left="720" w:right="720"/>
        <w:jc w:val="center"/>
      </w:pPr>
      <w:r>
        <w:rPr>
          <w:i/>
          <w:iCs/>
          <w:sz w:val="24"/>
          <w:szCs w:val="24"/>
        </w:rPr>
        <w:t xml:space="preserve">How the Automotive Data Solutions platform scores supply-chain risk for critical minerals in the EV battery industry. The complete reference for what contributes, how it's weighted, and where partner judgment is needed.</w:t>
      </w:r>
    </w:p>
    <w:p>
      <w:pPr>
        <w:spacing w:after="80"/>
        <w:jc w:val="center"/>
      </w:pPr>
      <w:r>
        <w:rPr>
          <w:i/>
          <w:iCs/>
        </w:rPr>
        <w:t xml:space="preserve">Prepared for partner review</w:t>
      </w:r>
    </w:p>
    <w:p>
      <w:pPr>
        <w:spacing w:after="800"/>
        <w:jc w:val="center"/>
      </w:pPr>
      <w:r>
        <w:t xml:space="preserve">Document version 2.0  |  May 17, 2026</w:t>
      </w:r>
    </w:p>
    <w:p>
      <w:r>
        <w:br w:type="page"/>
      </w:r>
    </w:p>
    <w:p>
      <w:pPr>
        <w:pStyle w:val="Heading1"/>
        <w:spacing w:after="240" w:before="400"/>
      </w:pPr>
      <w:r>
        <w:t xml:space="preserve">Part 1 — How to Read This Handbook</w:t>
      </w:r>
    </w:p>
    <w:p>
      <w:pPr>
        <w:spacing w:after="120"/>
      </w:pPr>
      <w:r/>
      <w:r/>
    </w:p>
    <w:p>
      <w:pPr>
        <w:spacing w:after="120"/>
      </w:pPr>
      <w:r/>
      <w:r/>
    </w:p>
    <w:p>
      <w:pPr>
        <w:spacing w:after="120"/>
      </w:pPr>
      <w:r/>
      <w:r/>
    </w:p>
    <w:p>
      <w:pPr>
        <w:pStyle w:val="ListParagraph"/>
        <w:numPr>
          <w:ilvl w:val="0"/>
          <w:numId w:val="2"/>
        </w:numPr>
        <w:spacing w:after="80"/>
      </w:pPr>
      <w:r>
        <w:t xml:space="preserve">A higher-level conceptual model of how the engine thinks about risk</w:t>
      </w:r>
    </w:p>
    <w:p>
      <w:pPr>
        <w:pStyle w:val="ListParagraph"/>
        <w:numPr>
          <w:ilvl w:val="0"/>
          <w:numId w:val="2"/>
        </w:numPr>
        <w:spacing w:after="80"/>
      </w:pPr>
      <w:r>
        <w:t xml:space="preserve">All cross-cutting mechanics that affect every event — severity, confidence, relevance, recency decay, attribution paths</w:t>
      </w:r>
    </w:p>
    <w:p>
      <w:pPr>
        <w:pStyle w:val="ListParagraph"/>
        <w:numPr>
          <w:ilvl w:val="0"/>
          <w:numId w:val="2"/>
        </w:numPr>
        <w:spacing w:after="80"/>
      </w:pPr>
      <w:r>
        <w:t xml:space="preserve">Deep coverage of the regulations category (EUR-Lex parser, the six currently-tracked EU regulations, severity calibration, scope-type mechanisms, conditional intersection logic)</w:t>
      </w:r>
    </w:p>
    <w:p>
      <w:pPr>
        <w:pStyle w:val="ListParagraph"/>
        <w:numPr>
          <w:ilvl w:val="0"/>
          <w:numId w:val="2"/>
        </w:numPr>
        <w:spacing w:after="80"/>
      </w:pPr>
      <w:r>
        <w:t xml:space="preserve">Placeholder sections for other event categories not yet covered in depth (production data, trade volumes, prices, company filings, criticality signals) — these will be added in future versions of this document</w:t>
      </w:r>
    </w:p>
    <w:p>
      <w:pPr>
        <w:pStyle w:val="ListParagraph"/>
        <w:numPr>
          <w:ilvl w:val="0"/>
          <w:numId w:val="2"/>
        </w:numPr>
        <w:spacing w:after="80"/>
      </w:pPr>
      <w:r>
        <w:t xml:space="preserve">Expanded gaps section calling out architectural follow-ups, calibration questions, and pending decisions</w:t>
      </w:r>
    </w:p>
    <w:p>
      <w:pPr>
        <w:spacing w:after="120"/>
      </w:pPr>
      <w:r/>
      <w:r/>
      <w:r/>
      <w:r/>
      <w:r/>
      <w:r/>
      <w:r/>
    </w:p>
    <w:p>
      <w:pPr>
        <w:spacing w:after="120"/>
      </w:pPr>
      <w:r/>
      <w:r/>
    </w:p>
    <w:p>
      <w:pPr>
        <w:spacing w:after="120"/>
      </w:pPr>
      <w:r/>
      <w:r/>
    </w:p>
    <w:p>
      <w:r>
        <w:br w:type="page"/>
      </w:r>
    </w:p>
    <w:p>
      <w:pPr>
        <w:pStyle w:val="Heading1"/>
        <w:spacing w:after="240" w:before="400"/>
      </w:pPr>
      <w:r>
        <w:t xml:space="preserve">Part 2 — How the Engine Thinks About Risk</w:t>
      </w:r>
    </w:p>
    <w:p>
      <w:pPr>
        <w:pStyle w:val="Heading2"/>
        <w:spacing w:after="160" w:before="300"/>
      </w:pPr>
      <w:r>
        <w:t xml:space="preserve">The conceptual model</w:t>
      </w:r>
    </w:p>
    <w:p>
      <w:pPr>
        <w:spacing w:after="120"/>
      </w:pPr>
      <w:r>
        <w:t xml:space="preserve">The Automotive Data Solutions platform produces three different kinds of risk score, increasing in specificity: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c>
          <w:tcPr>
            <w:tcW w:type="dxa" w:w="22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Score type</w:t>
            </w:r>
          </w:p>
        </w:tc>
        <w:tc>
          <w:tcPr>
            <w:tcW w:type="dxa" w:w="27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Granularity</w:t>
            </w:r>
          </w:p>
        </w:tc>
        <w:tc>
          <w:tcPr>
            <w:tcW w:type="dxa" w:w="44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Use case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Global material score</w:t>
            </w:r>
          </w:p>
        </w:tc>
        <w:tc>
          <w:tcPr>
            <w:tcW w:type="dxa" w:w="2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One number per material</w:t>
            </w:r>
          </w:p>
        </w:tc>
        <w:tc>
          <w:tcPr>
            <w:tcW w:type="dxa" w:w="4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"How risky is cobalt globally right now?" Used for market-trend dashboards, executive summaries, sector-level reports.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Material × geography score</w:t>
            </w:r>
          </w:p>
        </w:tc>
        <w:tc>
          <w:tcPr>
            <w:tcW w:type="dxa" w:w="2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One number per (material, country) pair</w:t>
            </w:r>
          </w:p>
        </w:tc>
        <w:tc>
          <w:tcPr>
            <w:tcW w:type="dxa" w:w="4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"How risky is the DRC cobalt value chain compared to Australia's?" Used for sourcing-decision support, geographic exposure analysis.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Company supplier score</w:t>
            </w:r>
          </w:p>
        </w:tc>
        <w:tc>
          <w:tcPr>
            <w:tcW w:type="dxa" w:w="2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One number per company</w:t>
            </w:r>
          </w:p>
        </w:tc>
        <w:tc>
          <w:tcPr>
            <w:tcW w:type="dxa" w:w="4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"How risky is this specific supplier given their chemistry, geography, and known exposure?" Used for procurement decisions, customer-specific risk dashboards. Requires customer's supplier graph as input (Phase 5).</w:t>
            </w:r>
          </w:p>
        </w:tc>
      </w:tr>
    </w:tbl>
    <w:p>
      <w:pPr>
        <w:spacing w:after="120"/>
      </w:pPr>
      <w:r>
        <w:t xml:space="preserve"/>
      </w:r>
    </w:p>
    <w:p>
      <w:pPr>
        <w:spacing w:after="120"/>
      </w:pPr>
      <w:r/>
    </w:p>
    <w:p>
      <w:pPr>
        <w:pStyle w:val="Heading2"/>
        <w:spacing w:after="160" w:before="300"/>
      </w:pPr>
      <w:r>
        <w:t xml:space="preserve">Two fundamentally different inputs</w:t>
      </w:r>
    </w:p>
    <w:p>
      <w:pPr>
        <w:spacing w:after="120"/>
      </w:pPr>
      <w:r>
        <w:t xml:space="preserve">Risk scoring is a mix of two distinct kinds of data, and the engine treats them differently because they behave differently:</w:t>
      </w:r>
    </w:p>
    <w:p>
      <w:pPr>
        <w:pStyle w:val="ListParagraph"/>
        <w:numPr>
          <w:ilvl w:val="0"/>
          <w:numId w:val="2"/>
        </w:numPr>
        <w:spacing w:after="80"/>
      </w:pPr>
      <w:r>
        <w:rPr>
          <w:b/>
          <w:bCs/>
        </w:rPr>
        <w:t xml:space="preserve">Structural data </w:t>
      </w:r>
      <w:r>
        <w:t xml:space="preserve">— slow-moving facts about the supply chain itself. Which countries produce how much of each mineral, which companies own which facilities, what battery chemistries depend on which materials, what trade volumes flow between which countries. Comes from sources like USGS Mineral Commodity Summaries, USGS facility data, UN Comtrade trade flows, and World Bank Pink Sheet prices. Updates in months or years. Forms the BASELINE risk against which events are measured.</w:t>
      </w:r>
    </w:p>
    <w:p>
      <w:pPr>
        <w:pStyle w:val="ListParagraph"/>
        <w:numPr>
          <w:ilvl w:val="0"/>
          <w:numId w:val="2"/>
        </w:numPr>
        <w:spacing w:after="80"/>
      </w:pPr>
      <w:r>
        <w:rPr>
          <w:b/>
          <w:bCs/>
        </w:rPr>
        <w:t xml:space="preserve">Event-driven signals </w:t>
      </w:r>
      <w:r>
        <w:t xml:space="preserve">— discrete actions and announcements that change the risk picture quickly. Indonesia bans cobalt exports overnight. OFAC adds a Chinese refiner to its sanctions list. The EU enacts a new battery regulation. A force majeure at a major mine. Comes from Global Trade Alert, the IEA Policy Tracker, the US Federal Register, OpenSanctions, EUR-Lex, and SEC EDGAR filings. Can change a score within 24 hours.</w:t>
      </w:r>
    </w:p>
    <w:p>
      <w:pPr>
        <w:spacing w:after="120"/>
      </w:pPr>
      <w:r>
        <w:t xml:space="preserve">Event-driven signals are where most of the engine's complexity lives — and where most of your domain judgment matters. Structural data is mostly automated extraction from public datasets; event data requires per-source parsing, attribution, severity scoring, and recency decay.</w:t>
      </w:r>
    </w:p>
    <w:p>
      <w:pPr>
        <w:pStyle w:val="Heading2"/>
        <w:spacing w:after="160" w:before="300"/>
      </w:pPr>
      <w:r>
        <w:t xml:space="preserve">The six scoring pillars</w:t>
      </w:r>
    </w:p>
    <w:p>
      <w:pPr>
        <w:spacing w:after="120"/>
      </w:pPr>
      <w:r>
        <w:t xml:space="preserve">Every material's risk score is a weighted combination of six pillars. Each pillar captures a distinct dimension of supply-chain risk. The current weights for a company-level score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5860"/>
      </w:tblGrid>
      <w:tr>
        <w:tc>
          <w:tcPr>
            <w:tcW w:type="dxa" w:w="24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Pillar</w:t>
            </w:r>
          </w:p>
        </w:tc>
        <w:tc>
          <w:tcPr>
            <w:tcW w:type="dxa" w:w="11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Weight</w:t>
            </w:r>
          </w:p>
        </w:tc>
        <w:tc>
          <w:tcPr>
            <w:tcW w:type="dxa" w:w="58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What it measures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Material Concentration</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25%</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Inherent criticality of the materials a company uses (is it cobalt-heavy NMC or iron-based LFP?); geographic and supplier concentration of that supply (80% from one country?); and price/flow volatility on those materials.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Geopolitical / Trade</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20%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Share of supply chain in high-concentration countries; exposure to export restrictions and tariffs; production-subsidy distortion (Chinese REE state aid, etc.).</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Regulatory &amp; Compliance</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20%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Active hard legal obligations (UFLPA, EU Battery Reg, CRMA, IRA Domestic Content), weighted by the company's compliance status; plus recent regulatory event impact.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Supply Chain Propagation</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15%</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Risk inherited from suppliers and their suppliers (tier-1 and tier-2). Volume-weighted average of supplier risk scores, with tier-2 weighted at 40% of tier-1.</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Operational</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Structural dependency on single-source or capacity-constrained inputs; plus recent operational disruption events (facility shutdowns, accidents, force majeure).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Financial Pressure</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Signals from SEC filings: keyword/sentiment base score, plus bonuses for leverage warnings / covenant stress, and for going-concern / cash-runway / capex-cut language.</w:t>
            </w:r>
          </w:p>
        </w:tc>
      </w:tr>
    </w:tbl>
    <w:p>
      <w:pPr>
        <w:spacing w:after="120"/>
      </w:pPr>
      <w:r>
        <w:t xml:space="preserve"/>
      </w:r>
    </w:p>
    <w:p>
      <w:pPr>
        <w:spacing w:after="120"/>
      </w:pPr>
      <w:r/>
      <w:r/>
    </w:p>
    <w:p>
      <w:pPr>
        <w:pBdr>
          <w:left w:val="single" w:color="B87333" w:sz="18" w:space="12"/>
        </w:pBdr>
        <w:shd w:fill="FFF8E7" w:color="auto" w:val="clear"/>
        <w:spacing w:after="160" w:before="100"/>
        <w:ind w:left="240"/>
      </w:pPr>
      <w:r>
        <w:rPr>
          <w:b/>
          <w:bCs/>
          <w:color w:val="B87333"/>
        </w:rPr>
        <w:t xml:space="preserve">PARTNER INPUT REQUESTED:  </w:t>
      </w:r>
      <w:r>
        <w:rPr>
          <w:i/>
          <w:iCs/>
        </w:rPr>
        <w:t xml:space="preserve">Pillar weights are the most consequential single calibration in the engine. A company in Chinese-cobalt-heavy NMC will score very differently under (Material 25%, Geopolitical 20%) than under (Material 20%, Geopolitical 30%). Are the current weights right for your customer base? Specifically: should Geopolitical/Trade carry more weight given the current trade environment? Should Material's 25% (the largest pillar) be even larger given supply concentration is the fundamental driver?</w:t>
      </w:r>
    </w:p>
    <w:p>
      <w:pPr>
        <w:pStyle w:val="Heading2"/>
        <w:spacing w:after="160" w:before="300"/>
      </w:pPr>
      <w:r>
        <w:t xml:space="preserve">The life of a single event — concrete walkthrough</w:t>
      </w:r>
    </w:p>
    <w:p>
      <w:pPr>
        <w:spacing w:after="120"/>
      </w:pPr>
      <w:r>
        <w:t xml:space="preserve">To make all of this concrete, here's what actually happens when (for example) the EU formally adopts a new amendment to the Battery Regulation:</w:t>
      </w:r>
    </w:p>
    <w:p>
      <w:pPr>
        <w:pStyle w:val="ListParagraph"/>
        <w:numPr>
          <w:ilvl w:val="0"/>
          <w:numId w:val="3"/>
        </w:numPr>
        <w:spacing w:after="80"/>
      </w:pPr>
      <w:r>
        <w:rPr>
          <w:b/>
          <w:bCs/>
        </w:rPr>
        <w:t xml:space="preserve">Ingestion. </w:t>
      </w:r>
      <w:r>
        <w:t xml:space="preserve">Our EUR-Lex parser runs on its quarterly schedule. It pulls the regulation's introductory text from EUR-Lex's HTML page (the first ~2500 characters — about 400 words of preamble plus the first 1-3 operative articles), and pulls the structured legal-status metadata (Date of effect, Date of end of validity, etc.) from the bibliographic notice page.</w:t>
      </w:r>
    </w:p>
    <w:p>
      <w:pPr>
        <w:pStyle w:val="ListParagraph"/>
        <w:numPr>
          <w:ilvl w:val="0"/>
          <w:numId w:val="3"/>
        </w:numPr>
        <w:spacing w:after="80"/>
      </w:pPr>
      <w:r>
        <w:rPr>
          <w:b/>
          <w:bCs/>
        </w:rPr>
        <w:t xml:space="preserve">Validation. </w:t>
      </w:r>
      <w:r>
        <w:t xml:space="preserve">The parser checks whether this regulation already exists in our pre-curated regulation database. EUR-Lex ingestion is "attachment-based" — we don't auto-discover new regulations from EUR-Lex; we only refresh signals for regulations partner has explicitly seeded. If the regulation isn't seeded, a warning logs and the run skips this CELEX number.</w:t>
      </w:r>
    </w:p>
    <w:p>
      <w:pPr>
        <w:pStyle w:val="ListParagraph"/>
        <w:numPr>
          <w:ilvl w:val="0"/>
          <w:numId w:val="3"/>
        </w:numPr>
        <w:spacing w:after="80"/>
      </w:pPr>
      <w:r>
        <w:rPr>
          <w:b/>
          <w:bCs/>
        </w:rPr>
        <w:t xml:space="preserve">Status detection. </w:t>
      </w:r>
      <w:r>
        <w:t xml:space="preserve">If EUR-Lex's bibliographic notice shows a status (effective, enacted, superseded) different from what our seed file currently has, the parser writes a `status_review_pending` flag to the regulation's metadata. The parser does NOT auto-mutate the status — partner reviews the change first via the `list-regulation-status-changes` CLI.</w:t>
      </w:r>
    </w:p>
    <w:p>
      <w:pPr>
        <w:pStyle w:val="ListParagraph"/>
        <w:numPr>
          <w:ilvl w:val="0"/>
          <w:numId w:val="3"/>
        </w:numPr>
        <w:spacing w:after="80"/>
      </w:pPr>
      <w:r>
        <w:rPr>
          <w:b/>
          <w:bCs/>
        </w:rPr>
        <w:t xml:space="preserve">Severity assignment. </w:t>
      </w:r>
      <w:r>
        <w:t xml:space="preserve">Severity comes from a regulation's lifecycle status: effective=0.70, enacted=0.40, proposed=0.15, superseded=0.00. A specific regulation can override this with partner-curated values (e.g., UFLPA could carry severity 0.85 for effective status to reflect the customs-seizure consequence). Confidence is hardcoded at 0.9 across all regulation events — high but not maximum, because our interpretation of the regulation's scope (material list, geography targets) is partner-curated and could be wrong.</w:t>
      </w:r>
    </w:p>
    <w:p>
      <w:pPr>
        <w:pStyle w:val="ListParagraph"/>
        <w:numPr>
          <w:ilvl w:val="0"/>
          <w:numId w:val="3"/>
        </w:numPr>
        <w:spacing w:after="80"/>
      </w:pPr>
      <w:r>
        <w:rPr>
          <w:b/>
          <w:bCs/>
        </w:rPr>
        <w:t xml:space="preserve">Material attribution. </w:t>
      </w:r>
      <w:r>
        <w:t xml:space="preserve">The parser reads the regulation's pre-curated material scopes from the seed file. Each material gets one RiskEventMaterial junction row with the scope_type recorded (banned / restricted / strategic_raw_material / covered / disclosure_required). The scope_type drives a severity multiplier later at scoring time — banned multiplies severity by 1.50, disclosure_required by 0.50.</w:t>
      </w:r>
    </w:p>
    <w:p>
      <w:pPr>
        <w:pStyle w:val="ListParagraph"/>
        <w:numPr>
          <w:ilvl w:val="0"/>
          <w:numId w:val="3"/>
        </w:numPr>
        <w:spacing w:after="80"/>
      </w:pPr>
      <w:r>
        <w:rPr>
          <w:b/>
          <w:bCs/>
        </w:rPr>
        <w:t xml:space="preserve">Geography attribution. </w:t>
      </w:r>
      <w:r>
        <w:t xml:space="preserve">The parser reads the regulation's geography scopes. Each country gets one RiskEventGeography junction row with role context: implementer (the regulating authority), origin_country (regulated source countries), or targeted_country (explicit targets like UFLPA → CN-Xinjiang).</w:t>
      </w:r>
    </w:p>
    <w:p>
      <w:pPr>
        <w:pStyle w:val="ListParagraph"/>
        <w:numPr>
          <w:ilvl w:val="0"/>
          <w:numId w:val="3"/>
        </w:numPr>
        <w:spacing w:after="80"/>
      </w:pPr>
      <w:r>
        <w:rPr>
          <w:b/>
          <w:bCs/>
        </w:rPr>
        <w:t xml:space="preserve">Per-company conditional gating. </w:t>
      </w:r>
      <w:r>
        <w:t xml:space="preserve">When scoring a specific company against this regulation, the engine checks whether the company's source geographies overlap with the regulation's targeted_country scopes. If the regulation has targeted countries AND the company has no exposure to them, the event's impact downweights by 0.30× (still present, because there's residual exposure through tier-2 sourcing, but not full-bite). If the company DOES have exposure to a targeted country, full weight applies.</w:t>
      </w:r>
    </w:p>
    <w:p>
      <w:pPr>
        <w:pStyle w:val="ListParagraph"/>
        <w:numPr>
          <w:ilvl w:val="0"/>
          <w:numId w:val="3"/>
        </w:numPr>
        <w:spacing w:after="80"/>
      </w:pPr>
      <w:r>
        <w:rPr>
          <w:b/>
          <w:bCs/>
        </w:rPr>
        <w:t xml:space="preserve">Pillar contribution. </w:t>
      </w:r>
      <w:r>
        <w:t xml:space="preserve">The fully-attributed event flows into the Regulatory pillar's event_score (max contribution 60 out of 100), which is averaged with the company's obligation_uplift (max 40) for the final Regulatory pillar score. Both paths get combined with the other five pillars at the 25/20/20/15/10/10 weights for the final company risk score.</w:t>
      </w:r>
    </w:p>
    <w:p>
      <w:pPr>
        <w:spacing w:after="120"/>
      </w:pPr>
      <w:r>
        <w:t xml:space="preserve"/>
      </w:r>
    </w:p>
    <w:p>
      <w:pPr>
        <w:pBdr>
          <w:left w:val="single" w:color="1F3A5F" w:sz="12" w:space="12"/>
        </w:pBdr>
        <w:shd w:fill="F4F4F4" w:color="auto" w:val="clear"/>
        <w:spacing w:after="40" w:before="100"/>
        <w:ind w:left="240"/>
      </w:pPr>
      <w:r>
        <w:rPr>
          <w:b/>
          <w:bCs/>
          <w:color w:val="1F3A5F"/>
        </w:rPr>
        <w:t xml:space="preserve">WORKED EXAMPLE — An EU Battery Regulation event lands for a US automaker sourcing nickel from Indonesia</w:t>
      </w:r>
    </w:p>
    <w:p>
      <w:pPr>
        <w:pBdr>
          <w:left w:val="single" w:color="1F3A5F" w:sz="12" w:space="12"/>
        </w:pBdr>
        <w:shd w:fill="F4F4F4" w:color="auto" w:val="clear"/>
        <w:spacing w:after="160" w:before="0"/>
        <w:ind w:left="240"/>
      </w:pPr>
      <w:r>
        <w:t xml:space="preserve">Day-zero math: severity 0.70 (effective) × confidence 0.9 = 0.63 base. Material-side: nickel is at scope_type='restricted' → severity multiplier 1.10 → effective severity 0.70 × 1.10 = 0.77. Relevance multiplier for partner-curated regulation attribution: ~1.30 (max). Geography conditional: EU Battery Reg has only 'jurisdiction=EU' scope (no targeted_country), so the conditional gate doesn't fire — full weight. Final event_impact ≈ 0.77 × 0.9 × 1.0 × 1.30 = 0.90. That normalizes to 0.58 out of the max-event-impact ceiling of 1.56. Contributes meaningfully but doesn't dominate.</w:t>
      </w:r>
    </w:p>
    <w:p>
      <w:r>
        <w:br w:type="page"/>
      </w:r>
    </w:p>
    <w:p>
      <w:pPr>
        <w:pStyle w:val="Heading1"/>
        <w:spacing w:after="240" w:before="400"/>
      </w:pPr>
      <w:r>
        <w:t xml:space="preserve">Part 3 — Cross-Cutting Mechanics</w:t>
      </w:r>
    </w:p>
    <w:p>
      <w:pPr>
        <w:spacing w:after="120"/>
      </w:pPr>
      <w:r>
        <w:t xml:space="preserve">These are the engine-wide concepts that show up in every pillar and every event-impact calculation. Understanding them once here makes the per-pillar and per-source sections later in this document much shorter.</w:t>
      </w:r>
    </w:p>
    <w:p>
      <w:pPr>
        <w:pStyle w:val="Heading2"/>
        <w:spacing w:after="160" w:before="300"/>
      </w:pPr>
      <w:r>
        <w:t xml:space="preserve">The event_impact formula</w:t>
      </w:r>
    </w:p>
    <w:p>
      <w:pPr>
        <w:spacing w:after="120"/>
      </w:pPr>
      <w:r/>
    </w:p>
    <w:p>
      <w:pPr>
        <w:spacing w:after="120"/>
      </w:pPr>
      <w:r/>
    </w:p>
    <w:p>
      <w:pPr>
        <w:spacing w:after="120"/>
      </w:pPr>
      <w:r>
        <w:t xml:space="preserve">All four inputs are bounded to prevent unbounded compounding. The theoretical maximum is 1.56. Each input means something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60"/>
      </w:tblGrid>
      <w:tr>
        <w:tc>
          <w:tcPr>
            <w:tcW w:type="dxa" w:w="22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Input</w:t>
            </w:r>
          </w:p>
        </w:tc>
        <w:tc>
          <w:tcPr>
            <w:tcW w:type="dxa" w:w="13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Range</w:t>
            </w:r>
          </w:p>
        </w:tc>
        <w:tc>
          <w:tcPr>
            <w:tcW w:type="dxa" w:w="58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What it captures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Severity</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0.00 – 1.00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How serious the event is, by itself. A presidential proclamation banning all rare-earth imports has higher severity than an agency information-collection notice. Calibrated per source — see Part 5.</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Confidence</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0.00 – 1.00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How much we trust the source's classification. GTA at 0.90 (independent observatory, structured data), regulations at 0.90 (partner-curated), Federal Register at 0.70 (auto-parsed), IEA at 0.65 (manual download). Floors at 0.60 only when severity ≥ 0.80 (don't over-discount a serious signal).</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Recency</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0.60 – 1.20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Decay over time. Older events contribute less. Decay shape varies by category — see "Recency decay" below.</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Relevance</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0.70 – 1.30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How confidently the event applies to the specific (material, geography, or company) being scored. Mapped from a raw 0-1 score on the junction row: 0 → 0.70, 0.5 → 1.00, 1.0 → 1.30. Even at extremes, relevance only changes impact by ~86%.</w:t>
            </w:r>
          </w:p>
        </w:tc>
      </w:tr>
    </w:tbl>
    <w:p>
      <w:pPr>
        <w:spacing w:after="120"/>
      </w:pPr>
      <w:r>
        <w:t xml:space="preserve"/>
      </w:r>
    </w:p>
    <w:p>
      <w:pPr>
        <w:spacing w:after="120"/>
      </w:pPr>
      <w:r/>
      <w:r/>
    </w:p>
    <w:p>
      <w:pPr>
        <w:pBdr>
          <w:left w:val="single" w:color="3A7D5C" w:sz="18" w:space="12"/>
        </w:pBdr>
        <w:shd w:fill="EEF6F2" w:color="auto" w:val="clear"/>
        <w:spacing w:after="160" w:before="100"/>
        <w:ind w:left="240"/>
      </w:pPr>
      <w:r>
        <w:rPr>
          <w:b/>
          <w:bCs/>
          <w:color w:val="3A7D5C"/>
        </w:rPr>
        <w:t xml:space="preserve">NEW IN v2:  </w:t>
      </w:r>
      <w:r>
        <w:t xml:space="preserve">v2 added a scope_type severity multiplier specifically for regulation events. When a regulation event has a partner-curated scope_type on the junction (banned / restricted / strategic_raw_material / covered / disclosure_required), the severity gets multiplied by 1.50 / 1.10 / 1.00 / 0.80 / 0.50 respectively (clamped to 1.0) BEFORE entering the standard formula. This widens per-material differentiation within a regulation from ~16% to ~3×. See Part 6 for full detail.</w:t>
      </w:r>
    </w:p>
    <w:p>
      <w:pPr>
        <w:pStyle w:val="Heading2"/>
        <w:spacing w:after="160" w:before="300"/>
      </w:pPr>
      <w:r>
        <w:t xml:space="preserve">Recency decay — per category</w:t>
      </w:r>
    </w:p>
    <w:p>
      <w:pPr>
        <w:spacing w:after="120"/>
      </w:pPr>
      <w:r>
        <w:t xml:space="preserve">Older events count less. The exact decay shape varies by risk category to reflect how long different signals stay relevant in supply-chain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c>
          <w:tcPr>
            <w:tcW w:type="dxa" w:w="24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Category</w:t>
            </w:r>
          </w:p>
        </w:tc>
        <w:tc>
          <w:tcPr>
            <w:tcW w:type="dxa" w:w="17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Window</w:t>
            </w:r>
          </w:p>
        </w:tc>
        <w:tc>
          <w:tcPr>
            <w:tcW w:type="dxa" w:w="52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Decay shape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Geopolitical / Trade</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730 days</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Linear decay from 1.00 (day 0) to 0.70 (day 730), then floors at 0.60. A two-year-old tariff still contributes 60% of its weight. Section 301 China tariffs are a multi-year-stable example.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Regulatory / Compliance</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365 days</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Linear decay from 1.00 to 0.60 over one year. Stepped UP to 1.10–1.20 when the regulation's effective_date is within 90 days of the scoring run (front-loading "about-to-take-effect" rules).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Operational</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Exponential, 90-day half-life</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 90-day-old facility shutdown contributes 50% of its day-0 weight. A 180-day-old shutdown contributes 25%. Clamped to [0.60, 1.20]. Fast decay reflects how quickly operational shocks resolve.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Material Concentration</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365 days</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Linear decay 1.00 → 0.60 over one year.</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Financial Pressure</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None (caller-controlled)</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Always 1.00. The caller controls recency by limiting to the most recent N filings (default 4).</w:t>
            </w:r>
          </w:p>
        </w:tc>
      </w:tr>
    </w:tbl>
    <w:p>
      <w:pPr>
        <w:spacing w:after="120"/>
      </w:pPr>
      <w:r>
        <w:t xml:space="preserve"/>
      </w:r>
    </w:p>
    <w:p>
      <w:pPr>
        <w:spacing w:after="120"/>
      </w:pPr>
      <w:r/>
      <w:r/>
    </w:p>
    <w:p>
      <w:pPr>
        <w:pBdr>
          <w:left w:val="single" w:color="B87333" w:sz="18" w:space="12"/>
        </w:pBdr>
        <w:shd w:fill="FFF8E7" w:color="auto" w:val="clear"/>
        <w:spacing w:after="160" w:before="100"/>
        <w:ind w:left="240"/>
      </w:pPr>
      <w:r>
        <w:rPr>
          <w:b/>
          <w:bCs/>
          <w:color w:val="B87333"/>
        </w:rPr>
        <w:t xml:space="preserve">PARTNER INPUT REQUESTED:  </w:t>
      </w:r>
      <w:r>
        <w:rPr>
          <w:i/>
          <w:iCs/>
        </w:rPr>
        <w:t xml:space="preserve">The Operational 90-day half-life is the fastest decay in the engine. A force majeure declaration that's three months old contributes 50%; six months old, 25%. Is that right? An automotive plant fire might affect supply for 18+ months; a port strike resolves in weeks. One-size-fits-all 90 days may be too short for the former and too long for the latter.</w:t>
      </w:r>
    </w:p>
    <w:p>
      <w:pPr>
        <w:pStyle w:val="Heading2"/>
        <w:spacing w:after="160" w:before="300"/>
      </w:pPr>
      <w:r>
        <w:t xml:space="preserve">How materials get attributed to events</w:t>
      </w:r>
    </w:p>
    <w:p>
      <w:pPr>
        <w:spacing w:after="120"/>
      </w:pPr>
      <w:r>
        <w:t xml:space="preserve">Risk events are abstract until they're attributed to specific materials. The engine uses different attribution paths depending on the source — some are partner-curated (high confidence, narrow scope), others are auto-parsed (broader coverage, lower confidence per attribution).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660"/>
      </w:tblGrid>
      <w:tr>
        <w:tc>
          <w:tcPr>
            <w:tcW w:type="dxa" w:w="24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Attribution path</w:t>
            </w:r>
          </w:p>
        </w:tc>
        <w:tc>
          <w:tcPr>
            <w:tcW w:type="dxa" w:w="13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Relevance</w:t>
            </w:r>
          </w:p>
        </w:tc>
        <w:tc>
          <w:tcPr>
            <w:tcW w:type="dxa" w:w="56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Example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Regulation scope (banned)</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1.00</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UFLPA declares cobalt as banned (when sourced from Xinjiang). Partner-curated in seed_regulations.py.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Regulation scope (restricted)</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0.90</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Battery Regulation restricts cobalt (recycled-content thresholds).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Federal Register topic</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0.90</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 Federal Register notice's controlled-vocabulary "topics" field includes "Cobalt" — editor-curated by Office of the Federal Register.</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Federal Register AD/CVD wording</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0.90</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Title contains a specific commodity wording ("aluminum foil," "ferrosilicon") that disambiguates a single material more precisely than the bare word.</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Regulation scope (strategic raw material)</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0.85</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Critical Raw Materials Act lists materials with supply-chain diversification targets. NEW IN v2.</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GTA HS-code resolution</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0.36 – 0.90</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GTA intervention specifies an HS-6 code; the code resolves to a material via our HS-code mapping table. Confidence depends on how specific the HS code is (a 6-digit lithium-hydroxide code is high; a 4-digit "ores and concentrates" prefix is low).</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Regulation scope (covered)</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0.80</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CBAM covers aluminum and iron at carbon-adjustment level (no specific prohibition, just paperwork).</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Regulation scope (disclosure)</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0.70</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Conflict Minerals Regulation only requires reporting on 3TG. Lightest binding.</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Federal Register basket fanout</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0.40</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Title contains a category like "lithium-ion batteries" — the engine attributes all 5 basket materials (Li, Co, Ni, Mn, graphite) at this single relevance, reflecting that the inference is category-level rather than direct mention.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Free-text keyword (canonical name)</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0.85 (ceiling)</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Direct mention of a material's name ("lithium") in event text. The ceiling for keyword-based attribution — sits BELOW partner-curated banned (1.00) but above disclosure (0.70).</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Free-text keyword (frequency-weighted)</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0.10 – 0.85</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Generic words ("metal," "oxide") are penalized by inverse-frequency weighting — they show up in many mapping entries, so each individual attribution gets less confidence.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OpenSanctions company exposure</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partner-curated</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 sanctioned company is attributed to materials based on partner-curated CompanyMaterialExposure entries — no keyword matching of entity names.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OpenSanctions geography exposure</w:t>
            </w:r>
          </w:p>
        </w:tc>
        <w:tc>
          <w:tcPr>
            <w:tcW w:type="dxa" w:w="1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production share</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When a country accumulates significant sanctioned-entity exposure, the engine attributes the event to materials where the country holds ≥ 5% global production share. Relevance = production share.</w:t>
            </w:r>
          </w:p>
        </w:tc>
      </w:tr>
    </w:tbl>
    <w:p>
      <w:pPr>
        <w:spacing w:after="120"/>
      </w:pPr>
      <w:r>
        <w:t xml:space="preserve"/>
      </w:r>
    </w:p>
    <w:p>
      <w:pPr>
        <w:pStyle w:val="Heading2"/>
        <w:spacing w:after="160" w:before="300"/>
      </w:pPr>
      <w:r>
        <w:t xml:space="preserve">How geographies get attributed to events</w:t>
      </w:r>
    </w:p>
    <w:p>
      <w:pPr>
        <w:spacing w:after="120"/>
      </w:pPr>
      <w:r>
        <w:t xml:space="preserve">Two paths in production use today, plus a third added in v2 specifically for regulations:</w:t>
      </w:r>
    </w:p>
    <w:p>
      <w:pPr>
        <w:pStyle w:val="ListParagraph"/>
        <w:numPr>
          <w:ilvl w:val="0"/>
          <w:numId w:val="2"/>
        </w:numPr>
        <w:spacing w:after="80"/>
      </w:pPr>
      <w:r>
        <w:rPr>
          <w:b/>
          <w:bCs/>
        </w:rPr>
        <w:t xml:space="preserve">Free-text country detection. </w:t>
      </w:r>
      <w:r>
        <w:t xml:space="preserve">Scans event titles and abstracts for country names from a DB-backed pattern table. Used by Federal Register and Global Trade Alert. Returns (ISO2, role-context, relevance) triples where role can be "primary," "affected," or "implementer."</w:t>
      </w:r>
    </w:p>
    <w:p>
      <w:pPr>
        <w:pStyle w:val="ListParagraph"/>
        <w:numPr>
          <w:ilvl w:val="0"/>
          <w:numId w:val="2"/>
        </w:numPr>
        <w:spacing w:after="80"/>
      </w:pPr>
      <w:r>
        <w:rPr>
          <w:b/>
          <w:bCs/>
        </w:rPr>
        <w:t xml:space="preserve">LLM-extracted geographies. </w:t>
      </w:r>
      <w:r>
        <w:t xml:space="preserve">For Federal Register events where free-text detection misses the target, Claude Haiku reads the full document and extracts countries with explicit roles. Used selectively per-query (always for OFAC + presidential proclamations; fallback only for trade-remedy and BIS export controls).</w:t>
      </w:r>
    </w:p>
    <w:p>
      <w:pPr>
        <w:pStyle w:val="ListParagraph"/>
        <w:numPr>
          <w:ilvl w:val="0"/>
          <w:numId w:val="2"/>
        </w:numPr>
        <w:spacing w:after="80"/>
      </w:pPr>
      <w:r>
        <w:rPr>
          <w:b/>
          <w:bCs/>
        </w:rPr>
        <w:t xml:space="preserve">Regulation geography scope (NEW in v2). </w:t>
      </w:r>
      <w:r>
        <w:t xml:space="preserve">Each EU regulation has pre-curated geography scopes in seed_regulations.py. These propagate onto every regulation event as RiskEventGeography rows. Three role types: jurisdiction (where the regulation has legal force — EU for EU Battery Reg), origin_country (countries the regulation regulates imports from), targeted_country (explicit targets — UFLPA → CN-Xinjiang, OFAC → CN/RU/KP/IR). Relevance varies by role type: 0.70 for jurisdiction, 0.85 for origin_country, 1.00 for targeted_country.</w:t>
      </w:r>
    </w:p>
    <w:p>
      <w:pPr>
        <w:pStyle w:val="Heading2"/>
        <w:spacing w:after="160" w:before="300"/>
      </w:pPr>
      <w:r>
        <w:t xml:space="preserve">Two key engine-level constants</w:t>
      </w:r>
    </w:p>
    <w:p>
      <w:pPr>
        <w:pStyle w:val="Heading3"/>
        <w:spacing w:after="100" w:before="220"/>
      </w:pPr>
      <w:r>
        <w:t xml:space="preserve">High-Concentration Geography (HCG) set</w:t>
      </w:r>
    </w:p>
    <w:p>
      <w:pPr>
        <w:spacing w:after="120"/>
      </w:pPr>
      <w:r/>
      <w:r/>
    </w:p>
    <w:p>
      <w:pPr>
        <w:spacing w:after="120"/>
      </w:pPr>
      <w:r>
        <w:t xml:space="preserve">This is a binary list today — countries are either HCG or not, no gradation. It applies uniformly across all materials, which means we treat Australian-lithium-via-Chinese-refining the same as DRC-cobalt-via-Chinese-refining, when in reality DRC cobalt has fundamentally different supply concentration than Australian lithium.</w:t>
      </w:r>
    </w:p>
    <w:p>
      <w:pPr>
        <w:pBdr>
          <w:left w:val="single" w:color="B87333" w:sz="18" w:space="12"/>
        </w:pBdr>
        <w:shd w:fill="FFF8E7" w:color="auto" w:val="clear"/>
        <w:spacing w:after="160" w:before="100"/>
        <w:ind w:left="240"/>
      </w:pPr>
      <w:r>
        <w:rPr>
          <w:b/>
          <w:bCs/>
          <w:color w:val="B87333"/>
        </w:rPr>
        <w:t xml:space="preserve">PARTNER INPUT REQUESTED:  </w:t>
      </w:r>
      <w:r>
        <w:rPr>
          <w:i/>
          <w:iCs/>
        </w:rPr>
        <w:t xml:space="preserve">Should the HCG set be per-material rather than global? Concrete candidates: Indonesia for nickel (60%+ global share, recent export-policy shocks), Chile for lithium (lithium nationalization 2023), Australia for lithium ore (~50% of global output, geopolitically aligned but still a single-country dependency), Myanmar for rare earths and tin (active conflict + opaque supply chain). Per-material HCG would let the engine express "China is high-concentration for graphite but not for aluminum" — more accurate, more curation.</w:t>
      </w:r>
    </w:p>
    <w:p>
      <w:pPr>
        <w:pStyle w:val="Heading3"/>
        <w:spacing w:after="100" w:before="220"/>
      </w:pPr>
      <w:r>
        <w:t xml:space="preserve">Facility-presence floor</w:t>
      </w:r>
    </w:p>
    <w:p>
      <w:pPr>
        <w:spacing w:after="120"/>
      </w:pPr>
      <w:r/>
      <w:r/>
      <w:r/>
    </w:p>
    <w:p>
      <w:pPr>
        <w:spacing w:after="120"/>
      </w:pPr>
      <w:r>
        <w:t xml:space="preserve">Why it exists: the engine used to fall back to a binary HCG-only rule when production data was missing — anything in {CN, CD, RU} got high concentration weight, anything else got zero. That inflated 85-94% of market-level scores in the prior calibration. The facility-presence floor replaces it with a more accurate "this country has production capacity even if we don't have official volume data" signal.</w:t>
      </w:r>
    </w:p>
    <w:p>
      <w:pPr>
        <w:pStyle w:val="Heading2"/>
        <w:spacing w:after="160" w:before="300"/>
      </w:pPr>
      <w:r>
        <w:t xml:space="preserve">The review queue</w:t>
      </w:r>
    </w:p>
    <w:p>
      <w:pPr>
        <w:spacing w:after="120"/>
      </w:pPr>
      <w:r>
        <w:t xml:space="preserve">Events the engine ingests but does NOT score, flagged with `needs_material_review=true` and a `review_reason`. These are events that look battery-relevant but couldn't be confidently attributed to specific materials, or where the language-model verdict was low-confidence.</w:t>
      </w:r>
    </w:p>
    <w:p>
      <w:pPr>
        <w:spacing w:after="120"/>
      </w:pPr>
      <w:r>
        <w:t xml:space="preserve">The review queue is populated by three trigger conditions:</w:t>
      </w:r>
    </w:p>
    <w:p>
      <w:pPr>
        <w:pStyle w:val="ListParagraph"/>
        <w:numPr>
          <w:ilvl w:val="0"/>
          <w:numId w:val="3"/>
        </w:numPr>
        <w:spacing w:after="80"/>
      </w:pPr>
      <w:r>
        <w:rPr>
          <w:b/>
          <w:bCs/>
        </w:rPr>
        <w:t xml:space="preserve">Haiku low-confidence verdict. </w:t>
      </w:r>
      <w:r>
        <w:t xml:space="preserve">For Federal Register events, when Claude Haiku says "in scope" with confidence &lt; 0.5 OR "out of scope" with confidence &lt; 0.7, the event preserves with review_reason='haiku_low_confidence'. NEW IN v2.</w:t>
      </w:r>
    </w:p>
    <w:p>
      <w:pPr>
        <w:pStyle w:val="ListParagraph"/>
        <w:numPr>
          <w:ilvl w:val="0"/>
          <w:numId w:val="3"/>
        </w:numPr>
        <w:spacing w:after="80"/>
      </w:pPr>
      <w:r>
        <w:rPr>
          <w:b/>
          <w:bCs/>
        </w:rPr>
        <w:t xml:space="preserve">Haiku confirmed in-scope but no extractable materials. </w:t>
      </w:r>
      <w:r>
        <w:t xml:space="preserve">Haiku says "yes, this is in scope for critical minerals analysis" but couldn't extract specific named materials from the document. Preserved for analyst triage.</w:t>
      </w:r>
    </w:p>
    <w:p>
      <w:pPr>
        <w:pStyle w:val="ListParagraph"/>
        <w:numPr>
          <w:ilvl w:val="0"/>
          <w:numId w:val="3"/>
        </w:numPr>
        <w:spacing w:after="80"/>
      </w:pPr>
      <w:r>
        <w:rPr>
          <w:b/>
          <w:bCs/>
        </w:rPr>
        <w:t xml:space="preserve">No attribution paths fired AND passes a deterministic CRM keyword gate. </w:t>
      </w:r>
      <w:r>
        <w:t xml:space="preserve">Free-text scan returned nothing, topic resolution returned nothing, Haiku didn't run — but the document mentions battery/CRM keywords. Preserved with review_reason='no_candidates'.</w:t>
      </w:r>
    </w:p>
    <w:p>
      <w:pPr>
        <w:spacing w:after="120"/>
      </w:pPr>
      <w:r>
        <w:t xml:space="preserve">The intent is to surface borderline events to a human analyst rather than silently dropping them OR silently polluting scores with low-confidence attributions. Currently most events in the review queue come from the Federal Register parser; future versions of EUR-Lex and other parsers will use the same pattern.</w:t>
      </w:r>
    </w:p>
    <w:p>
      <w:r>
        <w:br w:type="page"/>
      </w:r>
    </w:p>
    <w:p>
      <w:pPr>
        <w:pStyle w:val="Heading1"/>
        <w:spacing w:after="240" w:before="400"/>
      </w:pPr>
      <w:r>
        <w:t xml:space="preserve">Part 4 — The Six Scoring Pillars in Detail</w:t>
      </w:r>
    </w:p>
    <w:p>
      <w:pPr>
        <w:spacing w:after="120"/>
      </w:pPr>
      <w:r>
        <w:t xml:space="preserve">This section walks through each pillar's formula, sub-inputs, and weights. The goal is for you to be able to challenge any specific number — "why is country-concentration weighted at 40% of the Geopolitical pillar instead of 50%?" — with concrete domain reasoning.</w:t>
      </w:r>
    </w:p>
    <w:p>
      <w:pPr>
        <w:pStyle w:val="Heading2"/>
        <w:spacing w:after="160" w:before="300"/>
      </w:pPr>
      <w:r>
        <w:t xml:space="preserve">Material Concentration (25% of company score)</w:t>
      </w:r>
    </w:p>
    <w:p>
      <w:pPr>
        <w:spacing w:after="120"/>
      </w:pPr>
      <w:r>
        <w:t xml:space="preserve">Captures how exposed a company is to materials that are inherently scarce, concentrated, or volatile — independent of any specific policy event. The largest single pillar weight in the engine.</w:t>
      </w:r>
    </w:p>
    <w:p>
      <w:pPr>
        <w:pStyle w:val="Heading3"/>
        <w:spacing w:after="100" w:before="220"/>
      </w:pPr>
      <w:r>
        <w:t xml:space="preserve">Formula</w:t>
      </w:r>
    </w:p>
    <w:p>
      <w:pPr>
        <w:spacing w:after="120"/>
      </w:pPr>
      <w:r/>
    </w:p>
    <w:p>
      <w:pPr>
        <w:pStyle w:val="Heading3"/>
        <w:spacing w:after="100" w:before="220"/>
      </w:pPr>
      <w:r>
        <w:t xml:space="preserve">Sub-inputs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c>
          <w:tcPr>
            <w:tcW w:type="dxa" w:w="22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Sub-input</w:t>
            </w:r>
          </w:p>
        </w:tc>
        <w:tc>
          <w:tcPr>
            <w:tcW w:type="dxa" w:w="11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Weight</w:t>
            </w:r>
          </w:p>
        </w:tc>
        <w:tc>
          <w:tcPr>
            <w:tcW w:type="dxa" w:w="60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How it's calculated</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Criticality</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35%</w:t>
            </w:r>
          </w:p>
        </w:tc>
        <w:tc>
          <w:tcPr>
            <w:tcW w:type="dxa" w:w="6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Chemistry-weighted average of partner-curated exposure scores per material. A company in NMC811 chemistry inherits high criticality from cobalt and nickel; LFP inherits lower criticality (iron, phosphate) plus the same lithium exposure. Default 0.5 when no exposure data.</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Concentration</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35%</w:t>
            </w:r>
          </w:p>
        </w:tc>
        <w:tc>
          <w:tcPr>
            <w:tcW w:type="dxa" w:w="6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Chemistry-weighted share of the company's exposures whose source geography is HCG (China/DRC/Russia). A company sourcing 80% of its cobalt from DRC scores high.</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Trade volatility</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30%</w:t>
            </w:r>
          </w:p>
        </w:tc>
        <w:tc>
          <w:tcPr>
            <w:tcW w:type="dxa" w:w="6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Average normalised impact of recent Geopolitical/Trade events tagged either to the company directly OR to a country where the company has material exposure or facilities.</w:t>
            </w:r>
          </w:p>
        </w:tc>
      </w:tr>
    </w:tbl>
    <w:p>
      <w:pPr>
        <w:spacing w:after="120"/>
      </w:pPr>
      <w:r>
        <w:t xml:space="preserve"/>
      </w:r>
    </w:p>
    <w:p>
      <w:pPr>
        <w:pBdr>
          <w:left w:val="single" w:color="B87333" w:sz="18" w:space="12"/>
        </w:pBdr>
        <w:shd w:fill="FFF8E7" w:color="auto" w:val="clear"/>
        <w:spacing w:after="160" w:before="100"/>
        <w:ind w:left="240"/>
      </w:pPr>
      <w:r>
        <w:rPr>
          <w:b/>
          <w:bCs/>
          <w:color w:val="B87333"/>
        </w:rPr>
        <w:t xml:space="preserve">PARTNER INPUT REQUESTED:  </w:t>
      </w:r>
      <w:r>
        <w:rPr>
          <w:i/>
          <w:iCs/>
        </w:rPr>
        <w:t xml:space="preserve">Criticality and concentration are weighted equally (35% each), which means a company highly exposed to a less-critical mineral (e.g., aluminum) carries equivalent weight to one moderately exposed to a very critical mineral (cobalt). Should criticality dominate more aggressively?</w:t>
      </w:r>
    </w:p>
    <w:p>
      <w:pPr>
        <w:pStyle w:val="Heading2"/>
        <w:spacing w:after="160" w:before="300"/>
      </w:pPr>
      <w:r>
        <w:t xml:space="preserve">Geopolitical / Trade (20% of company score)</w:t>
      </w:r>
    </w:p>
    <w:p>
      <w:pPr>
        <w:spacing w:after="120"/>
      </w:pPr>
      <w:r>
        <w:t xml:space="preserve">Policy-driven risk from where the supply chain physically sits and what trade actions affect those flows.</w:t>
      </w:r>
    </w:p>
    <w:p>
      <w:pPr>
        <w:pStyle w:val="Heading3"/>
        <w:spacing w:after="100" w:before="220"/>
      </w:pPr>
      <w:r>
        <w:t xml:space="preserve">Formula</w:t>
      </w:r>
    </w:p>
    <w:p>
      <w:pPr>
        <w:spacing w:after="120"/>
      </w:pPr>
      <w:r/>
      <w:r/>
    </w:p>
    <w:p>
      <w:pPr>
        <w:spacing w:after="120"/>
      </w:pPr>
      <w:r/>
      <w:r/>
    </w:p>
    <w:p>
      <w:pPr>
        <w:pStyle w:val="Heading3"/>
        <w:spacing w:after="100" w:before="220"/>
      </w:pPr>
      <w:r>
        <w:t xml:space="preserve">Sub-inputs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5860"/>
      </w:tblGrid>
      <w:tr>
        <w:tc>
          <w:tcPr>
            <w:tcW w:type="dxa" w:w="24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Sub-input</w:t>
            </w:r>
          </w:p>
        </w:tc>
        <w:tc>
          <w:tcPr>
            <w:tcW w:type="dxa" w:w="11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Weight</w:t>
            </w:r>
          </w:p>
        </w:tc>
        <w:tc>
          <w:tcPr>
            <w:tcW w:type="dxa" w:w="58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How it's calculated</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Country concentration</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40%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Equal-weighted average of (a) share of source geographies that are HCG, (b) share of facility countries that are HCG.</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Export restriction exposure</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35% (or 30%)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Average impact of events tagged event_subtype='EXPORT_RESTRICTION' that hit the company OR source/facility countries. OFAC sanctions, BIS controls, GTA export bans, export quotas.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Tariff exposure</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25% (or 20%)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Average impact of events tagged 'TARIFF' or 'TRADE_POLICY'. Section 232/301 actions, GTA import tariffs, FR trade-remedy publications.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Production subsidy distortion</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Only present when subsidy data available. Average impact of EXPORT_SUBSIDY events — Chinese REE state aid, Indonesian nickel investment subsidies, IRA investment credits.</w:t>
            </w:r>
          </w:p>
        </w:tc>
      </w:tr>
    </w:tbl>
    <w:p>
      <w:pPr>
        <w:spacing w:after="120"/>
      </w:pPr>
      <w:r>
        <w:t xml:space="preserve"/>
      </w:r>
    </w:p>
    <w:p>
      <w:pPr>
        <w:pBdr>
          <w:left w:val="single" w:color="B87333" w:sz="18" w:space="12"/>
        </w:pBdr>
        <w:shd w:fill="FFF8E7" w:color="auto" w:val="clear"/>
        <w:spacing w:after="160" w:before="100"/>
        <w:ind w:left="240"/>
      </w:pPr>
      <w:r>
        <w:rPr>
          <w:b/>
          <w:bCs/>
          <w:color w:val="B87333"/>
        </w:rPr>
        <w:t xml:space="preserve">PARTNER INPUT REQUESTED:  </w:t>
      </w:r>
      <w:r>
        <w:rPr>
          <w:i/>
          <w:iCs/>
        </w:rPr>
        <w:t xml:space="preserve">Country concentration at 40% is the largest single sub-input in the entire engine. Is 40% the right weight? And the two halves of country-concentration (source-geo HCG share vs facility-country HCG share) are weighted equally — a company that processes cobalt in Indonesia from DRC ore is treated identically to one that processes cobalt in the US from DRC ore on the source-geo side. Defensible?</w:t>
      </w:r>
    </w:p>
    <w:p>
      <w:pPr>
        <w:pStyle w:val="Heading3"/>
        <w:spacing w:after="100" w:before="220"/>
      </w:pPr>
      <w:r>
        <w:t xml:space="preserve">Geographic intersection gate</w:t>
      </w:r>
    </w:p>
    <w:p>
      <w:pPr>
        <w:spacing w:after="120"/>
      </w:pPr>
      <w:r>
        <w:t xml:space="preserve">Events tagged to a country only contribute to a company's Geopolitical pillar if that country appears in the company's combined set of (material source geographies) ∪ (facility countries). Prevents a Section 301 tariff on Chinese imports from contributing to a US-only automaker that sources no Chinese inputs.</w:t>
      </w:r>
    </w:p>
    <w:p>
      <w:pPr>
        <w:pStyle w:val="Heading2"/>
        <w:spacing w:after="160" w:before="300"/>
      </w:pPr>
      <w:r>
        <w:t xml:space="preserve">Regulatory &amp; Compliance (20% of company score)</w:t>
      </w:r>
    </w:p>
    <w:p>
      <w:pPr>
        <w:spacing w:after="120"/>
      </w:pPr>
      <w:r>
        <w:t xml:space="preserve">Uniquely combines two kinds of input: hard legal obligations (a stable list of named laws/regulations the company is subject to) and recent regulatory event impact.</w:t>
      </w:r>
    </w:p>
    <w:p>
      <w:pPr>
        <w:pStyle w:val="Heading3"/>
        <w:spacing w:after="100" w:before="220"/>
      </w:pPr>
      <w:r>
        <w:t xml:space="preserve">Formula</w:t>
      </w:r>
    </w:p>
    <w:p>
      <w:pPr>
        <w:spacing w:after="120"/>
      </w:pPr>
      <w:r/>
    </w:p>
    <w:p>
      <w:pPr>
        <w:pStyle w:val="Heading4"/>
        <w:spacing w:after="80" w:before="160"/>
      </w:pPr>
      <w:r>
        <w:t xml:space="preserve">Event score (0 – 60)</w:t>
      </w:r>
    </w:p>
    <w:p>
      <w:pPr>
        <w:spacing w:after="120"/>
      </w:pPr>
      <w:r/>
      <w:r/>
      <w:r/>
      <w:r/>
      <w:r/>
    </w:p>
    <w:p>
      <w:pPr>
        <w:pStyle w:val="Heading4"/>
        <w:spacing w:after="80" w:before="160"/>
      </w:pPr>
      <w:r>
        <w:t xml:space="preserve">Obligation uplift (0 – 40)</w:t>
      </w:r>
    </w:p>
    <w:p>
      <w:pPr>
        <w:spacing w:after="120"/>
      </w:pPr>
      <w:r>
        <w:t xml:space="preserve">Sum of obligation_weight × status-multiplier for every named regulation the company is subject to, capped at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Compliance obligation</w:t>
            </w:r>
          </w:p>
        </w:tc>
        <w:tc>
          <w:tcPr>
            <w:tcW w:type="dxa" w:w="14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Weight</w:t>
            </w:r>
          </w:p>
        </w:tc>
        <w:tc>
          <w:tcPr>
            <w:tcW w:type="dxa" w:w="45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Rationale</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UFLPA (US)</w:t>
            </w:r>
          </w:p>
        </w:tc>
        <w:tc>
          <w:tcPr>
            <w:tcW w:type="dxa" w:w="14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25</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Uyghur Forced Labor Prevention Act — strict liability for goods with Xinjiang nexus. Heaviest weight because non-compliance can mean customs seizure, not just fines.</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EU Battery Regulation 2023</w:t>
            </w:r>
          </w:p>
        </w:tc>
        <w:tc>
          <w:tcPr>
            <w:tcW w:type="dxa" w:w="14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20</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Mandatory recycled-content thresholds, due diligence, battery passport. Applies to anyone selling batteries into the EU.</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EU Critical Raw Materials Act</w:t>
            </w:r>
          </w:p>
        </w:tc>
        <w:tc>
          <w:tcPr>
            <w:tcW w:type="dxa" w:w="14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15</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Strategic minerals supply targets, recycling mandates, single-supplier caps.</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IRA Domestic Content</w:t>
            </w:r>
          </w:p>
        </w:tc>
        <w:tc>
          <w:tcPr>
            <w:tcW w:type="dxa" w:w="14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15</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US EV tax credit critical-mineral / battery-component domestic-content thresholds. Non-compliance = loss of credit.</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EU CSDDD</w:t>
            </w:r>
          </w:p>
        </w:tc>
        <w:tc>
          <w:tcPr>
            <w:tcW w:type="dxa" w:w="14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10</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Mandatory supply-chain due diligence on human rights and environment.</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EU REACH (Cobalt restriction)</w:t>
            </w:r>
          </w:p>
        </w:tc>
        <w:tc>
          <w:tcPr>
            <w:tcW w:type="dxa" w:w="14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8</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Specific REACH provisions on cobalt-bearing substances.</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EU CBAM</w:t>
            </w:r>
          </w:p>
        </w:tc>
        <w:tc>
          <w:tcPr>
            <w:tcW w:type="dxa" w:w="14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5</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Carbon Border Adjustment. Currently applies to steel, aluminum, fertilizer, cement, hydrogen. Lower weight because battery materials not yet in scope.</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EU Conflict Minerals Regulation</w:t>
            </w:r>
          </w:p>
        </w:tc>
        <w:tc>
          <w:tcPr>
            <w:tcW w:type="dxa" w:w="14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3TG (tin, tantalum, tungsten, gold) due diligence. Lowest weight because battery scope is limited.</w:t>
            </w:r>
          </w:p>
        </w:tc>
      </w:tr>
    </w:tbl>
    <w:p>
      <w:pPr>
        <w:spacing w:after="120"/>
      </w:pPr>
      <w:r>
        <w:t xml:space="preserve"/>
      </w:r>
    </w:p>
    <w:p>
      <w:pPr>
        <w:spacing w:after="120"/>
      </w:pPr>
      <w:r/>
    </w:p>
    <w:p>
      <w:pPr>
        <w:pStyle w:val="ListParagraph"/>
        <w:numPr>
          <w:ilvl w:val="0"/>
          <w:numId w:val="2"/>
        </w:numPr>
        <w:spacing w:after="80"/>
      </w:pPr>
      <w:r>
        <w:rPr>
          <w:b/>
          <w:bCs/>
        </w:rPr>
        <w:t xml:space="preserve">Non-compliant — 1.00 </w:t>
      </w:r>
      <w:r>
        <w:t xml:space="preserve">(full weight)</w:t>
      </w:r>
    </w:p>
    <w:p>
      <w:pPr>
        <w:pStyle w:val="ListParagraph"/>
        <w:numPr>
          <w:ilvl w:val="0"/>
          <w:numId w:val="2"/>
        </w:numPr>
        <w:spacing w:after="80"/>
      </w:pPr>
      <w:r>
        <w:rPr>
          <w:b/>
          <w:bCs/>
        </w:rPr>
        <w:t xml:space="preserve">Unknown status — 0.50 </w:t>
      </w:r>
      <w:r>
        <w:t xml:space="preserve">(half weight; absence of evidence is not evidence of compliance)</w:t>
      </w:r>
    </w:p>
    <w:p>
      <w:pPr>
        <w:pStyle w:val="ListParagraph"/>
        <w:numPr>
          <w:ilvl w:val="0"/>
          <w:numId w:val="2"/>
        </w:numPr>
        <w:spacing w:after="80"/>
      </w:pPr>
      <w:r>
        <w:rPr>
          <w:b/>
          <w:bCs/>
        </w:rPr>
        <w:t xml:space="preserve">Partial compliance — 0.40</w:t>
      </w:r>
    </w:p>
    <w:p>
      <w:pPr>
        <w:pStyle w:val="ListParagraph"/>
        <w:numPr>
          <w:ilvl w:val="0"/>
          <w:numId w:val="2"/>
        </w:numPr>
        <w:spacing w:after="80"/>
      </w:pPr>
      <w:r>
        <w:rPr>
          <w:b/>
          <w:bCs/>
        </w:rPr>
        <w:t xml:space="preserve">Compliant — implicitly 0.00 </w:t>
      </w:r>
      <w:r>
        <w:t xml:space="preserve">(not added to sum)</w:t>
      </w:r>
    </w:p>
    <w:p>
      <w:pPr>
        <w:spacing w:after="120"/>
      </w:pPr>
      <w:r>
        <w:t xml:space="preserve"/>
      </w:r>
    </w:p>
    <w:p>
      <w:pPr>
        <w:pBdr>
          <w:left w:val="single" w:color="B87333" w:sz="18" w:space="12"/>
        </w:pBdr>
        <w:shd w:fill="FFF8E7" w:color="auto" w:val="clear"/>
        <w:spacing w:after="160" w:before="100"/>
        <w:ind w:left="240"/>
      </w:pPr>
      <w:r>
        <w:rPr>
          <w:b/>
          <w:bCs/>
          <w:color w:val="B87333"/>
        </w:rPr>
        <w:t xml:space="preserve">PARTNER INPUT REQUESTED:  </w:t>
      </w:r>
      <w:r>
        <w:rPr>
          <w:i/>
          <w:iCs/>
        </w:rPr>
        <w:t xml:space="preserve">Obligation weights are the most opinionated single table in the engine and the area where your domain judgment is most decisive. Specific questions: (1) Should UFLPA at 25 be even higher given the customs-seizure consequence? (2) Should IRA Domestic Content be higher than EU Battery Reg given how much US-market competitive positioning depends on it? (3) Is 'unknown status × 0.50' the right penalty for missing information, or should it be more aggressive (0.75)?</w:t>
      </w:r>
    </w:p>
    <w:p>
      <w:pPr>
        <w:pBdr>
          <w:left w:val="single" w:color="3A7D5C" w:sz="18" w:space="12"/>
        </w:pBdr>
        <w:shd w:fill="EEF6F2" w:color="auto" w:val="clear"/>
        <w:spacing w:after="160" w:before="100"/>
        <w:ind w:left="240"/>
      </w:pPr>
      <w:r>
        <w:rPr>
          <w:b/>
          <w:bCs/>
          <w:color w:val="3A7D5C"/>
        </w:rPr>
        <w:t xml:space="preserve">NEW IN v2:  </w:t>
      </w:r>
      <w:r>
        <w:t xml:space="preserve">v2 added a per-regulation severity override mechanism for the event-score side. UFLPA's standing-obligation severity is 0.70 by default but partner can override to e.g. 0.85 in seed_regulations.py via metadata_json["severity_overrides"]. This lets a regulation's qualitative bite vary even when its status is shared with other regulations. Combined with the obligation weight, partner now has two distinct levers per regulation.</w:t>
      </w:r>
    </w:p>
    <w:p>
      <w:pPr>
        <w:pStyle w:val="Heading2"/>
        <w:spacing w:after="160" w:before="300"/>
      </w:pPr>
      <w:r>
        <w:t xml:space="preserve">Supply Chain Propagation (15% of company score)</w:t>
      </w:r>
    </w:p>
    <w:p>
      <w:pPr>
        <w:spacing w:after="120"/>
      </w:pPr>
      <w:r>
        <w:t xml:space="preserve">Captures risk inherited from suppliers and their suppliers (tier-1 and tier-2). The newest pillar (added at engine version 3.0). Only fires when scoring a specific company with a supplier graph defined — most companies today don't have one.</w:t>
      </w:r>
    </w:p>
    <w:p>
      <w:pPr>
        <w:pStyle w:val="Heading3"/>
        <w:spacing w:after="100" w:before="220"/>
      </w:pPr>
      <w:r>
        <w:t xml:space="preserve">Formula</w:t>
      </w:r>
    </w:p>
    <w:p>
      <w:pPr>
        <w:spacing w:after="120"/>
      </w:pPr>
      <w:r/>
    </w:p>
    <w:p>
      <w:pPr>
        <w:spacing w:after="120"/>
      </w:pPr>
      <w:r>
        <w:t xml:space="preserve">Tier weights: Tier 1 (direct supplier) = 1.00, Tier 2 (supplier of a supplier) = 0.40. Volume share is per-edge (what fraction of input volume comes from each supplier); when missing, the engine substitutes a 0.10 default per edge.</w:t>
      </w:r>
    </w:p>
    <w:p>
      <w:pPr>
        <w:spacing w:after="120"/>
      </w:pPr>
      <w:r/>
    </w:p>
    <w:p>
      <w:pPr>
        <w:pBdr>
          <w:left w:val="single" w:color="B87333" w:sz="18" w:space="12"/>
        </w:pBdr>
        <w:shd w:fill="FFF8E7" w:color="auto" w:val="clear"/>
        <w:spacing w:after="160" w:before="100"/>
        <w:ind w:left="240"/>
      </w:pPr>
      <w:r>
        <w:rPr>
          <w:b/>
          <w:bCs/>
          <w:color w:val="B87333"/>
        </w:rPr>
        <w:t xml:space="preserve">PARTNER INPUT REQUESTED:  </w:t>
      </w:r>
      <w:r>
        <w:rPr>
          <w:i/>
          <w:iCs/>
        </w:rPr>
        <w:t xml:space="preserve">Tier 2 weighted at 40% of Tier 1 is a reasonable mid-point but unscientific. Should Tier 2 be 50-60% ("the supplier-of-your-supplier shock IS the shock that hits you, just delayed") or 20-30% ("your direct supplier already builds tier-2 risk into pricing and dual-sourcing")?</w:t>
      </w:r>
    </w:p>
    <w:p>
      <w:pPr>
        <w:pStyle w:val="Heading2"/>
        <w:spacing w:after="160" w:before="300"/>
      </w:pPr>
      <w:r>
        <w:t xml:space="preserve">Operational (10% of company score)</w:t>
      </w:r>
    </w:p>
    <w:p>
      <w:pPr>
        <w:spacing w:after="120"/>
      </w:pPr>
      <w:r>
        <w:t xml:space="preserve">Structural single-source / capacity-constraint exposure plus recent operational disruption events at the company's facility countries.</w:t>
      </w:r>
    </w:p>
    <w:p>
      <w:pPr>
        <w:pStyle w:val="Heading3"/>
        <w:spacing w:after="100" w:before="220"/>
      </w:pPr>
      <w:r>
        <w:t xml:space="preserve">Formula</w:t>
      </w:r>
    </w:p>
    <w:p>
      <w:pPr>
        <w:spacing w:after="120"/>
      </w:pPr>
      <w:r/>
    </w:p>
    <w:p>
      <w:pPr>
        <w:pStyle w:val="Heading3"/>
        <w:spacing w:after="100" w:before="220"/>
      </w:pPr>
      <w:r>
        <w:t xml:space="preserve">Sub-inputs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5860"/>
      </w:tblGrid>
      <w:tr>
        <w:tc>
          <w:tcPr>
            <w:tcW w:type="dxa" w:w="24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Sub-input</w:t>
            </w:r>
          </w:p>
        </w:tc>
        <w:tc>
          <w:tcPr>
            <w:tcW w:type="dxa" w:w="11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Weight</w:t>
            </w:r>
          </w:p>
        </w:tc>
        <w:tc>
          <w:tcPr>
            <w:tcW w:type="dxa" w:w="58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How it's calculated</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Structural dependency</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40%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Max of two values: (a) a structural-dependency score from events tagged 'SINGLE_SOURCE' or 'CAPACITY_CONSTRAINT'; (b) 0.4 × share of facilities not currently operating. Default 0.3.</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Event-impact rollup</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60%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Mean of normalised impacts of all OPERATIONAL events tagged to the company OR its facility countries.</w:t>
            </w:r>
          </w:p>
        </w:tc>
      </w:tr>
    </w:tbl>
    <w:p>
      <w:pPr>
        <w:spacing w:after="120"/>
      </w:pPr>
      <w:r>
        <w:t xml:space="preserve"/>
      </w:r>
    </w:p>
    <w:p>
      <w:pPr>
        <w:pBdr>
          <w:left w:val="single" w:color="B14040" w:sz="18" w:space="12"/>
        </w:pBdr>
        <w:shd w:fill="FCEEEE" w:color="auto" w:val="clear"/>
        <w:spacing w:after="160" w:before="100"/>
        <w:ind w:left="240"/>
      </w:pPr>
      <w:r>
        <w:rPr>
          <w:b/>
          <w:bCs/>
          <w:color w:val="B14040"/>
        </w:rPr>
        <w:t xml:space="preserve">KNOWN GAP:  </w:t>
      </w:r>
      <w:r>
        <w:t xml:space="preserve">Today, almost no events get tagged 'SINGLE_SOURCE' or 'CAPACITY_CONSTRAINT' — none of the policy parsers produce these subtypes. They would come from news/event sources we haven't built yet. So structural_dependency mostly defaults to 0.3 today. Adding a news-event source (GDELT or curated industry feed) is the path to making this sub-input fully live.</w:t>
      </w:r>
    </w:p>
    <w:p>
      <w:pPr>
        <w:pStyle w:val="Heading2"/>
        <w:spacing w:after="160" w:before="300"/>
      </w:pPr>
      <w:r>
        <w:t xml:space="preserve">Financial Pressure (10% of company score)</w:t>
      </w:r>
    </w:p>
    <w:p>
      <w:pPr>
        <w:spacing w:after="120"/>
      </w:pPr>
      <w:r>
        <w:t xml:space="preserve">Reads SEC filings (10-K, 10-Q, 8-K) and surfaces three classes of financial-distress signal.</w:t>
      </w:r>
    </w:p>
    <w:p>
      <w:pPr>
        <w:pStyle w:val="Heading3"/>
        <w:spacing w:after="100" w:before="220"/>
      </w:pPr>
      <w:r>
        <w:t xml:space="preserve">Formula</w:t>
      </w:r>
    </w:p>
    <w:p>
      <w:pPr>
        <w:spacing w:after="120"/>
      </w:pPr>
      <w:r/>
    </w:p>
    <w:p>
      <w:pPr>
        <w:spacing w:after="120"/>
      </w:pPr>
      <w:r>
        <w:t xml:space="preserve">When the company has fewer than 2 filings on file, the raw score is scaled by filing_count / 2 to avoid over-scoring on thin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5860"/>
      </w:tblGrid>
      <w:tr>
        <w:tc>
          <w:tcPr>
            <w:tcW w:type="dxa" w:w="24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Sub-input</w:t>
            </w:r>
          </w:p>
        </w:tc>
        <w:tc>
          <w:tcPr>
            <w:tcW w:type="dxa" w:w="11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Max</w:t>
            </w:r>
          </w:p>
        </w:tc>
        <w:tc>
          <w:tcPr>
            <w:tcW w:type="dxa" w:w="58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How it's calculated</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Base filing signal</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40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Average severity across recent filings × 40. Severity from keyword/sentiment scoring of risk-factor sections.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Leverage warning bonus</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Sum of severities for events tagged 'LEVERAGE_WARNING' or 'COVENANT_STRESS'.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Liquidity stress bonus</w:t>
            </w:r>
          </w:p>
        </w:tc>
        <w:tc>
          <w:tcPr>
            <w:tcW w:type="dxa" w:w="11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30</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Sum of severities for events tagged 'GOING_CONCERN', 'CASH_RUNWAY', or 'CAPEX_CUT'.</w:t>
            </w:r>
          </w:p>
        </w:tc>
      </w:tr>
    </w:tbl>
    <w:p>
      <w:pPr>
        <w:spacing w:after="120"/>
      </w:pPr>
      <w:r>
        <w:t xml:space="preserve"/>
      </w:r>
    </w:p>
    <w:p>
      <w:pPr>
        <w:spacing w:after="120"/>
      </w:pPr>
      <w:r/>
    </w:p>
    <w:p>
      <w:pPr>
        <w:pStyle w:val="Heading2"/>
        <w:spacing w:after="160" w:before="300"/>
      </w:pPr>
      <w:r>
        <w:t xml:space="preserve">How the six pillars combine into a final score</w:t>
      </w:r>
    </w:p>
    <w:p>
      <w:pPr>
        <w:spacing w:after="120"/>
      </w:pPr>
      <w:r/>
      <w:r/>
      <w:r/>
    </w:p>
    <w:p>
      <w:pPr>
        <w:spacing w:after="120"/>
      </w:pPr>
      <w:r>
        <w:t xml:space="preserve">For material-level scoring (not company-level), two additional rollups happen:</w:t>
      </w:r>
    </w:p>
    <w:p>
      <w:pPr>
        <w:pStyle w:val="ListParagraph"/>
        <w:numPr>
          <w:ilvl w:val="0"/>
          <w:numId w:val="3"/>
        </w:numPr>
        <w:spacing w:after="80"/>
      </w:pPr>
      <w:r>
        <w:t xml:space="preserve">Material × geography rollup: a material score is computed separately for each major producing country, capturing geography-specific risk. The aggregator uses production-share data where available, and the 0.02 facility-presence floor when only MRDS facility data exists.</w:t>
      </w:r>
    </w:p>
    <w:p>
      <w:pPr>
        <w:pStyle w:val="ListParagraph"/>
        <w:numPr>
          <w:ilvl w:val="0"/>
          <w:numId w:val="3"/>
        </w:numPr>
        <w:spacing w:after="80"/>
      </w:pPr>
      <w:r>
        <w:t xml:space="preserve">Global material rollup: the material-by-geography rows roll up into a single global score per material, weighted by trade flow export value (preferred), production share (fallback), or equal weight (last resort).</w:t>
      </w:r>
    </w:p>
    <w:p>
      <w:pPr>
        <w:pBdr>
          <w:left w:val="single" w:color="B87333" w:sz="18" w:space="12"/>
        </w:pBdr>
        <w:shd w:fill="FFF8E7" w:color="auto" w:val="clear"/>
        <w:spacing w:after="160" w:before="100"/>
        <w:ind w:left="240"/>
      </w:pPr>
      <w:r>
        <w:rPr>
          <w:b/>
          <w:bCs/>
          <w:color w:val="B87333"/>
        </w:rPr>
        <w:t xml:space="preserve">PARTNER INPUT REQUESTED:  </w:t>
      </w:r>
      <w:r>
        <w:rPr>
          <w:i/>
          <w:iCs/>
        </w:rPr>
        <w:t xml:space="preserve">The trade-flow-export-value weighting for the global rollup means a material is dominated in its global score by whichever country EXPORTS the most of it. For cobalt that means DRC dominates; for lithium it's Chile/Australia. Is export-value the right weighting basis, or should consumption-weighted (shifting toward Chinese refined demand) be the default?</w:t>
      </w:r>
    </w:p>
    <w:p>
      <w:r>
        <w:br w:type="page"/>
      </w:r>
    </w:p>
    <w:p>
      <w:pPr>
        <w:pStyle w:val="Heading1"/>
        <w:spacing w:after="240" w:before="400"/>
      </w:pPr>
      <w:r>
        <w:t xml:space="preserve">Part 5 — Policy Event Sources</w:t>
      </w:r>
    </w:p>
    <w:p>
      <w:pPr>
        <w:spacing w:after="120"/>
      </w:pPr>
      <w:r>
        <w:t xml:space="preserve">This section covers each of the four policy event sources. For each: what it captures, the taxonomy of events it produces, the exact severity scoring formula with worked examples, how materials and countries get attributed, and which scoring pillars the events feed.</w:t>
      </w:r>
    </w:p>
    <w:p>
      <w:pPr>
        <w:pStyle w:val="Heading2"/>
        <w:spacing w:after="160" w:before="300"/>
      </w:pPr>
      <w:r>
        <w:t xml:space="preserve">Global Trade Alert (GTA)</w:t>
      </w:r>
    </w:p>
    <w:p>
      <w:pPr>
        <w:pStyle w:val="Heading3"/>
        <w:spacing w:after="100" w:before="220"/>
      </w:pPr>
      <w:r>
        <w:t xml:space="preserve">What it covers</w:t>
      </w:r>
    </w:p>
    <w:p>
      <w:pPr>
        <w:spacing w:after="120"/>
      </w:pPr>
      <w:r>
        <w:t xml:space="preserve">Global Trade Alert, maintained by the University of St. Gallen, is the authoritative public observatory of government trade-policy interventions worldwide. We ingest only "Red" (harmful) interventions — Amber (announced but not implemented) and Green (liberalising) are out of scope. Geographic scope global, weekly latency, one event per discrete state act with affected HS-6 trade codes.</w:t>
      </w:r>
    </w:p>
    <w:p>
      <w:pPr>
        <w:spacing w:after="120"/>
      </w:pPr>
      <w:r>
        <w:t xml:space="preserve">Filtered to a curated set of HS prefixes covering battery-relevant commodities: lithium, graphite, manganese, nickel, cobalt, copper, REE, PGM, tungsten, gallium, germanium, indium, niobium, antimony, magnesium, titanium, finished batteries (HS 8507), and battery scrap.</w:t>
      </w:r>
    </w:p>
    <w:p>
      <w:pPr>
        <w:pStyle w:val="Heading3"/>
        <w:spacing w:after="100" w:before="220"/>
      </w:pPr>
      <w:r>
        <w:t xml:space="preserve">Event subtypes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Subtype</w:t>
            </w:r>
          </w:p>
        </w:tc>
        <w:tc>
          <w:tcPr>
            <w:tcW w:type="dxa" w:w="66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Covers</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EXPORT_RESTRICTION</w:t>
            </w:r>
          </w:p>
        </w:tc>
        <w:tc>
          <w:tcPr>
            <w:tcW w:type="dxa" w:w="6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Export taxes, quotas, licensing, bans. Implementing country is the producer being constrained (e.g., Indonesia's nickel ore export ban).</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IMPORT_DISRUPTION</w:t>
            </w:r>
          </w:p>
        </w:tc>
        <w:tc>
          <w:tcPr>
            <w:tcW w:type="dxa" w:w="6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Import tariffs, quotas, bans. Affected country is the producer whose exports got tariffed.</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EXPORT_SUBSIDY</w:t>
            </w:r>
          </w:p>
        </w:tc>
        <w:tc>
          <w:tcPr>
            <w:tcW w:type="dxa" w:w="6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Trade finance, state loans, financial assistance, loan guarantees, grants, state aid, equity stakes, production subsidies.</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i/>
                <w:iCs/>
              </w:rPr>
              <w:t xml:space="preserve">(no subtype)</w:t>
            </w:r>
          </w:p>
        </w:tc>
        <w:tc>
          <w:tcPr>
            <w:tcW w:type="dxa" w:w="6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Procurement-only measures, PPPs, and other instruments that don't map cleanly to one of the three subtypes above.</w:t>
            </w:r>
          </w:p>
        </w:tc>
      </w:tr>
    </w:tbl>
    <w:p>
      <w:pPr>
        <w:spacing w:after="120"/>
      </w:pPr>
      <w:r>
        <w:t xml:space="preserve"/>
      </w:r>
    </w:p>
    <w:p>
      <w:pPr>
        <w:pStyle w:val="Heading3"/>
        <w:spacing w:after="100" w:before="220"/>
      </w:pPr>
      <w:r>
        <w:t xml:space="preserve">Severity formula</w:t>
      </w:r>
    </w:p>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300"/>
        <w:gridCol w:w="2460"/>
      </w:tblGrid>
      <w:tr>
        <w:tc>
          <w:tcPr>
            <w:tcW w:type="dxa" w:w="46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Intervention</w:t>
            </w:r>
          </w:p>
        </w:tc>
        <w:tc>
          <w:tcPr>
            <w:tcW w:type="dxa" w:w="23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Base</w:t>
            </w:r>
          </w:p>
        </w:tc>
        <w:tc>
          <w:tcPr>
            <w:tcW w:type="dxa" w:w="24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Notes</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Export ban (title contains 'ban' AND 'export')</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0.90</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Strongest single-act type</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Other active Red intervention (in_force=True)</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0.70</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Default active case</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Inactive / removed intervention</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0.30</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Historical record</w:t>
            </w:r>
          </w:p>
        </w:tc>
      </w:tr>
    </w:tbl>
    <w:p>
      <w:pPr>
        <w:spacing w:after="120"/>
      </w:pPr>
      <w:r>
        <w:t xml:space="preserve"/>
      </w:r>
    </w:p>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300"/>
        <w:gridCol w:w="2460"/>
      </w:tblGrid>
      <w:tr>
        <w:tc>
          <w:tcPr>
            <w:tcW w:type="dxa" w:w="46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Modifier</w:t>
            </w:r>
          </w:p>
        </w:tc>
        <w:tc>
          <w:tcPr>
            <w:tcW w:type="dxa" w:w="23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Multiplier</w:t>
            </w:r>
          </w:p>
        </w:tc>
        <w:tc>
          <w:tcPr>
            <w:tcW w:type="dxa" w:w="24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Rationale</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National implementation level</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1.00</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Baseline</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Subnational</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0.50</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State/provincial actions affect smaller share of flow</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Supranational (EU directives, RCEP)</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1.10</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Broader reach than national</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Horizontal scope (broad cross-product)</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0.65</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Signal diluted — policy isn't commodity-specific</w:t>
            </w:r>
          </w:p>
        </w:tc>
      </w:tr>
    </w:tbl>
    <w:p>
      <w:pPr>
        <w:spacing w:after="120"/>
      </w:pPr>
      <w:r>
        <w:t xml:space="preserve"/>
      </w:r>
    </w:p>
    <w:p>
      <w:pPr>
        <w:spacing w:after="120"/>
      </w:pPr>
      <w:r/>
      <w:r/>
    </w:p>
    <w:p>
      <w:pPr>
        <w:pBdr>
          <w:left w:val="single" w:color="1F3A5F" w:sz="12" w:space="12"/>
        </w:pBdr>
        <w:shd w:fill="F4F4F4" w:color="auto" w:val="clear"/>
        <w:spacing w:after="40" w:before="100"/>
        <w:ind w:left="240"/>
      </w:pPr>
      <w:r>
        <w:rPr>
          <w:b/>
          <w:bCs/>
          <w:color w:val="1F3A5F"/>
        </w:rPr>
        <w:t xml:space="preserve">WORKED EXAMPLE — Indonesia nickel ore export ban</w:t>
      </w:r>
    </w:p>
    <w:p>
      <w:pPr>
        <w:pBdr>
          <w:left w:val="single" w:color="1F3A5F" w:sz="12" w:space="12"/>
        </w:pBdr>
        <w:shd w:fill="F4F4F4" w:color="auto" w:val="clear"/>
        <w:spacing w:after="160" w:before="0"/>
        <w:ind w:left="240"/>
      </w:pPr>
      <w:r>
        <w:t xml:space="preserve">Indonesian national-level, in-force, non-horizontal export ban on unwrought nickel: base 0.90 (export ban) × 1.00 (national) = 0.90 severity. With confidence 0.9, the day-zero impact ceiling is 0.90 × 0.90 × 1.20 × 1.30 ≈ 1.26 — close to the 1.56 theoretical ceiling.</w:t>
      </w:r>
    </w:p>
    <w:p>
      <w:pPr>
        <w:pStyle w:val="Heading3"/>
        <w:spacing w:after="100" w:before="220"/>
      </w:pPr>
      <w:r>
        <w:t xml:space="preserve">Material attribution</w:t>
      </w:r>
    </w:p>
    <w:p>
      <w:pPr>
        <w:spacing w:after="120"/>
      </w:pPr>
      <w:r>
        <w:t xml:space="preserve">Single path — HS-code resolution against our hs_code_material_mappings table. Each material's relevance score is 0.90 × hs_confidence (a 6-digit lithium-hydroxide-specific code has confidence near 1.0; a 4-digit "ores and concentrates" prefix has confidence around 0.4). When a material appears under multiple HS codes in the same event, highest-relevance attribution wins.</w:t>
      </w:r>
    </w:p>
    <w:p>
      <w:pPr>
        <w:pStyle w:val="Heading3"/>
        <w:spacing w:after="100" w:before="220"/>
      </w:pPr>
      <w:r>
        <w:t xml:space="preserve">Geography attribution</w:t>
      </w:r>
    </w:p>
    <w:p>
      <w:pPr>
        <w:pStyle w:val="ListParagraph"/>
        <w:numPr>
          <w:ilvl w:val="0"/>
          <w:numId w:val="2"/>
        </w:numPr>
        <w:spacing w:after="80"/>
      </w:pPr>
      <w:r>
        <w:rPr>
          <w:b/>
          <w:bCs/>
        </w:rPr>
        <w:t xml:space="preserve">primary </w:t>
      </w:r>
      <w:r>
        <w:t xml:space="preserve">— implementing country (ISO2), always written, relevance 1.0</w:t>
      </w:r>
    </w:p>
    <w:p>
      <w:pPr>
        <w:pStyle w:val="ListParagraph"/>
        <w:numPr>
          <w:ilvl w:val="0"/>
          <w:numId w:val="2"/>
        </w:numPr>
        <w:spacing w:after="80"/>
      </w:pPr>
      <w:r>
        <w:rPr>
          <w:b/>
          <w:bCs/>
        </w:rPr>
        <w:t xml:space="preserve">affected </w:t>
      </w:r>
      <w:r>
        <w:t xml:space="preserve">— for IMPORT_DISRUPTION only, affected jurisdictions, relevance 1.0. Written when 0 &lt; count ≤ 75 (multilateral acts hitting 100+ jurisdictions are treated as ambient and skipped)</w:t>
      </w:r>
    </w:p>
    <w:p>
      <w:pPr>
        <w:pStyle w:val="Heading3"/>
        <w:spacing w:after="100" w:before="220"/>
      </w:pPr>
      <w:r>
        <w:t xml:space="preserve">Risk categories</w:t>
      </w:r>
    </w:p>
    <w:p>
      <w:pPr>
        <w:pStyle w:val="ListParagraph"/>
        <w:numPr>
          <w:ilvl w:val="0"/>
          <w:numId w:val="2"/>
        </w:numPr>
        <w:spacing w:after="80"/>
      </w:pPr>
      <w:r>
        <w:rPr>
          <w:b/>
          <w:bCs/>
        </w:rPr>
        <w:t xml:space="preserve">Geopolitical / Trade </w:t>
      </w:r>
      <w:r>
        <w:t xml:space="preserve">— default for export/import interventions, local content, investment measures</w:t>
      </w:r>
    </w:p>
    <w:p>
      <w:pPr>
        <w:pStyle w:val="ListParagraph"/>
        <w:numPr>
          <w:ilvl w:val="0"/>
          <w:numId w:val="2"/>
        </w:numPr>
        <w:spacing w:after="80"/>
      </w:pPr>
      <w:r>
        <w:rPr>
          <w:b/>
          <w:bCs/>
        </w:rPr>
        <w:t xml:space="preserve">Regulatory / Compliance </w:t>
      </w:r>
      <w:r>
        <w:t xml:space="preserve">— SPS and TBT measures</w:t>
      </w:r>
    </w:p>
    <w:p>
      <w:pPr>
        <w:pStyle w:val="ListParagraph"/>
        <w:numPr>
          <w:ilvl w:val="0"/>
          <w:numId w:val="2"/>
        </w:numPr>
        <w:spacing w:after="80"/>
      </w:pPr>
      <w:r>
        <w:rPr>
          <w:b/>
          <w:bCs/>
        </w:rPr>
        <w:t xml:space="preserve">Financial Pressure </w:t>
      </w:r>
      <w:r>
        <w:t xml:space="preserve">— trade finance, state aid, equity stakes</w:t>
      </w:r>
    </w:p>
    <w:p>
      <w:pPr>
        <w:pBdr>
          <w:left w:val="single" w:color="B87333" w:sz="18" w:space="12"/>
        </w:pBdr>
        <w:shd w:fill="FFF8E7" w:color="auto" w:val="clear"/>
        <w:spacing w:after="160" w:before="100"/>
        <w:ind w:left="240"/>
      </w:pPr>
      <w:r>
        <w:rPr>
          <w:b/>
          <w:bCs/>
          <w:color w:val="B87333"/>
        </w:rPr>
        <w:t xml:space="preserve">PARTNER INPUT REQUESTED:  </w:t>
      </w:r>
      <w:r>
        <w:rPr>
          <w:i/>
          <w:iCs/>
        </w:rPr>
        <w:t xml:space="preserve">NFI/IFI multiplier is currently × 1.00. With EXPORT_SUBSIDY subtype now live, IFI grants (World Bank, IADB) feed the production_subsidy_distortion sub-input alongside national subsidies. Should they be discounted to 0.5-0.7 because they're typically smaller and more conditional than national programs?</w:t>
      </w:r>
    </w:p>
    <w:p>
      <w:pPr>
        <w:pStyle w:val="Heading2"/>
        <w:spacing w:after="160" w:before="300"/>
      </w:pPr>
      <w:r>
        <w:t xml:space="preserve">IEA Critical Minerals Policy Tracker</w:t>
      </w:r>
    </w:p>
    <w:p>
      <w:pPr>
        <w:pStyle w:val="Heading3"/>
        <w:spacing w:after="100" w:before="220"/>
      </w:pPr>
      <w:r>
        <w:t xml:space="preserve">What it covers</w:t>
      </w:r>
    </w:p>
    <w:p>
      <w:pPr>
        <w:spacing w:after="120"/>
      </w:pPr>
      <w:r>
        <w:t xml:space="preserve">The constructive side of minerals policy — investment pledges, domestic-content milestones, regulatory frameworks. Complements GTA which covers harmful trade-restrictive actions. Geographic scope: ~40 IEA-member countries. Manual download (CSV/XLSX). Events ingested at intentionally low severity because they're positive-policy signals.</w:t>
      </w:r>
    </w:p>
    <w:p>
      <w:pPr>
        <w:pStyle w:val="Heading3"/>
        <w:spacing w:after="100" w:before="220"/>
      </w:pPr>
      <w:r>
        <w:t xml:space="preserve">Event types and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300"/>
        <w:gridCol w:w="2460"/>
      </w:tblGrid>
      <w:tr>
        <w:tc>
          <w:tcPr>
            <w:tcW w:type="dxa" w:w="46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Status</w:t>
            </w:r>
          </w:p>
        </w:tc>
        <w:tc>
          <w:tcPr>
            <w:tcW w:type="dxa" w:w="23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Severity</w:t>
            </w:r>
          </w:p>
        </w:tc>
        <w:tc>
          <w:tcPr>
            <w:tcW w:type="dxa" w:w="24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Meaning</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Implemented / In force / Enacted</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0.20</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Live and binding</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Announced</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0.15</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Politically committed, not yet legal</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Proposed / Under review</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0.10</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Under deliberation</w:t>
            </w:r>
          </w:p>
        </w:tc>
      </w:tr>
    </w:tbl>
    <w:p>
      <w:pPr>
        <w:spacing w:after="120"/>
      </w:pPr>
      <w:r>
        <w:t xml:space="preserve"/>
      </w:r>
    </w:p>
    <w:p>
      <w:pPr>
        <w:spacing w:after="120"/>
      </w:pPr>
      <w:r>
        <w:t xml:space="preserve">Confidence hardcoded to 0.65 — the lowest of any source. The combination of low base severity and low confidence is intentional: positive-policy events are context, not score-drivers.</w:t>
      </w:r>
    </w:p>
    <w:p>
      <w:pPr>
        <w:pStyle w:val="Heading3"/>
        <w:spacing w:after="100" w:before="220"/>
      </w:pPr>
      <w:r>
        <w:t xml:space="preserve">Material attribution</w:t>
      </w:r>
    </w:p>
    <w:p>
      <w:pPr>
        <w:spacing w:after="120"/>
      </w:pPr>
      <w:r>
        <w:t xml:space="preserve">Three-stage flow: (1) Tech basket — IEA's technology category strings map to curated mineral lists at relevance 0.40, (2) Keyword scan — MaterialCache scans the policy text for direct mineral mentions, (3) Haiku confirmation when ANTHROPIC_API_KEY is set.</w:t>
      </w:r>
    </w:p>
    <w:p>
      <w:pPr>
        <w:pBdr>
          <w:left w:val="single" w:color="B14040" w:sz="18" w:space="12"/>
        </w:pBdr>
        <w:shd w:fill="FCEEEE" w:color="auto" w:val="clear"/>
        <w:spacing w:after="160" w:before="100"/>
        <w:ind w:left="240"/>
      </w:pPr>
      <w:r>
        <w:rPr>
          <w:b/>
          <w:bCs/>
          <w:color w:val="B14040"/>
        </w:rPr>
        <w:t xml:space="preserve">KNOWN GAP:  </w:t>
      </w:r>
      <w:r>
        <w:t xml:space="preserve">IEA does NOT yet have the three-way Haiku scope gate that the Federal Register parser got in v2. The IEA flow only handles binary 'Haiku says not relevant with high confidence → drop'; low-confidence Haiku acceptances slip through silently. Same blind spot Federal Register had pre-fix. Applying the same three-way gate to IEA is a tracked follow-up.</w:t>
      </w:r>
    </w:p>
    <w:p>
      <w:pPr>
        <w:pStyle w:val="Heading2"/>
        <w:spacing w:after="160" w:before="300"/>
      </w:pPr>
      <w:r>
        <w:t xml:space="preserve">US Federal Register</w:t>
      </w:r>
    </w:p>
    <w:p>
      <w:pPr>
        <w:pStyle w:val="Heading3"/>
        <w:spacing w:after="100" w:before="220"/>
      </w:pPr>
      <w:r>
        <w:t xml:space="preserve">What it covers</w:t>
      </w:r>
    </w:p>
    <w:p>
      <w:pPr>
        <w:spacing w:after="120"/>
      </w:pPr>
      <w:r>
        <w:t xml:space="preserve">US daily publication record of US federal regulatory action — notices, rules, proposed rules, presidential documents. Ten targeted query streams covering OFAC sanctions, BIS export controls, trade-remedy actions, presidential documents (five sub-queries for tariff/Section 232/Section 301/critical mineral/sanction), mining-agency regulation, and UFLPA. Public API, no auth, typically next-day latency.</w:t>
      </w:r>
    </w:p>
    <w:p>
      <w:pPr>
        <w:pStyle w:val="Heading3"/>
        <w:spacing w:after="100" w:before="220"/>
      </w:pPr>
      <w:r>
        <w:t xml:space="preserve">Severity formula</w:t>
      </w:r>
    </w:p>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300"/>
        <w:gridCol w:w="2460"/>
      </w:tblGrid>
      <w:tr>
        <w:tc>
          <w:tcPr>
            <w:tcW w:type="dxa" w:w="46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Document type</w:t>
            </w:r>
          </w:p>
        </w:tc>
        <w:tc>
          <w:tcPr>
            <w:tcW w:type="dxa" w:w="23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Base</w:t>
            </w:r>
          </w:p>
        </w:tc>
        <w:tc>
          <w:tcPr>
            <w:tcW w:type="dxa" w:w="24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Meaning</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Executive order</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0.85</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Highest authority short of legislation</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Presidential document</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0.80</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Memos, determinations, directives</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Proclamation</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0.75</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Often ceremonial, sometimes substantive (tariffs)</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Final rule</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0.70</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Binding regulation</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Interim final rule</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0.65</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Binding pending finalization</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Proposed rule</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0.50</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Signal only, may change</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Notice</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0.40</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Procedural / informational</w:t>
            </w:r>
          </w:p>
        </w:tc>
      </w:tr>
    </w:tbl>
    <w:p>
      <w:pPr>
        <w:spacing w:after="120"/>
      </w:pPr>
      <w:r>
        <w:t xml:space="preserve"/>
      </w:r>
    </w:p>
    <w:p>
      <w:pPr>
        <w:spacing w:after="120"/>
      </w:pPr>
      <w:r/>
      <w:r/>
    </w:p>
    <w:p>
      <w:pPr>
        <w:spacing w:after="120"/>
      </w:pPr>
      <w:r/>
      <w:r/>
    </w:p>
    <w:p>
      <w:pPr>
        <w:spacing w:after="120"/>
      </w:pPr>
      <w:r/>
      <w:r/>
    </w:p>
    <w:p>
      <w:pPr>
        <w:pBdr>
          <w:left w:val="single" w:color="1F3A5F" w:sz="12" w:space="12"/>
        </w:pBdr>
        <w:shd w:fill="F4F4F4" w:color="auto" w:val="clear"/>
        <w:spacing w:after="40" w:before="100"/>
        <w:ind w:left="240"/>
      </w:pPr>
      <w:r>
        <w:rPr>
          <w:b/>
          <w:bCs/>
          <w:color w:val="1F3A5F"/>
        </w:rPr>
        <w:t xml:space="preserve">WORKED EXAMPLE — OFAC sanctions notice on Chinese lithium refiner</w:t>
      </w:r>
    </w:p>
    <w:p>
      <w:pPr>
        <w:pBdr>
          <w:left w:val="single" w:color="1F3A5F" w:sz="12" w:space="12"/>
        </w:pBdr>
        <w:shd w:fill="F4F4F4" w:color="auto" w:val="clear"/>
        <w:spacing w:after="160" w:before="0"/>
        <w:ind w:left="240"/>
      </w:pPr>
      <w:r>
        <w:t xml:space="preserve">OFAC notice (base 0.40) caught by ofac_sanctions query (boost +0.20) mentioning 'lithium' and 'Xinjiang' in title (keyword boost +0.22 capped): total = 0.40 + 0.20 + 0.22 = 0.82 severity. With confidence 0.70: day-zero impact ceiling = 0.82 × 0.70 × 1.20 × 1.30 ≈ 0.90.</w:t>
      </w:r>
    </w:p>
    <w:p>
      <w:pPr>
        <w:pStyle w:val="Heading3"/>
        <w:spacing w:after="100" w:before="220"/>
      </w:pPr>
      <w:r>
        <w:t xml:space="preserve">Material attribution — four layers</w:t>
      </w:r>
    </w:p>
    <w:p>
      <w:pPr>
        <w:pStyle w:val="ListParagraph"/>
        <w:numPr>
          <w:ilvl w:val="0"/>
          <w:numId w:val="3"/>
        </w:numPr>
        <w:spacing w:after="80"/>
      </w:pPr>
      <w:r>
        <w:rPr>
          <w:b/>
          <w:bCs/>
        </w:rPr>
        <w:t xml:space="preserve">Q5 denylist </w:t>
      </w:r>
      <w:r>
        <w:t xml:space="preserve">(mining_minerals query only) — drops titles matching turtle/grazing/oil-and-gas/military-land patterns.</w:t>
      </w:r>
    </w:p>
    <w:p>
      <w:pPr>
        <w:pStyle w:val="ListParagraph"/>
        <w:numPr>
          <w:ilvl w:val="0"/>
          <w:numId w:val="3"/>
        </w:numPr>
        <w:spacing w:after="80"/>
      </w:pPr>
      <w:r>
        <w:rPr>
          <w:b/>
          <w:bCs/>
        </w:rPr>
        <w:t xml:space="preserve">Topic attribution </w:t>
      </w:r>
      <w:r>
        <w:t xml:space="preserve">(relevance 0.90) — FR's controlled-vocabulary topics map to canonical materials via material_source_aliases table.</w:t>
      </w:r>
    </w:p>
    <w:p>
      <w:pPr>
        <w:pStyle w:val="ListParagraph"/>
        <w:numPr>
          <w:ilvl w:val="0"/>
          <w:numId w:val="3"/>
        </w:numPr>
        <w:spacing w:after="80"/>
      </w:pPr>
      <w:r>
        <w:rPr>
          <w:b/>
          <w:bCs/>
        </w:rPr>
        <w:t xml:space="preserve">Title attribution </w:t>
      </w:r>
      <w:r>
        <w:t xml:space="preserve">(mixed) — three sub-layers: MaterialCache scan (0.10-0.85), AD/CVD wordings (0.90), basket fanout patterns (0.40).</w:t>
      </w:r>
    </w:p>
    <w:p>
      <w:pPr>
        <w:pStyle w:val="ListParagraph"/>
        <w:numPr>
          <w:ilvl w:val="0"/>
          <w:numId w:val="3"/>
        </w:numPr>
        <w:spacing w:after="80"/>
      </w:pPr>
      <w:r>
        <w:rPr>
          <w:b/>
          <w:bCs/>
        </w:rPr>
        <w:t xml:space="preserve">Haiku extraction </w:t>
      </w:r>
      <w:r>
        <w:t xml:space="preserve">(per-query policy: always / fallback / after_denylist / never) — Claude Haiku reads the full document and extracts structured material × country attribution.</w:t>
      </w:r>
    </w:p>
    <w:p>
      <w:pPr>
        <w:pBdr>
          <w:left w:val="single" w:color="3A7D5C" w:sz="18" w:space="12"/>
        </w:pBdr>
        <w:shd w:fill="EEF6F2" w:color="auto" w:val="clear"/>
        <w:spacing w:after="160" w:before="100"/>
        <w:ind w:left="240"/>
      </w:pPr>
      <w:r>
        <w:rPr>
          <w:b/>
          <w:bCs/>
          <w:color w:val="3A7D5C"/>
        </w:rPr>
        <w:t xml:space="preserve">NEW IN v2:  </w:t>
      </w:r>
      <w:r>
        <w:t xml:space="preserve">v2 added a three-way Haiku scope gate: high-confidence reject (drop), high-confidence accept (proceed), low confidence either direction (preserve for analyst review). Closes a blind spot where low-confidence Haiku acceptances were slipping through. Caught "National Ocean Month, 2025" — a ceremonial proclamation that was being admitted at scope_confidence 0.65 before the fix.</w:t>
      </w:r>
    </w:p>
    <w:p>
      <w:pPr>
        <w:pStyle w:val="Heading2"/>
        <w:spacing w:after="160" w:before="300"/>
      </w:pPr>
      <w:r>
        <w:t xml:space="preserve">OpenSanctions</w:t>
      </w:r>
    </w:p>
    <w:p>
      <w:pPr>
        <w:pStyle w:val="Heading3"/>
        <w:spacing w:after="100" w:before="220"/>
      </w:pPr>
      <w:r>
        <w:t xml:space="preserve">What it covers</w:t>
      </w:r>
    </w:p>
    <w:p>
      <w:pPr>
        <w:spacing w:after="120"/>
      </w:pPr>
      <w:r>
        <w:t xml:space="preserve">Free consolidated sanctions database aggregating designations from OFAC, EU, UN, UK, and ~100 other regimes. Daily bulk CSV export. We ingest company-style entities only (not individuals). Rate-limited to weekly refreshes.</w:t>
      </w:r>
    </w:p>
    <w:p>
      <w:pPr>
        <w:pStyle w:val="Heading3"/>
        <w:spacing w:after="100" w:before="220"/>
      </w:pPr>
      <w:r>
        <w:t xml:space="preserve">Two event types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event_type</w:t>
            </w:r>
          </w:p>
        </w:tc>
        <w:tc>
          <w:tcPr>
            <w:tcW w:type="dxa" w:w="66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What it represents</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sanctions_listing</w:t>
            </w:r>
          </w:p>
        </w:tc>
        <w:tc>
          <w:tcPr>
            <w:tcW w:type="dxa" w:w="6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One event per matched company. Fires when an OpenSanctions entity matches a company via LEI (primary match) or normalized name (fallback). Severity hardcoded 1.0.</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geography_sanctions_exposure</w:t>
            </w:r>
          </w:p>
        </w:tc>
        <w:tc>
          <w:tcPr>
            <w:tcW w:type="dxa" w:w="6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One event per high-concentration country. Fires when sanctioned-entity count reaches threshold. Severity = min(1.0, count/500). China with 1000+ saturates at 1.0.</w:t>
            </w:r>
          </w:p>
        </w:tc>
      </w:tr>
    </w:tbl>
    <w:p>
      <w:pPr>
        <w:spacing w:after="120"/>
      </w:pPr>
      <w:r>
        <w:t xml:space="preserve"/>
      </w:r>
    </w:p>
    <w:p>
      <w:pPr>
        <w:pStyle w:val="Heading3"/>
        <w:spacing w:after="100" w:before="220"/>
      </w:pPr>
      <w:r>
        <w:t xml:space="preserve">Material attribution — structured only</w:t>
      </w:r>
    </w:p>
    <w:p>
      <w:pPr>
        <w:spacing w:after="120"/>
      </w:pPr>
      <w:r>
        <w:t xml:space="preserve">OpenSanctions does NOT use keyword-matching of entity names — deliberately. Sanctioned company attribution uses partner-curated CompanyMaterialExposure entries; geography sanctions exposure uses USGS material_production_shares data filtered to ≥ 5% global share.</w:t>
      </w:r>
    </w:p>
    <w:p>
      <w:pPr>
        <w:pBdr>
          <w:left w:val="single" w:color="B14040" w:sz="18" w:space="12"/>
        </w:pBdr>
        <w:shd w:fill="FCEEEE" w:color="auto" w:val="clear"/>
        <w:spacing w:after="160" w:before="100"/>
        <w:ind w:left="240"/>
      </w:pPr>
      <w:r>
        <w:rPr>
          <w:b/>
          <w:bCs/>
          <w:color w:val="B14040"/>
        </w:rPr>
        <w:t xml:space="preserve">KNOWN GAP:  </w:t>
      </w:r>
      <w:r>
        <w:t xml:space="preserve">OpenSanctions has 6 pre-existing test failures from a stale signature mismatch (_content_hash function). The parser is working in production but the tests need fixing. Classifier integration was reverted from OpenSanctions after audit — material attribution is purely structured (exposure tables + production shares), no LLM in the path.</w:t>
      </w:r>
    </w:p>
    <w:p>
      <w:r>
        <w:br w:type="page"/>
      </w:r>
    </w:p>
    <w:p>
      <w:pPr>
        <w:pStyle w:val="Heading1"/>
        <w:spacing w:after="240" w:before="400"/>
      </w:pPr>
      <w:r>
        <w:t xml:space="preserve">Part 6 — Regulation Event Sources</w:t>
      </w:r>
    </w:p>
    <w:p>
      <w:pPr>
        <w:spacing w:after="120"/>
      </w:pPr>
      <w:r>
        <w:t xml:space="preserve">This is the most substantively-rebuilt section between v1 and v2. EUR-Lex is our primary regulation parser, but the surrounding architecture (regulation universe, alias resolution, scope-type intensity, conditional geography intersection) is what actually makes the engine express regulation-driven risk accurately.</w:t>
      </w:r>
    </w:p>
    <w:p>
      <w:pPr>
        <w:pBdr>
          <w:left w:val="single" w:color="3A7D5C" w:sz="18" w:space="12"/>
        </w:pBdr>
        <w:shd w:fill="EEF6F2" w:color="auto" w:val="clear"/>
        <w:spacing w:after="160" w:before="100"/>
        <w:ind w:left="240"/>
      </w:pPr>
      <w:r>
        <w:rPr>
          <w:b/>
          <w:bCs/>
          <w:color w:val="3A7D5C"/>
        </w:rPr>
        <w:t xml:space="preserve">NEW IN v2:  </w:t>
      </w:r>
      <w:r>
        <w:t xml:space="preserve">Everything in Part 6 is new in v2. v1 mentioned EUR-Lex as a known gap — that was wrong. EUR-Lex was already built, just under-documented. This entire section covers what the regulation parser actually does, plus five significant mechanism additions shipped during the v2 partner-review session.</w:t>
      </w:r>
    </w:p>
    <w:p>
      <w:pPr>
        <w:pStyle w:val="Heading2"/>
        <w:spacing w:after="160" w:before="300"/>
      </w:pPr>
      <w:r>
        <w:t xml:space="preserve">How regulations are different from policies</w:t>
      </w:r>
    </w:p>
    <w:p>
      <w:pPr>
        <w:spacing w:after="120"/>
      </w:pPr>
      <w:r>
        <w:t xml:space="preserve">The four policy sources covered in Part 5 (GTA, IEA, Federal Register, OpenSanctions) are all discovery-based — they scan everything their source publishes and decide per-document whether to ingest. Regulations are attachment-based: we only ingest signals for regulations we have already manually curated in our seed file. Concretely: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c>
          <w:tcPr>
            <w:tcW w:type="dxa" w:w="34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Dimension</w:t>
            </w:r>
          </w:p>
        </w:tc>
        <w:tc>
          <w:tcPr>
            <w:tcW w:type="dxa" w:w="298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Policy parsers</w:t>
            </w:r>
          </w:p>
        </w:tc>
        <w:tc>
          <w:tcPr>
            <w:tcW w:type="dxa" w:w="298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Regulation parser</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Universe</w:t>
            </w:r>
          </w:p>
        </w:tc>
        <w:tc>
          <w:tcPr>
            <w:tcW w:type="dxa" w:w="298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Auto-discovered per source query (10 FR queries, IEA full feed, GTA full Red feed)</w:t>
            </w:r>
          </w:p>
        </w:tc>
        <w:tc>
          <w:tcPr>
            <w:tcW w:type="dxa" w:w="298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Manually curated. 6 EU regulations + 2 US (UFLPA, IRA) currently tracked.</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Event date</w:t>
            </w:r>
          </w:p>
        </w:tc>
        <w:tc>
          <w:tcPr>
            <w:tcW w:type="dxa" w:w="298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Specific publication date — recency decay applies</w:t>
            </w:r>
          </w:p>
        </w:tc>
        <w:tc>
          <w:tcPr>
            <w:tcW w:type="dxa" w:w="298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None (standing obligation — always in scope). Effective date stored separately for proximity adjustment.</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Event count per source</w:t>
            </w:r>
          </w:p>
        </w:tc>
        <w:tc>
          <w:tcPr>
            <w:tcW w:type="dxa" w:w="298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Many (hundreds per ingest)</w:t>
            </w:r>
          </w:p>
        </w:tc>
        <w:tc>
          <w:tcPr>
            <w:tcW w:type="dxa" w:w="298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One per regulation (8 total today)</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Severity range</w:t>
            </w:r>
          </w:p>
        </w:tc>
        <w:tc>
          <w:tcPr>
            <w:tcW w:type="dxa" w:w="298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0.30 – 0.92 (FR), 0.0 – 1.0 (GTA), 0.10 – 0.20 (IEA), 1.0 (OS)</w:t>
            </w:r>
          </w:p>
        </w:tc>
        <w:tc>
          <w:tcPr>
            <w:tcW w:type="dxa" w:w="298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0.00 – 0.70 (per status), with per-regulation override capability</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Confidence</w:t>
            </w:r>
          </w:p>
        </w:tc>
        <w:tc>
          <w:tcPr>
            <w:tcW w:type="dxa" w:w="298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0.65 – 1.00 depending on source</w:t>
            </w:r>
          </w:p>
        </w:tc>
        <w:tc>
          <w:tcPr>
            <w:tcW w:type="dxa" w:w="298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0.9 (high but not max — soft side is scope interpretation)</w:t>
            </w:r>
          </w:p>
        </w:tc>
      </w:tr>
      <w:tr>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Per-material differentiation within a single event</w:t>
            </w:r>
          </w:p>
        </w:tc>
        <w:tc>
          <w:tcPr>
            <w:tcW w:type="dxa" w:w="298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None — all attributed materials share the same event severity</w:t>
            </w:r>
          </w:p>
        </w:tc>
        <w:tc>
          <w:tcPr>
            <w:tcW w:type="dxa" w:w="298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YES — scope_type drives a severity multiplier (~3× spread between banned and disclosure)</w:t>
            </w:r>
          </w:p>
        </w:tc>
      </w:tr>
    </w:tbl>
    <w:p>
      <w:pPr>
        <w:spacing w:after="120"/>
      </w:pPr>
      <w:r>
        <w:t xml:space="preserve"/>
      </w:r>
    </w:p>
    <w:p>
      <w:pPr>
        <w:pStyle w:val="Heading2"/>
        <w:spacing w:after="160" w:before="300"/>
      </w:pPr>
      <w:r>
        <w:t xml:space="preserve">The currently-tracked regulations</w:t>
      </w:r>
    </w:p>
    <w:p>
      <w:pPr>
        <w:spacing w:after="120"/>
      </w:pPr>
      <w:r>
        <w:t xml:space="preserve">Eight regulations are tracked today, six EU and two US. The two US regulations (UFLPA, IRA Domestic Content) come into the engine via the Federal Register parser's specific query streams; the six EU regulations come via EUR-Lex: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2960"/>
      </w:tblGrid>
      <w:tr>
        <w:tc>
          <w:tcPr>
            <w:tcW w:type="dxa" w:w="30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Regulation</w:t>
            </w:r>
          </w:p>
        </w:tc>
        <w:tc>
          <w:tcPr>
            <w:tcW w:type="dxa" w:w="17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CELEX / source</w:t>
            </w:r>
          </w:p>
        </w:tc>
        <w:tc>
          <w:tcPr>
            <w:tcW w:type="dxa" w:w="17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Obligation weight</w:t>
            </w:r>
          </w:p>
        </w:tc>
        <w:tc>
          <w:tcPr>
            <w:tcW w:type="dxa" w:w="29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Standing severity (effective)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UFLPA (US)</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FR queries</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25</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FR-event-driven (no standing event)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Battery Regulation 2023</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32023R1542</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20</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0.70 (× confidence 0.9 = ceiling 0.63)</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Critical Raw Materials Act</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32024R1252</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15</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0.70 × 0.9 = 0.63</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IRA Domestic Content (US)</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FR queries</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15</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FR-event-driven</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CSDDD</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32024L1760</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10</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0.70 × 0.9 = 0.63</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REACH (Cobalt)</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32006R1907</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8</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0.70 × 0.9 = 0.63</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CBAM</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32023R0956</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5</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0.70 × 0.9 = 0.63</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Conflict Minerals</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32017R0821</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w:t>
            </w:r>
          </w:p>
        </w:tc>
        <w:tc>
          <w:tcPr>
            <w:tcW w:type="dxa" w:w="2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0.70 × 0.9 = 0.63</w:t>
            </w:r>
          </w:p>
        </w:tc>
      </w:tr>
    </w:tbl>
    <w:p>
      <w:pPr>
        <w:spacing w:after="120"/>
      </w:pPr>
      <w:r>
        <w:t xml:space="preserve"/>
      </w:r>
    </w:p>
    <w:p>
      <w:pPr>
        <w:spacing w:after="120"/>
      </w:pPr>
      <w:r/>
      <w:r/>
    </w:p>
    <w:p>
      <w:pPr>
        <w:pStyle w:val="Heading2"/>
        <w:spacing w:after="160" w:before="300"/>
      </w:pPr>
      <w:r>
        <w:t xml:space="preserve">EUR-Lex parser detail</w:t>
      </w:r>
    </w:p>
    <w:p>
      <w:pPr>
        <w:pStyle w:val="Heading3"/>
        <w:spacing w:after="100" w:before="220"/>
      </w:pPr>
      <w:r>
        <w:t xml:space="preserve">Architecture</w:t>
      </w:r>
    </w:p>
    <w:p>
      <w:pPr>
        <w:spacing w:after="120"/>
      </w:pPr>
      <w:r>
        <w:t xml:space="preserve">EUR-Lex is the EU's authoritative legal database. The parser:</w:t>
      </w:r>
    </w:p>
    <w:p>
      <w:pPr>
        <w:pStyle w:val="ListParagraph"/>
        <w:numPr>
          <w:ilvl w:val="0"/>
          <w:numId w:val="3"/>
        </w:numPr>
        <w:spacing w:after="80"/>
      </w:pPr>
      <w:r>
        <w:t xml:space="preserve">Pulls regulation summaries from the EUR-Lex HTML page (first 2500 characters, was 800 in v1, bumped 2026-05-17 per partner direction)</w:t>
      </w:r>
    </w:p>
    <w:p>
      <w:pPr>
        <w:pStyle w:val="ListParagraph"/>
        <w:numPr>
          <w:ilvl w:val="0"/>
          <w:numId w:val="3"/>
        </w:numPr>
        <w:spacing w:after="80"/>
      </w:pPr>
      <w:r>
        <w:t xml:space="preserve">Pulls structured legal-status fields from the bibliographic notice page (different URL — "Date of effect," "Date of end of validity," "Repealed by")</w:t>
      </w:r>
    </w:p>
    <w:p>
      <w:pPr>
        <w:pStyle w:val="ListParagraph"/>
        <w:numPr>
          <w:ilvl w:val="0"/>
          <w:numId w:val="3"/>
        </w:numPr>
        <w:spacing w:after="80"/>
      </w:pPr>
      <w:r>
        <w:t xml:space="preserve">Generates one RiskEvent per regulation, plus material/geography junction rows from the regulation's pre-curated scopes</w:t>
      </w:r>
    </w:p>
    <w:p>
      <w:pPr>
        <w:pStyle w:val="ListParagraph"/>
        <w:numPr>
          <w:ilvl w:val="0"/>
          <w:numId w:val="3"/>
        </w:numPr>
        <w:spacing w:after="80"/>
      </w:pPr>
      <w:r>
        <w:t xml:space="preserve">Detects status changes and flags them for partner review (without auto-mutating)</w:t>
      </w:r>
    </w:p>
    <w:p>
      <w:pPr>
        <w:pStyle w:val="Heading3"/>
        <w:spacing w:after="100" w:before="220"/>
      </w:pPr>
      <w:r>
        <w:t xml:space="preserve">Severity calibration (recalibrated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060"/>
      </w:tblGrid>
      <w:tr>
        <w:tc>
          <w:tcPr>
            <w:tcW w:type="dxa" w:w="30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Status</w:t>
            </w:r>
          </w:p>
        </w:tc>
        <w:tc>
          <w:tcPr>
            <w:tcW w:type="dxa" w:w="23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Severity (v2)</w:t>
            </w:r>
          </w:p>
        </w:tc>
        <w:tc>
          <w:tcPr>
            <w:tcW w:type="dxa" w:w="40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Rationale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Effective</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0.70 (was 0.55)</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Parity with FR final-rule baseline — an actively-enforced regulation should carry the same event weight as a US final rule.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Enacted</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0.40 (unchanged)</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Passed but not yet in force — compliance prep pressure, not active enforcement.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Proposed</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0.15 (was 0.25)</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Early signal only. Proposed regulations frequently die in legislative process.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Superseded</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0.00 (was 0.05)</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 repealed regulation doesn't contribute current risk. Historical context preserved in the event row but no score contribution.</w:t>
            </w:r>
          </w:p>
        </w:tc>
      </w:tr>
    </w:tbl>
    <w:p>
      <w:pPr>
        <w:spacing w:after="120"/>
      </w:pPr>
      <w:r>
        <w:t xml:space="preserve"/>
      </w:r>
    </w:p>
    <w:p>
      <w:pPr>
        <w:spacing w:after="120"/>
      </w:pPr>
      <w:r/>
      <w:r/>
    </w:p>
    <w:p>
      <w:pPr>
        <w:pBdr>
          <w:left w:val="single" w:color="B87333" w:sz="18" w:space="12"/>
        </w:pBdr>
        <w:shd w:fill="FFF8E7" w:color="auto" w:val="clear"/>
        <w:spacing w:after="160" w:before="100"/>
        <w:ind w:left="240"/>
      </w:pPr>
      <w:r>
        <w:rPr>
          <w:b/>
          <w:bCs/>
          <w:color w:val="B87333"/>
        </w:rPr>
        <w:t xml:space="preserve">PARTNER INPUT REQUESTED:  </w:t>
      </w:r>
      <w:r>
        <w:rPr>
          <w:i/>
          <w:iCs/>
        </w:rPr>
        <w:t xml:space="preserve">The 6 EU regulations all use the global 0.70 effective severity today. Concrete candidates for partner-set overrides: (1) UFLPA → 0.85 (already noted as a candidate when the override mechanism was added) — customs-seizure consequence. (2) EU Battery Regulation 2023 → 0.80 — recycled-content thresholds force material-specification changes throughout the supply chain. (3) EU Conflict Minerals → 0.50 — softest binding, just due-diligence reporting. Discuss with partner whether to apply any of these.</w:t>
      </w:r>
    </w:p>
    <w:p>
      <w:pPr>
        <w:pStyle w:val="Heading3"/>
        <w:spacing w:after="100" w:before="220"/>
      </w:pPr>
      <w:r>
        <w:t xml:space="preserve">Scope_type intensity ladder (NEW in v2)</w:t>
      </w:r>
    </w:p>
    <w:p>
      <w:pPr>
        <w:spacing w:after="120"/>
      </w:pPr>
      <w:r>
        <w:t xml:space="preserve">Each regulation in seed_regulations.py declares a scope_type per material it affects. The scope_type drives a SEVERITY MULTIPLIER applied at event-impact calculation time — widening per-material differentiation within a regulation from ~16% to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c>
          <w:tcPr>
            <w:tcW w:type="dxa" w:w="24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Scope type</w:t>
            </w:r>
          </w:p>
        </w:tc>
        <w:tc>
          <w:tcPr>
            <w:tcW w:type="dxa" w:w="17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Severity ×</w:t>
            </w:r>
          </w:p>
        </w:tc>
        <w:tc>
          <w:tcPr>
            <w:tcW w:type="dxa" w:w="52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Meaning</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banned</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1.50</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Regulation prohibits the material in the regulated scope. UFLPA → Cobalt (Xinjiang origin).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restricted</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1.10</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Constraints applied — caps, due diligence. EU Battery Reg → Cobalt (recycled-content threshold).</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strategic_raw_material</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1.00</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CRMA-style supply-chain diversification targets. NEW in v2.</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covered</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0.80</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Under purview, no specific prohibition. CBAM → Aluminum (carbon adjustment).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disclosure_required</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0.50</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Softest binding — reporting only. EU Conflict Minerals → 3TG.</w:t>
            </w:r>
          </w:p>
        </w:tc>
      </w:tr>
    </w:tbl>
    <w:p>
      <w:pPr>
        <w:spacing w:after="120"/>
      </w:pPr>
      <w:r>
        <w:t xml:space="preserve"/>
      </w:r>
    </w:p>
    <w:p>
      <w:pPr>
        <w:spacing w:after="120"/>
      </w:pPr>
      <w:r>
        <w:t xml:space="preserve">The severity multiplier is applied BEFORE the standard event_impact formula. So an EU Battery Reg event at severity 0.70 produces effective severities per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560"/>
      </w:tblGrid>
      <w:tr>
        <w:tc>
          <w:tcPr>
            <w:tcW w:type="dxa" w:w="24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Material × scope</w:t>
            </w:r>
          </w:p>
        </w:tc>
        <w:tc>
          <w:tcPr>
            <w:tcW w:type="dxa" w:w="17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Multiplier</w:t>
            </w:r>
          </w:p>
        </w:tc>
        <w:tc>
          <w:tcPr>
            <w:tcW w:type="dxa" w:w="17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Effective severity</w:t>
            </w:r>
          </w:p>
        </w:tc>
        <w:tc>
          <w:tcPr>
            <w:tcW w:type="dxa" w:w="35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Day-zero impact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Cobalt × banned (hypothetical)</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1.50</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0.70 × 1.50 = 1.05 → clamped to 1.0</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 1.40</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Lithium × restricted</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1.10</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0.77</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 1.08</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Nickel × covered</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0.80</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0.56</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 0.78</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Aluminum × disclosure</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0.50</w:t>
            </w:r>
          </w:p>
        </w:tc>
        <w:tc>
          <w:tcPr>
            <w:tcW w:type="dxa" w:w="17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0.35</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 0.49</w:t>
            </w:r>
          </w:p>
        </w:tc>
      </w:tr>
    </w:tbl>
    <w:p>
      <w:pPr>
        <w:spacing w:after="120"/>
      </w:pPr>
      <w:r>
        <w:t xml:space="preserve"/>
      </w:r>
    </w:p>
    <w:p>
      <w:pPr>
        <w:pBdr>
          <w:left w:val="single" w:color="B87333" w:sz="18" w:space="12"/>
        </w:pBdr>
        <w:shd w:fill="FFF8E7" w:color="auto" w:val="clear"/>
        <w:spacing w:after="160" w:before="100"/>
        <w:ind w:left="240"/>
      </w:pPr>
      <w:r>
        <w:rPr>
          <w:b/>
          <w:bCs/>
          <w:color w:val="B87333"/>
        </w:rPr>
        <w:t xml:space="preserve">PARTNER INPUT REQUESTED:  </w:t>
      </w:r>
      <w:r>
        <w:rPr>
          <w:i/>
          <w:iCs/>
        </w:rPr>
        <w:t xml:space="preserve">Empirical scope-type usage in seed data shows that the 4-level ladder is barely used. Of the 41 material scope entries across all regulations, 20 use 'strategic_raw_material' (CRMA only, now mapped at 0.85), 11 use 'covered' (UFLPA, IRA, CBAM), 9 use 'disclosure_required' (EU Battery Reg, CSDDD, Conflict Minerals), 1 uses 'restricted', and 0 use 'banned'. UFLPA's cobalt is at 'covered' even though semantically it should be 'banned' (customs-seizure consequence). EU Battery Reg materials are at 'disclosure_required' even though recycled-content thresholds are restrictive. Partner judgment should drive scope_type re-curation here.</w:t>
      </w:r>
    </w:p>
    <w:p>
      <w:pPr>
        <w:pStyle w:val="Heading3"/>
        <w:spacing w:after="100" w:before="220"/>
      </w:pPr>
      <w:r>
        <w:t xml:space="preserve">Conditional geography intersection (NEW in v2)</w:t>
      </w:r>
    </w:p>
    <w:p>
      <w:pPr>
        <w:spacing w:after="120"/>
      </w:pPr>
      <w:r/>
      <w:r/>
      <w:r/>
    </w:p>
    <w:p>
      <w:pPr>
        <w:pBdr>
          <w:left w:val="single" w:color="1F3A5F" w:sz="12" w:space="12"/>
        </w:pBdr>
        <w:shd w:fill="F4F4F4" w:color="auto" w:val="clear"/>
        <w:spacing w:after="40" w:before="100"/>
        <w:ind w:left="240"/>
      </w:pPr>
      <w:r>
        <w:rPr>
          <w:b/>
          <w:bCs/>
          <w:color w:val="1F3A5F"/>
        </w:rPr>
        <w:t xml:space="preserve">WORKED EXAMPLE — UFLPA's cobalt event applied to two different companies</w:t>
      </w:r>
    </w:p>
    <w:p>
      <w:pPr>
        <w:pBdr>
          <w:left w:val="single" w:color="1F3A5F" w:sz="12" w:space="12"/>
        </w:pBdr>
        <w:shd w:fill="F4F4F4" w:color="auto" w:val="clear"/>
        <w:spacing w:after="160" w:before="0"/>
        <w:ind w:left="240"/>
      </w:pPr>
      <w:r>
        <w:t xml:space="preserve">Company A sources cobalt from the Democratic Republic of Congo via Chinese refiners in Hunan province. Has CN in source_geographies. UFLPA event applies at full weight: severity 0.70 × banned multiplier 1.50 = 1.05 → clamped 1.0 → impact ceiling ≈ 1.40.
Company B sources cobalt from Australia via Japanese refiners. Has no CN exposure. UFLPA event applies at 0.30× conditional downweight: 1.40 × 0.30 = 0.42 impact. Still present (because tier-2 supplier graph could reveal indirect Chinese exposure), but ~3.3× less than Company A's exposure to the same regulation. Reflects the real qualitative difference between the two companies' compliance risk.</w:t>
      </w:r>
    </w:p>
    <w:p>
      <w:pPr>
        <w:pStyle w:val="Heading3"/>
        <w:spacing w:after="100" w:before="220"/>
      </w:pPr>
      <w:r>
        <w:t xml:space="preserve">Status-change detection (NEW in v2)</w:t>
      </w:r>
    </w:p>
    <w:p>
      <w:pPr>
        <w:spacing w:after="120"/>
      </w:pPr>
      <w:r/>
    </w:p>
    <w:p>
      <w:pPr>
        <w:pStyle w:val="ListParagraph"/>
        <w:numPr>
          <w:ilvl w:val="0"/>
          <w:numId w:val="3"/>
        </w:numPr>
        <w:spacing w:after="80"/>
      </w:pPr>
      <w:r>
        <w:t xml:space="preserve">repealed_by_celex set → </w:t>
      </w:r>
      <w:r>
        <w:rPr>
          <w:b/>
          <w:bCs/>
        </w:rPr>
        <w:t xml:space="preserve">superseded</w:t>
      </w:r>
    </w:p>
    <w:p>
      <w:pPr>
        <w:pStyle w:val="ListParagraph"/>
        <w:numPr>
          <w:ilvl w:val="0"/>
          <w:numId w:val="3"/>
        </w:numPr>
        <w:spacing w:after="80"/>
      </w:pPr>
      <w:r>
        <w:t xml:space="preserve">date_of_end_of_validity in past → </w:t>
      </w:r>
      <w:r>
        <w:rPr>
          <w:b/>
          <w:bCs/>
        </w:rPr>
        <w:t xml:space="preserve">superseded</w:t>
      </w:r>
    </w:p>
    <w:p>
      <w:pPr>
        <w:pStyle w:val="ListParagraph"/>
        <w:numPr>
          <w:ilvl w:val="0"/>
          <w:numId w:val="3"/>
        </w:numPr>
        <w:spacing w:after="80"/>
      </w:pPr>
      <w:r>
        <w:t xml:space="preserve">date_of_effect in past → </w:t>
      </w:r>
      <w:r>
        <w:rPr>
          <w:b/>
          <w:bCs/>
        </w:rPr>
        <w:t xml:space="preserve">effective</w:t>
      </w:r>
    </w:p>
    <w:p>
      <w:pPr>
        <w:pStyle w:val="ListParagraph"/>
        <w:numPr>
          <w:ilvl w:val="0"/>
          <w:numId w:val="3"/>
        </w:numPr>
        <w:spacing w:after="80"/>
      </w:pPr>
      <w:r>
        <w:t xml:space="preserve">date_of_effect in future → </w:t>
      </w:r>
      <w:r>
        <w:rPr>
          <w:b/>
          <w:bCs/>
        </w:rPr>
        <w:t xml:space="preserve">enacted</w:t>
      </w:r>
    </w:p>
    <w:p>
      <w:pPr>
        <w:spacing w:after="120"/>
      </w:pPr>
      <w:r>
        <w:t xml:space="preserve">When detected status differs from stored Regulation.status, the parser writes a `status_review_pending` flag to metadata_json (does NOT auto-mutate the status). Partner reviews changes via the `list-regulation-status-changes` CLI command. The conservative design prevents EUR-Lex HTML quirks from silently changing severity calibration.</w:t>
      </w:r>
    </w:p>
    <w:p>
      <w:pPr>
        <w:pStyle w:val="Heading3"/>
        <w:spacing w:after="100" w:before="220"/>
      </w:pPr>
      <w:r>
        <w:t xml:space="preserve">Geography scope propagation (NEW in v2)</w:t>
      </w:r>
    </w:p>
    <w:p>
      <w:pPr>
        <w:spacing w:after="120"/>
      </w:pPr>
      <w:r/>
    </w:p>
    <w:p>
      <w:pPr>
        <w:pBdr>
          <w:left w:val="single" w:color="B14040" w:sz="18" w:space="12"/>
        </w:pBdr>
        <w:shd w:fill="FCEEEE" w:color="auto" w:val="clear"/>
        <w:spacing w:after="160" w:before="100"/>
        <w:ind w:left="240"/>
      </w:pPr>
      <w:r>
        <w:rPr>
          <w:b/>
          <w:bCs/>
          <w:color w:val="B14040"/>
        </w:rPr>
        <w:t xml:space="preserve">KNOWN GAP:  </w:t>
      </w:r>
      <w:r>
        <w:t xml:space="preserve">The Regulatory pillar today gates events by regulation_keys, not by geography intersection (the conditional downweight described above is the geography path). Even after v2's geography propagation, the per-pillar formula doesn't directly upweight events whose target country overlaps with the company's source geographies — only the conditional downweight (0.30× for no-overlap) is implemented. Closing this loop fully would mean: when overlap exists, apply a small UP-weight (e.g., 1.10×) to reflect that the regulation specifically targets the company's exposure. Marked as a future enhancement.</w:t>
      </w:r>
    </w:p>
    <w:p>
      <w:pPr>
        <w:pStyle w:val="Heading2"/>
        <w:spacing w:after="160" w:before="300"/>
      </w:pPr>
      <w:r>
        <w:t xml:space="preserve">Outstanding architectural questions on regulations</w:t>
      </w:r>
    </w:p>
    <w:p>
      <w:pPr>
        <w:pBdr>
          <w:left w:val="single" w:color="B14040" w:sz="18" w:space="12"/>
        </w:pBdr>
        <w:shd w:fill="FCEEEE" w:color="auto" w:val="clear"/>
        <w:spacing w:after="160" w:before="100"/>
        <w:ind w:left="240"/>
      </w:pPr>
      <w:r>
        <w:rPr>
          <w:b/>
          <w:bCs/>
          <w:color w:val="B14040"/>
        </w:rPr>
        <w:t xml:space="preserve">KNOWN GAP:  </w:t>
      </w:r>
      <w:r>
        <w:t xml:space="preserve">HS-level regulation scope. The current scope_type model is material-level only — a regulation can say "Cobalt is restricted" but cannot say "Cobalt ore (HS 2605) is banned but cobalt cathode active material (HS 2841) is only restricted." Adding HS-level scope would require a schema change (new RegulationHsScope table) plus partner curation per regulation. Deferred until a concrete forcing function (a stage-specific regulation we want to track).</w:t>
      </w:r>
    </w:p>
    <w:p>
      <w:pPr>
        <w:pBdr>
          <w:left w:val="single" w:color="B14040" w:sz="18" w:space="12"/>
        </w:pBdr>
        <w:shd w:fill="FCEEEE" w:color="auto" w:val="clear"/>
        <w:spacing w:after="160" w:before="100"/>
        <w:ind w:left="240"/>
      </w:pPr>
      <w:r>
        <w:rPr>
          <w:b/>
          <w:bCs/>
          <w:color w:val="B14040"/>
        </w:rPr>
        <w:t xml:space="preserve">KNOWN GAP:  </w:t>
      </w:r>
      <w:r>
        <w:t xml:space="preserve">EU Critical Raw Materials Act uses a custom scope_type 'strategic_raw_material' that was added to the engine in v2 at relevance 0.85 — between restricted and covered. This is partner-defensible but represents the model getting stretched by a regulation whose intent (supply-chain diversification targets) doesn't quite fit the original 4-level banned/restricted/covered/disclosure_required ladder. Future regulations with similar non-standard scopes may need their own ladder entries.</w:t>
      </w:r>
    </w:p>
    <w:p>
      <w:pPr>
        <w:pBdr>
          <w:left w:val="single" w:color="B14040" w:sz="18" w:space="12"/>
        </w:pBdr>
        <w:shd w:fill="FCEEEE" w:color="auto" w:val="clear"/>
        <w:spacing w:after="160" w:before="100"/>
        <w:ind w:left="240"/>
      </w:pPr>
      <w:r>
        <w:rPr>
          <w:b/>
          <w:bCs/>
          <w:color w:val="B14040"/>
        </w:rPr>
        <w:t xml:space="preserve">KNOWN GAP:  </w:t>
      </w:r>
      <w:r>
        <w:t xml:space="preserve">Multi-category tagging for regulations. Today every EUR-Lex regulation event is tagged only with `regulatory_compliance` risk category. But UFLPA events from FR get tagged with BOTH `regulatory_compliance` AND `operational` because customs seizure disrupts supply continuity. The same UFLPA regulation ingested via EUR-Lex would land with only `regulatory_compliance`. Adding multi-category to seed_regulations.py is a tracked follow-up — should CRMA-style regulations get both regulatory_compliance AND operational tagging?</w:t>
      </w:r>
    </w:p>
    <w:p>
      <w:r>
        <w:br w:type="page"/>
      </w:r>
    </w:p>
    <w:p>
      <w:pPr>
        <w:pStyle w:val="Heading1"/>
        <w:spacing w:after="240" w:before="400"/>
      </w:pPr>
      <w:r>
        <w:t xml:space="preserve">Part 7 — Other Event Categories (Future Versions)</w:t>
      </w:r>
    </w:p>
    <w:p>
      <w:pPr>
        <w:spacing w:after="120"/>
      </w:pPr>
      <w:r>
        <w:t xml:space="preserve">Future versions of this document will provide the same depth of coverage for the remaining event source categories. Brief framing here so the partner has the full landscape:</w:t>
      </w:r>
    </w:p>
    <w:p>
      <w:pPr>
        <w:pStyle w:val="Heading2"/>
        <w:spacing w:after="160" w:before="300"/>
      </w:pPr>
      <w:r>
        <w:t xml:space="preserve">Production data — USGS Mineral Commodity Summaries</w:t>
      </w:r>
    </w:p>
    <w:p>
      <w:pPr>
        <w:spacing w:after="120"/>
      </w:pPr>
      <w:r>
        <w:t xml:space="preserve">Annual production volumes by country and material, from USGS Mineral Commodity Summaries (MCS) PDFs and CSV exports. Feeds the Material Concentration pillar's concentration sub-input (HCG share calculation) and the market-level scoring layer's country_concentration sub-input. The 2026 MCS is the current data vintage.</w:t>
      </w:r>
    </w:p>
    <w:p>
      <w:pPr>
        <w:pStyle w:val="Heading2"/>
        <w:spacing w:after="160" w:before="300"/>
      </w:pPr>
      <w:r>
        <w:t xml:space="preserve">Trade volumes — UN Comtrade and US Census</w:t>
      </w:r>
    </w:p>
    <w:p>
      <w:pPr>
        <w:spacing w:after="120"/>
      </w:pPr>
      <w:r>
        <w:t xml:space="preserve">Bilateral trade flows between countries at HS-code granularity. Comtrade for global flows, US Census for higher-frequency US-bilateral flows. Used for global material rollup weighting and for the trade_volatility sub-input of Material Concentration.</w:t>
      </w:r>
    </w:p>
    <w:p>
      <w:pPr>
        <w:pStyle w:val="Heading2"/>
        <w:spacing w:after="160" w:before="300"/>
      </w:pPr>
      <w:r>
        <w:t xml:space="preserve">Prices — World Bank Pink Sheet</w:t>
      </w:r>
    </w:p>
    <w:p>
      <w:pPr>
        <w:spacing w:after="120"/>
      </w:pPr>
      <w:r>
        <w:t xml:space="preserve">Monthly commodity prices for ~30 critical-mineral commodities, plus REE oxide prices from USGS MCS Fig 10. Feeds the criticality and trade-volatility sub-inputs of Material Concentration.</w:t>
      </w:r>
    </w:p>
    <w:p>
      <w:pPr>
        <w:pStyle w:val="Heading2"/>
        <w:spacing w:after="160" w:before="300"/>
      </w:pPr>
      <w:r>
        <w:t xml:space="preserve">Company filings — SEC EDGAR</w:t>
      </w:r>
    </w:p>
    <w:p>
      <w:pPr>
        <w:spacing w:after="120"/>
      </w:pPr>
      <w:r>
        <w:t xml:space="preserve">10-K, 10-Q, and 8-K filings for tracked companies. Three classes of signal extracted: keyword/sentiment scoring of risk-factor sections (base filing signal), leverage/covenant warnings (leverage_warning_bonus), and going-concern / cash-runway / capex-cut language (liquidity_stress_bonus). Feeds the Financial Pressure pillar.</w:t>
      </w:r>
    </w:p>
    <w:p>
      <w:pPr>
        <w:pStyle w:val="Heading2"/>
        <w:spacing w:after="160" w:before="300"/>
      </w:pPr>
      <w:r>
        <w:t xml:space="preserve">Criticality signals</w:t>
      </w:r>
    </w:p>
    <w:p>
      <w:pPr>
        <w:spacing w:after="120"/>
      </w:pPr>
      <w:r>
        <w:t xml:space="preserve">A partner-curated bucket of materials flagged as critical by the US Department of Energy, EU Critical Raw Materials Act list, IEA Critical Minerals strategy, and similar designations. Used for the criticality sub-input of Material Concentration.</w:t>
      </w:r>
    </w:p>
    <w:p>
      <w:r>
        <w:br w:type="page"/>
      </w:r>
    </w:p>
    <w:p>
      <w:pPr>
        <w:pStyle w:val="Heading1"/>
        <w:spacing w:after="240" w:before="400"/>
      </w:pPr>
      <w:r>
        <w:t xml:space="preserve">Part 8 — Known Gaps and Outstanding Architectural Decisions</w:t>
      </w:r>
    </w:p>
    <w:p>
      <w:pPr>
        <w:spacing w:after="120"/>
      </w:pPr>
      <w:r>
        <w:t xml:space="preserve">Catalog of where the engine doesn't yet do what it ideally should, plus architectural decisions that are still being made. Each item is either: (a) a partner-curation gap, (b) a code/data gap that's tracked, or (c) an open architectural question.</w:t>
      </w:r>
    </w:p>
    <w:p>
      <w:pPr>
        <w:pStyle w:val="Heading2"/>
        <w:spacing w:after="160" w:before="300"/>
      </w:pPr>
      <w:r>
        <w:t xml:space="preserve">Source coverage gaps</w:t>
      </w:r>
    </w:p>
    <w:p>
      <w:pPr>
        <w:pBdr>
          <w:left w:val="single" w:color="B14040" w:sz="18" w:space="12"/>
        </w:pBdr>
        <w:shd w:fill="FCEEEE" w:color="auto" w:val="clear"/>
        <w:spacing w:after="160" w:before="100"/>
        <w:ind w:left="240"/>
      </w:pPr>
      <w:r>
        <w:rPr>
          <w:b/>
          <w:bCs/>
          <w:color w:val="B14040"/>
        </w:rPr>
        <w:t xml:space="preserve">KNOWN GAP:  </w:t>
      </w:r>
      <w:r>
        <w:t xml:space="preserve">Chinese policy at source. China dominates midstream refining of battery materials (60-80% of cathode/anode materials). MIIT, MOFCOM, and State Council policy changes can swing global supply risk overnight (2023 gallium/germanium controls, 2024 graphite licensing tightening). Today these signals reach the engine downstream — via GTA's trade-intervention tracking (1-4 weeks delayed) or via Federal Register Section 301 retaliation responses. The first-mover signal from original Chinese-language sources is missing. No clean English-language feed exists; options are a paid feed (Trivium China, Sinolytics, MERICS) or language-aware ingest infrastructure.</w:t>
      </w:r>
    </w:p>
    <w:p>
      <w:pPr>
        <w:pBdr>
          <w:left w:val="single" w:color="B14040" w:sz="18" w:space="12"/>
        </w:pBdr>
        <w:shd w:fill="FCEEEE" w:color="auto" w:val="clear"/>
        <w:spacing w:after="160" w:before="100"/>
        <w:ind w:left="240"/>
      </w:pPr>
      <w:r>
        <w:rPr>
          <w:b/>
          <w:bCs/>
          <w:color w:val="B14040"/>
        </w:rPr>
        <w:t xml:space="preserve">KNOWN GAP:  </w:t>
      </w:r>
      <w:r>
        <w:t xml:space="preserve">US state-level policy. California Advanced Clean Cars II (ACC II), state-level IRA implementation rules, state mining permits, NY-Buy Clean. The Federal Register only captures federal action; state-level policy is fragmented across 50 state registers with no consolidated feed. Worth revisiting when customers explicitly ask for state-level visibility.</w:t>
      </w:r>
    </w:p>
    <w:p>
      <w:pPr>
        <w:pBdr>
          <w:left w:val="single" w:color="B14040" w:sz="18" w:space="12"/>
        </w:pBdr>
        <w:shd w:fill="FCEEEE" w:color="auto" w:val="clear"/>
        <w:spacing w:after="160" w:before="100"/>
        <w:ind w:left="240"/>
      </w:pPr>
      <w:r>
        <w:rPr>
          <w:b/>
          <w:bCs/>
          <w:color w:val="B14040"/>
        </w:rPr>
        <w:t xml:space="preserve">KNOWN GAP:  </w:t>
      </w:r>
      <w:r>
        <w:t xml:space="preserve">Producer-country domestic policy beyond IEA's curation. Indonesia (nickel ore export ban + downstream-investment requirements), Democratic Republic of Congo (Code Minier 2018 revisions), Chile (lithium nationalization 2023), Argentina (lithium-province coordination), Australia (Critical Minerals Strategy implementations). Partially captured (IEA tracker has headline coverage, GTA captures trade-action surface) but implementing regulations and enforcement actions don't usually surface. Adding country-specific parsers for the top 5 producer countries is a per-country build.</w:t>
      </w:r>
    </w:p>
    <w:p>
      <w:pPr>
        <w:pBdr>
          <w:left w:val="single" w:color="B14040" w:sz="18" w:space="12"/>
        </w:pBdr>
        <w:shd w:fill="FCEEEE" w:color="auto" w:val="clear"/>
        <w:spacing w:after="160" w:before="100"/>
        <w:ind w:left="240"/>
      </w:pPr>
      <w:r>
        <w:rPr>
          <w:b/>
          <w:bCs/>
          <w:color w:val="B14040"/>
        </w:rPr>
        <w:t xml:space="preserve">KNOWN GAP:  </w:t>
      </w:r>
      <w:r>
        <w:t xml:space="preserve">Industry self-governance. IRMA (Initiative for Responsible Mining Assurance), Responsible Cobalt Initiative, OECD due-diligence guidance updates, Battery Pass consortium standards. Not state policy but regulatory-adjacent — particularly for customers facing ESG-disclosure pressure. Worth flagging because customer demand may drive prioritization.</w:t>
      </w:r>
    </w:p>
    <w:p>
      <w:pPr>
        <w:pStyle w:val="Heading2"/>
        <w:spacing w:after="160" w:before="300"/>
      </w:pPr>
      <w:r>
        <w:t xml:space="preserve">Calibration items pending partner input</w:t>
      </w:r>
    </w:p>
    <w:p>
      <w:pPr>
        <w:pBdr>
          <w:left w:val="single" w:color="B14040" w:sz="18" w:space="12"/>
        </w:pBdr>
        <w:shd w:fill="FCEEEE" w:color="auto" w:val="clear"/>
        <w:spacing w:after="160" w:before="100"/>
        <w:ind w:left="240"/>
      </w:pPr>
      <w:r>
        <w:rPr>
          <w:b/>
          <w:bCs/>
          <w:color w:val="B14040"/>
        </w:rPr>
        <w:t xml:space="preserve">KNOWN GAP:  </w:t>
      </w:r>
      <w:r>
        <w:t xml:space="preserve">GTA NFI/IFI severity multiplier. Currently × 1.00 for non-state-actor / international-financial-institution interventions. With EXPORT_SUBSIDY subtype now live, IFI grants (World Bank, IADB) feed the production_subsidy_distortion sub-input alongside national subsidies. They may deserve a discount to 0.5-0.7 because they're typically smaller and more conditional than national programs. Recalibration tracked but not yet implemented.</w:t>
      </w:r>
    </w:p>
    <w:p>
      <w:pPr>
        <w:pBdr>
          <w:left w:val="single" w:color="B14040" w:sz="18" w:space="12"/>
        </w:pBdr>
        <w:shd w:fill="FCEEEE" w:color="auto" w:val="clear"/>
        <w:spacing w:after="160" w:before="100"/>
        <w:ind w:left="240"/>
      </w:pPr>
      <w:r>
        <w:rPr>
          <w:b/>
          <w:bCs/>
          <w:color w:val="B14040"/>
        </w:rPr>
        <w:t xml:space="preserve">KNOWN GAP:  </w:t>
      </w:r>
      <w:r>
        <w:t xml:space="preserve">IEA Haiku 3-way gate. The Federal Register parser got a three-way Haiku confidence gate in v2 to handle low-confidence acceptances. The IEA Policy Tracker parser was not updated with the same fix — it still uses the binary gate where low-confidence Haiku acceptances slip through silently. Tracked follow-up.</w:t>
      </w:r>
    </w:p>
    <w:p>
      <w:pPr>
        <w:pBdr>
          <w:left w:val="single" w:color="B14040" w:sz="18" w:space="12"/>
        </w:pBdr>
        <w:shd w:fill="FCEEEE" w:color="auto" w:val="clear"/>
        <w:spacing w:after="160" w:before="100"/>
        <w:ind w:left="240"/>
      </w:pPr>
      <w:r>
        <w:rPr>
          <w:b/>
          <w:bCs/>
          <w:color w:val="B14040"/>
        </w:rPr>
        <w:t xml:space="preserve">KNOWN GAP:  </w:t>
      </w:r>
      <w:r>
        <w:t xml:space="preserve">OpenSanctions test failures. 6 pre-existing test failures from a stale signature mismatch in the _content_hash function. The parser is working in production but the tests need updating.</w:t>
      </w:r>
    </w:p>
    <w:p>
      <w:pPr>
        <w:pBdr>
          <w:left w:val="single" w:color="B14040" w:sz="18" w:space="12"/>
        </w:pBdr>
        <w:shd w:fill="FCEEEE" w:color="auto" w:val="clear"/>
        <w:spacing w:after="160" w:before="100"/>
        <w:ind w:left="240"/>
      </w:pPr>
      <w:r>
        <w:rPr>
          <w:b/>
          <w:bCs/>
          <w:color w:val="B14040"/>
        </w:rPr>
        <w:t xml:space="preserve">KNOWN GAP:  </w:t>
      </w:r>
      <w:r>
        <w:t xml:space="preserve">Positive-policy inversion. IEA tracks investment pledges and policy milestones as low-severity events that ADD to risk score (severity 0.10-0.20). Conceptually, a major investment in a US lithium project DECREASES supply-chain risk by diversifying away from concentrated geography. The engine does not currently invert these — they accrete positive severity rather than offsetting it. Parked pending a conversation about modeling 'risk-reducing' events without double-counting structural data the engine has already absorbed.</w:t>
      </w:r>
    </w:p>
    <w:p>
      <w:pPr>
        <w:pStyle w:val="Heading2"/>
        <w:spacing w:after="160" w:before="300"/>
      </w:pPr>
      <w:r>
        <w:t xml:space="preserve">Architectural follow-ups</w:t>
      </w:r>
    </w:p>
    <w:p>
      <w:pPr>
        <w:pBdr>
          <w:left w:val="single" w:color="B14040" w:sz="18" w:space="12"/>
        </w:pBdr>
        <w:shd w:fill="FCEEEE" w:color="auto" w:val="clear"/>
        <w:spacing w:after="160" w:before="100"/>
        <w:ind w:left="240"/>
      </w:pPr>
      <w:r>
        <w:rPr>
          <w:b/>
          <w:bCs/>
          <w:color w:val="B14040"/>
        </w:rPr>
        <w:t xml:space="preserve">KNOWN GAP:  </w:t>
      </w:r>
      <w:r>
        <w:t xml:space="preserve">Per-material HCG. Current HCG = {China, DRC, Russia} applied uniformly across all materials. Should it be per-material? Candidates: Indonesia for nickel (60%+ global share, recent policy shocks), Chile for lithium (2023 nationalization), Australia for lithium ore (~50% global), Myanmar for rare earths and tin. Per-material HCG would be more accurate but requires partner-curated mapping per material.</w:t>
      </w:r>
    </w:p>
    <w:p>
      <w:pPr>
        <w:pBdr>
          <w:left w:val="single" w:color="B14040" w:sz="18" w:space="12"/>
        </w:pBdr>
        <w:shd w:fill="FCEEEE" w:color="auto" w:val="clear"/>
        <w:spacing w:after="160" w:before="100"/>
        <w:ind w:left="240"/>
      </w:pPr>
      <w:r>
        <w:rPr>
          <w:b/>
          <w:bCs/>
          <w:color w:val="B14040"/>
        </w:rPr>
        <w:t xml:space="preserve">KNOWN GAP:  </w:t>
      </w:r>
      <w:r>
        <w:t xml:space="preserve">HS-level regulation scope. Today regulations declare material-level scopes only. A regulation cannot express "cobalt ore is banned but cobalt cathode active material is only restricted." Adding HS-level granularity requires schema migration + partner curation per regulation. Deferred until concrete forcing function — likely a stage-specific regulation we want to track (EU's upcoming end-of-life vehicle directive amendments are likely candidates).</w:t>
      </w:r>
    </w:p>
    <w:p>
      <w:pPr>
        <w:pBdr>
          <w:left w:val="single" w:color="B14040" w:sz="18" w:space="12"/>
        </w:pBdr>
        <w:shd w:fill="FCEEEE" w:color="auto" w:val="clear"/>
        <w:spacing w:after="160" w:before="100"/>
        <w:ind w:left="240"/>
      </w:pPr>
      <w:r>
        <w:rPr>
          <w:b/>
          <w:bCs/>
          <w:color w:val="B14040"/>
        </w:rPr>
        <w:t xml:space="preserve">KNOWN GAP:  </w:t>
      </w:r>
      <w:r>
        <w:t xml:space="preserve">Operational pillar event coverage. Today almost no events get tagged SINGLE_SOURCE or CAPACITY_CONSTRAINT — none of the four policy sources or the regulation parser produce these subtypes. These would come from news/event sources (force majeure declarations, accident reports, capacity-tightening announcements) we haven't built yet. Operational pillar's structural_dependency mostly defaults to 0.3 today.</w:t>
      </w:r>
    </w:p>
    <w:p>
      <w:pPr>
        <w:pBdr>
          <w:left w:val="single" w:color="B14040" w:sz="18" w:space="12"/>
        </w:pBdr>
        <w:shd w:fill="FCEEEE" w:color="auto" w:val="clear"/>
        <w:spacing w:after="160" w:before="100"/>
        <w:ind w:left="240"/>
      </w:pPr>
      <w:r>
        <w:rPr>
          <w:b/>
          <w:bCs/>
          <w:color w:val="B14040"/>
        </w:rPr>
        <w:t xml:space="preserve">KNOWN GAP:  </w:t>
      </w:r>
      <w:r>
        <w:t xml:space="preserve">Scoring methodology UI page. A /data/scoring page in the frontend was intended to expose the methodology in this document to platform users directly. Deferred until scoring approach stabilises (which v2 brings closer). Building it would let the methodology travel with the product itself.</w:t>
      </w:r>
    </w:p>
    <w:p>
      <w:pPr>
        <w:pBdr>
          <w:left w:val="single" w:color="B14040" w:sz="18" w:space="12"/>
        </w:pBdr>
        <w:shd w:fill="FCEEEE" w:color="auto" w:val="clear"/>
        <w:spacing w:after="160" w:before="100"/>
        <w:ind w:left="240"/>
      </w:pPr>
      <w:r>
        <w:rPr>
          <w:b/>
          <w:bCs/>
          <w:color w:val="B14040"/>
        </w:rPr>
        <w:t xml:space="preserve">KNOWN GAP:  </w:t>
      </w:r>
      <w:r>
        <w:t xml:space="preserve">Phase 5 company overlay. The Supply Chain Propagation pillar (15% of company score) requires a per-company supplier graph that doesn't exist for most companies today. This is the path Phase 5 of the platform will fully build out. Build sequence: materials foundation → facility-ownership layer → company-facility ownership graph → Phase 5 customer overlay. Currently the propagation pillar produces None for most companies and the other five pillars renormalize.</w:t>
      </w:r>
    </w:p>
    <w:p>
      <w:r>
        <w:br w:type="page"/>
      </w:r>
    </w:p>
    <w:p>
      <w:pPr>
        <w:pStyle w:val="Heading1"/>
        <w:spacing w:after="240" w:before="400"/>
      </w:pPr>
      <w:r>
        <w:t xml:space="preserve">Part 9 — Consolidated Questions for Partner Input</w:t>
      </w:r>
    </w:p>
    <w:p>
      <w:pPr>
        <w:spacing w:after="120"/>
      </w:pPr>
      <w:r>
        <w:t xml:space="preserve">This section gathers every PARTNER INPUT REQUESTED callout from earlier sections in one place. Each question identifies a specific weight, threshold, or design choice in the engine where your domain judgment is more authoritative than the current implementation. Use whatever annotation method works for you.</w:t>
      </w:r>
    </w:p>
    <w:p>
      <w:pPr>
        <w:pStyle w:val="Heading2"/>
        <w:spacing w:after="160" w:before="300"/>
      </w:pPr>
      <w:r>
        <w:t xml:space="preserve">Top-level pillar weights</w:t>
      </w:r>
    </w:p>
    <w:p>
      <w:pPr>
        <w:pStyle w:val="ListParagraph"/>
        <w:numPr>
          <w:ilvl w:val="0"/>
          <w:numId w:val="3"/>
        </w:numPr>
        <w:spacing w:after="80"/>
      </w:pPr>
      <w:r>
        <w:t xml:space="preserve">Are the pillar weights (Material 25%, Geopolitical 20%, Regulatory 20%, Propagation 15%, Operational 10%, Financial 10%) defensible for your customer base? Specifically, should Geopolitical carry more weight given the current trade environment? Should Material's 25% be even larger given supply concentration is the fundamental driver?</w:t>
      </w:r>
    </w:p>
    <w:p>
      <w:pPr>
        <w:pStyle w:val="ListParagraph"/>
        <w:numPr>
          <w:ilvl w:val="0"/>
          <w:numId w:val="3"/>
        </w:numPr>
        <w:spacing w:after="80"/>
      </w:pPr>
      <w:r>
        <w:t xml:space="preserve">The HCG (high-concentration-geography) country set is currently fixed at {China, DRC, Russia}. Should it be expanded to include Indonesia (nickel), Chile (lithium), Australia (lithium ore), or Myanmar (rare earths, tin)? Should the set be per-material rather than global?</w:t>
      </w:r>
    </w:p>
    <w:p>
      <w:pPr>
        <w:pStyle w:val="ListParagraph"/>
        <w:numPr>
          <w:ilvl w:val="0"/>
          <w:numId w:val="3"/>
        </w:numPr>
        <w:spacing w:after="80"/>
      </w:pPr>
      <w:r>
        <w:t xml:space="preserve">Global material score rollup is weighted by trade-flow export value. Should consumption-weighted (which would shift weight toward Chinese refined demand) be the default instead, or available as an alternative view?</w:t>
      </w:r>
    </w:p>
    <w:p>
      <w:pPr>
        <w:pStyle w:val="Heading2"/>
        <w:spacing w:after="160" w:before="300"/>
      </w:pPr>
      <w:r>
        <w:t xml:space="preserve">Material Concentration pillar</w:t>
      </w:r>
    </w:p>
    <w:p>
      <w:pPr>
        <w:pStyle w:val="ListParagraph"/>
        <w:numPr>
          <w:ilvl w:val="0"/>
          <w:numId w:val="3"/>
        </w:numPr>
        <w:spacing w:after="80"/>
      </w:pPr>
      <w:r>
        <w:t xml:space="preserve">Criticality (35%) and concentration (35%) are equally weighted. Should criticality dominate more aggressively, so that a company exposed to a critical mineral scores higher than one with the same geographic concentration but in a less critical material?</w:t>
      </w:r>
    </w:p>
    <w:p>
      <w:pPr>
        <w:pStyle w:val="Heading2"/>
        <w:spacing w:after="160" w:before="300"/>
      </w:pPr>
      <w:r>
        <w:t xml:space="preserve">Geopolitical / Trade pillar</w:t>
      </w:r>
    </w:p>
    <w:p>
      <w:pPr>
        <w:pStyle w:val="ListParagraph"/>
        <w:numPr>
          <w:ilvl w:val="0"/>
          <w:numId w:val="3"/>
        </w:numPr>
        <w:spacing w:after="80"/>
      </w:pPr>
      <w:r>
        <w:t xml:space="preserve">Country concentration at 40% is the largest single sub-input in the entire engine. Is 40% the right weight? The two halves of country-concentration (source-geo HCG share vs facility-country HCG share) are weighted equally — does that correctly capture risk for a company that processes in a 'safe' country but sources from HCG?</w:t>
      </w:r>
    </w:p>
    <w:p>
      <w:pPr>
        <w:pStyle w:val="ListParagraph"/>
        <w:numPr>
          <w:ilvl w:val="0"/>
          <w:numId w:val="3"/>
        </w:numPr>
        <w:spacing w:after="80"/>
      </w:pPr>
      <w:r>
        <w:t xml:space="preserve">Production subsidy distortion currently weights 10% when present. Given that Chinese REE state aid has structurally undercut Western refiners for two decades, should this weight be larger?</w:t>
      </w:r>
    </w:p>
    <w:p>
      <w:pPr>
        <w:pStyle w:val="Heading2"/>
        <w:spacing w:after="160" w:before="300"/>
      </w:pPr>
      <w:r>
        <w:t xml:space="preserve">Regulatory &amp; Compliance pillar</w:t>
      </w:r>
    </w:p>
    <w:p>
      <w:pPr>
        <w:pStyle w:val="ListParagraph"/>
        <w:numPr>
          <w:ilvl w:val="0"/>
          <w:numId w:val="3"/>
        </w:numPr>
        <w:spacing w:after="80"/>
      </w:pPr>
      <w:r>
        <w:t xml:space="preserve">Obligation weights (UFLPA 25, EU Battery Reg 20, CRMA 15, IRA Domestic 15, CSDDD 10, REACH-Cobalt 8, CBAM 5, EU Conflict Minerals 3) — are these right? Should UFLPA be even higher given the customs-seizure consequence? Should IRA Domestic Content be higher than EU Battery Reg given the competitive-pricing impact?</w:t>
      </w:r>
    </w:p>
    <w:p>
      <w:pPr>
        <w:pStyle w:val="ListParagraph"/>
        <w:numPr>
          <w:ilvl w:val="0"/>
          <w:numId w:val="3"/>
        </w:numPr>
        <w:spacing w:after="80"/>
      </w:pPr>
      <w:r>
        <w:t xml:space="preserve">Status multipliers: non-compliant × 1.00, unknown × 0.50, partial × 0.40, compliant × 0.00. Is 'unknown × 0.50' the right penalty for missing information, or should it be more aggressive (e.g., 0.75)?</w:t>
      </w:r>
    </w:p>
    <w:p>
      <w:pPr>
        <w:pStyle w:val="ListParagraph"/>
        <w:numPr>
          <w:ilvl w:val="0"/>
          <w:numId w:val="3"/>
        </w:numPr>
        <w:spacing w:after="80"/>
      </w:pPr>
      <w:r>
        <w:t xml:space="preserve">The split between event_score (max 60) and obligation_uplift (max 40) implies structural legal obligations dominate over recent rulemaking. Is that right? An alternative: a major new regulatory action like the EU CRMA stage-2 should dominate the pillar score in the months after it lands.</w:t>
      </w:r>
    </w:p>
    <w:p>
      <w:pPr>
        <w:pStyle w:val="ListParagraph"/>
        <w:numPr>
          <w:ilvl w:val="0"/>
          <w:numId w:val="3"/>
        </w:numPr>
        <w:spacing w:after="80"/>
      </w:pPr>
      <w:r>
        <w:t xml:space="preserve">Per-regulation severity overrides — should we apply any now? Candidates: UFLPA → 0.85 (customs-seizure), EU Battery Reg → 0.80 (recycled-content thresholds), EU Conflict Minerals → 0.50 (softest binding).</w:t>
      </w:r>
    </w:p>
    <w:p>
      <w:pPr>
        <w:pStyle w:val="ListParagraph"/>
        <w:numPr>
          <w:ilvl w:val="0"/>
          <w:numId w:val="3"/>
        </w:numPr>
        <w:spacing w:after="80"/>
      </w:pPr>
      <w:r>
        <w:t xml:space="preserve">Scope_type re-curation. The 4-level ladder is barely used in current seeds — most regulations are at 'covered' or 'disclosure_required.' Should UFLPA's cobalt move from 'covered' to 'banned'? Should EU Battery Reg's materials move from 'disclosure_required' to 'restricted' to reflect the recycled-content threshold bite?</w:t>
      </w:r>
    </w:p>
    <w:p>
      <w:pPr>
        <w:pStyle w:val="ListParagraph"/>
        <w:numPr>
          <w:ilvl w:val="0"/>
          <w:numId w:val="3"/>
        </w:numPr>
        <w:spacing w:after="80"/>
      </w:pPr>
      <w:r>
        <w:t xml:space="preserve">Multi-category regulation tagging. Today every EUR-Lex regulation event is tagged only with 'regulatory_compliance.' Should regulations with supply-disruption potential (CRMA's strategic stockpiling, UFLPA via EUR-Lex if we ever ingest it that way) also get 'operational' category tagging?</w:t>
      </w:r>
    </w:p>
    <w:p>
      <w:pPr>
        <w:pStyle w:val="Heading2"/>
        <w:spacing w:after="160" w:before="300"/>
      </w:pPr>
      <w:r>
        <w:t xml:space="preserve">Supply Chain Propagation pillar</w:t>
      </w:r>
    </w:p>
    <w:p>
      <w:pPr>
        <w:pStyle w:val="ListParagraph"/>
        <w:numPr>
          <w:ilvl w:val="0"/>
          <w:numId w:val="3"/>
        </w:numPr>
        <w:spacing w:after="80"/>
      </w:pPr>
      <w:r>
        <w:t xml:space="preserve">Tier 2 weighted at 40% of Tier 1 is a reasonable mid-point but unscientific. What's your view — Tier 2 at 50-60% ("the supplier-of-your-supplier shock IS the shock that hits you, just delayed") or 20-30% ("your direct supplier already builds tier-2 risk into pricing and dual-sourcing")?</w:t>
      </w:r>
    </w:p>
    <w:p>
      <w:pPr>
        <w:pStyle w:val="Heading2"/>
        <w:spacing w:after="160" w:before="300"/>
      </w:pPr>
      <w:r>
        <w:t xml:space="preserve">Operational pillar</w:t>
      </w:r>
    </w:p>
    <w:p>
      <w:pPr>
        <w:pStyle w:val="ListParagraph"/>
        <w:numPr>
          <w:ilvl w:val="0"/>
          <w:numId w:val="3"/>
        </w:numPr>
        <w:spacing w:after="80"/>
      </w:pPr>
      <w:r>
        <w:t xml:space="preserve">Event-impact rollup at 60% means recent disruption events dominate over structural dependency. Is that right, or should structural fragility (single-source, capacity constraints) dominate?</w:t>
      </w:r>
    </w:p>
    <w:p>
      <w:pPr>
        <w:pStyle w:val="Heading2"/>
        <w:spacing w:after="160" w:before="300"/>
      </w:pPr>
      <w:r>
        <w:t xml:space="preserve">Recency decay</w:t>
      </w:r>
    </w:p>
    <w:p>
      <w:pPr>
        <w:pStyle w:val="ListParagraph"/>
        <w:numPr>
          <w:ilvl w:val="0"/>
          <w:numId w:val="3"/>
        </w:numPr>
        <w:spacing w:after="80"/>
      </w:pPr>
      <w:r>
        <w:t xml:space="preserve">Operational events use a 90-day half-life — a 6-month-old shock contributes ~25% of its weight. Is that right? An automotive plant fire might affect supply for 18+ months; a port strike resolves in weeks.</w:t>
      </w:r>
    </w:p>
    <w:p>
      <w:pPr>
        <w:pStyle w:val="ListParagraph"/>
        <w:numPr>
          <w:ilvl w:val="0"/>
          <w:numId w:val="3"/>
        </w:numPr>
        <w:spacing w:after="80"/>
      </w:pPr>
      <w:r>
        <w:t xml:space="preserve">Geopolitical events floor at 60% of their original weight after two years. Section 301 China tariffs have stuck around for years. But narrower interventions may have resolved enough that 60% is too high.</w:t>
      </w:r>
    </w:p>
    <w:p>
      <w:pPr>
        <w:pStyle w:val="Heading2"/>
        <w:spacing w:after="160" w:before="300"/>
      </w:pPr>
      <w:r>
        <w:t xml:space="preserve">GTA-specific</w:t>
      </w:r>
    </w:p>
    <w:p>
      <w:pPr>
        <w:pStyle w:val="ListParagraph"/>
        <w:numPr>
          <w:ilvl w:val="0"/>
          <w:numId w:val="3"/>
        </w:numPr>
        <w:spacing w:after="80"/>
      </w:pPr>
      <w:r>
        <w:t xml:space="preserve">'Export ban' base severity 0.90 vs 'other Red intervention' 0.70 is a 28% premium. Is that right? Classification depends on title text containing 'ban' AND 'export'; an unlimited export quota that's de-facto a ban won't hit the threshold.</w:t>
      </w:r>
    </w:p>
    <w:p>
      <w:pPr>
        <w:pStyle w:val="ListParagraph"/>
        <w:numPr>
          <w:ilvl w:val="0"/>
          <w:numId w:val="3"/>
        </w:numPr>
        <w:spacing w:after="80"/>
      </w:pPr>
      <w:r>
        <w:t xml:space="preserve">The horizontal multiplier (× 0.65) discounts cross-product policies. Is this dampening right, or do large horizontal policies still meaningfully hit battery manufacturing?</w:t>
      </w:r>
    </w:p>
    <w:p>
      <w:pPr>
        <w:pStyle w:val="ListParagraph"/>
        <w:numPr>
          <w:ilvl w:val="0"/>
          <w:numId w:val="3"/>
        </w:numPr>
        <w:spacing w:after="80"/>
      </w:pPr>
      <w:r>
        <w:t xml:space="preserve">GTA's NFI/IFI multiplier currently × 1.00. Should IFI grants (World Bank, IADB) be discounted to 0.5-0.7?</w:t>
      </w:r>
    </w:p>
    <w:p>
      <w:pPr>
        <w:pStyle w:val="Heading2"/>
        <w:spacing w:after="160" w:before="300"/>
      </w:pPr>
      <w:r>
        <w:t xml:space="preserve">IEA-specific</w:t>
      </w:r>
    </w:p>
    <w:p>
      <w:pPr>
        <w:pStyle w:val="ListParagraph"/>
        <w:numPr>
          <w:ilvl w:val="0"/>
          <w:numId w:val="3"/>
        </w:numPr>
        <w:spacing w:after="80"/>
      </w:pPr>
      <w:r>
        <w:t xml:space="preserve">The 0.20 severity ceiling for IEA events means even major regulatory developments like the EU CRMA carry less than 1/4 the weight of a single OFAC sanctions notice via IEA's path. Calibration right, or should structural policy events like CRMA carry more weight through this path?</w:t>
      </w:r>
    </w:p>
    <w:p>
      <w:pPr>
        <w:pStyle w:val="Heading2"/>
        <w:spacing w:after="160" w:before="300"/>
      </w:pPr>
      <w:r>
        <w:t xml:space="preserve">Federal Register-specific</w:t>
      </w:r>
    </w:p>
    <w:p>
      <w:pPr>
        <w:pStyle w:val="ListParagraph"/>
        <w:numPr>
          <w:ilvl w:val="0"/>
          <w:numId w:val="3"/>
        </w:numPr>
        <w:spacing w:after="80"/>
      </w:pPr>
      <w:r>
        <w:t xml:space="preserve">Query-level boosts vary from 0.00 to +0.20. Presidential_critical_mineral and mining_minerals queries get 0.00 boost. Should presidential actions on critical minerals get a non-zero boost since they're high-authority?</w:t>
      </w:r>
    </w:p>
    <w:p>
      <w:pPr>
        <w:pStyle w:val="ListParagraph"/>
        <w:numPr>
          <w:ilvl w:val="0"/>
          <w:numId w:val="3"/>
        </w:numPr>
        <w:spacing w:after="80"/>
      </w:pPr>
      <w:r>
        <w:t xml:space="preserve">Keyword boost cap of +0.22 means documents with 3+ high-signal keywords don't get additional credit. Should documents matching 3+ keywords (suggesting genuine focus) get more boost?</w:t>
      </w:r>
    </w:p>
    <w:p>
      <w:pPr>
        <w:pStyle w:val="Heading2"/>
        <w:spacing w:after="160" w:before="300"/>
      </w:pPr>
      <w:r>
        <w:t xml:space="preserve">OpenSanctions-specific</w:t>
      </w:r>
    </w:p>
    <w:p>
      <w:pPr>
        <w:pStyle w:val="ListParagraph"/>
        <w:numPr>
          <w:ilvl w:val="0"/>
          <w:numId w:val="3"/>
        </w:numPr>
        <w:spacing w:after="80"/>
      </w:pPr>
      <w:r>
        <w:t xml:space="preserve">Geography_sanctions_exposure severity formula: min(1.0, count / 500). Is 500 the right denominator? Smaller-but-significant sanctioned countries (Iran, North Korea) might warrant denominator 250 to fire at higher severity.</w:t>
      </w:r>
    </w:p>
    <w:p>
      <w:pPr>
        <w:pStyle w:val="ListParagraph"/>
        <w:numPr>
          <w:ilvl w:val="0"/>
          <w:numId w:val="3"/>
        </w:numPr>
        <w:spacing w:after="80"/>
      </w:pPr>
      <w:r>
        <w:t xml:space="preserve">The 5% production-share threshold for geography_sanctions_exposure material attribution. China's cobalt holding (~4%) just misses the cutoff. Should the floor be lower (3%) so we capture meaningful-but-not-dominant exposures?</w:t>
      </w:r>
    </w:p>
    <w:p>
      <w:pPr>
        <w:pStyle w:val="Heading2"/>
        <w:spacing w:after="160" w:before="300"/>
      </w:pPr>
      <w:r>
        <w:t xml:space="preserve">EUR-Lex-specific (NEW)</w:t>
      </w:r>
    </w:p>
    <w:p>
      <w:pPr>
        <w:pStyle w:val="ListParagraph"/>
        <w:numPr>
          <w:ilvl w:val="0"/>
          <w:numId w:val="3"/>
        </w:numPr>
        <w:spacing w:after="80"/>
      </w:pPr>
      <w:r>
        <w:t xml:space="preserve">Conditional scope downweight: 0.30× when a company has no overlap with regulation's targeted countries. Is 30% the right residual weight, or should it be lower (15-20% to express "barely matters") or higher (40-50% to express "tier-2 exposure is meaningful")?</w:t>
      </w:r>
    </w:p>
    <w:p>
      <w:pPr>
        <w:pStyle w:val="ListParagraph"/>
        <w:numPr>
          <w:ilvl w:val="0"/>
          <w:numId w:val="3"/>
        </w:numPr>
        <w:spacing w:after="80"/>
      </w:pPr>
      <w:r>
        <w:t xml:space="preserve">Geography role relevances (jurisdiction 0.70, origin_country 0.85, targeted_country 1.00) — are these right? Should jurisdiction carry less weight (because EU-wide laws apply broadly) and targeted_country more (because it's the most specific bite)?</w:t>
      </w:r>
    </w:p>
    <w:p>
      <w:pPr>
        <w:pStyle w:val="ListParagraph"/>
        <w:numPr>
          <w:ilvl w:val="0"/>
          <w:numId w:val="3"/>
        </w:numPr>
        <w:spacing w:after="80"/>
      </w:pPr>
      <w:r>
        <w:t xml:space="preserve">Status detection auto-applies a `status_review_pending` flag — should there ever be a path where partner explicitly enables auto-mutation of status (after a partner-confirmed schema for what counts as a high-confidence change)?</w:t>
      </w:r>
    </w:p>
    <w:p>
      <w:pPr>
        <w:pStyle w:val="ListParagraph"/>
        <w:numPr>
          <w:ilvl w:val="0"/>
          <w:numId w:val="3"/>
        </w:numPr>
        <w:spacing w:after="80"/>
      </w:pPr>
      <w:r>
        <w:t xml:space="preserve">Regulation summary length — currently 2500 characters captures preamble + first 1-3 operative articles. Is that the right read-length for the UI's regulation-detail view? Should we bump higher (5000+) when we build a dedicated regulation-detail page?</w:t>
      </w:r>
    </w:p>
    <w:p>
      <w:r>
        <w:br w:type="page"/>
      </w:r>
    </w:p>
    <w:p>
      <w:pPr>
        <w:pStyle w:val="Heading1"/>
        <w:spacing w:after="240" w:before="400"/>
      </w:pPr>
      <w:r>
        <w:t xml:space="preserve">Appendix A — All Numeric Weights in One Place</w:t>
      </w:r>
    </w:p>
    <w:p>
      <w:pPr>
        <w:spacing w:after="120"/>
      </w:pPr>
      <w:r>
        <w:t xml:space="preserve">Reference list of every numeric constant in the scoring engine. Use this to look up any specific weight referenced elsewhere in the document.</w:t>
      </w:r>
    </w:p>
    <w:p>
      <w:pPr>
        <w:pStyle w:val="Heading2"/>
        <w:spacing w:after="160" w:before="300"/>
      </w:pPr>
      <w:r>
        <w:t xml:space="preserve">Pillar combination weights (company-level)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Pillar</w:t>
            </w:r>
          </w:p>
        </w:tc>
        <w:tc>
          <w:tcPr>
            <w:tcW w:type="dxa" w:w="47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Weight</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Material Concentration</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0.25</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Geopolitical / Trade</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0.20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Regulatory &amp; Compliance</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0.20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Supply Chain Propagation</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0.15</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Operational</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0.10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Financial Pressure</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0.10</w:t>
            </w:r>
          </w:p>
        </w:tc>
      </w:tr>
    </w:tbl>
    <w:p>
      <w:pPr>
        <w:spacing w:after="120"/>
      </w:pPr>
      <w:r>
        <w:t xml:space="preserve"/>
      </w:r>
    </w:p>
    <w:p>
      <w:pPr>
        <w:pStyle w:val="Heading2"/>
        <w:spacing w:after="160" w:before="300"/>
      </w:pPr>
      <w:r>
        <w:t xml:space="preserve">Material Concentration sub-inputs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Sub-input</w:t>
            </w:r>
          </w:p>
        </w:tc>
        <w:tc>
          <w:tcPr>
            <w:tcW w:type="dxa" w:w="47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Weight</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Criticality</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0.35</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Concentration (HCG share)</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0.35</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Trade volatility (event-driven)</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0.30</w:t>
            </w:r>
          </w:p>
        </w:tc>
      </w:tr>
    </w:tbl>
    <w:p>
      <w:pPr>
        <w:spacing w:after="120"/>
      </w:pPr>
      <w:r>
        <w:t xml:space="preserve"/>
      </w:r>
    </w:p>
    <w:p>
      <w:pPr>
        <w:pStyle w:val="Heading2"/>
        <w:spacing w:after="160" w:before="300"/>
      </w:pPr>
      <w:r>
        <w:t xml:space="preserve">Geopolitical sub-inputs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300"/>
        <w:gridCol w:w="2460"/>
      </w:tblGrid>
      <w:tr>
        <w:tc>
          <w:tcPr>
            <w:tcW w:type="dxa" w:w="46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Sub-input</w:t>
            </w:r>
          </w:p>
        </w:tc>
        <w:tc>
          <w:tcPr>
            <w:tcW w:type="dxa" w:w="23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3-comp</w:t>
            </w:r>
          </w:p>
        </w:tc>
        <w:tc>
          <w:tcPr>
            <w:tcW w:type="dxa" w:w="24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4-comp</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Country concentration</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0.40</w:t>
            </w:r>
          </w:p>
        </w:tc>
        <w:tc>
          <w:tcPr>
            <w:tcW w:type="dxa" w:w="24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0.40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Export restriction exposure</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0.35</w:t>
            </w:r>
          </w:p>
        </w:tc>
        <w:tc>
          <w:tcPr>
            <w:tcW w:type="dxa" w:w="24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0.30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Tariff exposure</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0.25</w:t>
            </w:r>
          </w:p>
        </w:tc>
        <w:tc>
          <w:tcPr>
            <w:tcW w:type="dxa" w:w="24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0.20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Production subsidy distortion</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w:t>
            </w:r>
          </w:p>
        </w:tc>
        <w:tc>
          <w:tcPr>
            <w:tcW w:type="dxa" w:w="24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0.10</w:t>
            </w:r>
          </w:p>
        </w:tc>
      </w:tr>
    </w:tbl>
    <w:p>
      <w:pPr>
        <w:spacing w:after="120"/>
      </w:pPr>
      <w:r>
        <w:t xml:space="preserve"/>
      </w:r>
    </w:p>
    <w:p>
      <w:pPr>
        <w:pStyle w:val="Heading2"/>
        <w:spacing w:after="160" w:before="300"/>
      </w:pPr>
      <w:r>
        <w:t xml:space="preserve">Regulatory pillar</w:t>
      </w:r>
    </w:p>
    <w:p>
      <w:pPr>
        <w:spacing w:after="120"/>
      </w:pPr>
      <w:r/>
      <w:r/>
    </w:p>
    <w:p>
      <w:pPr>
        <w:spacing w:after="120"/>
      </w:pPr>
      <w:r/>
      <w:r/>
    </w:p>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Obligation</w:t>
            </w:r>
          </w:p>
        </w:tc>
        <w:tc>
          <w:tcPr>
            <w:tcW w:type="dxa" w:w="37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Weight (max)</w:t>
            </w:r>
          </w:p>
        </w:tc>
      </w:tr>
      <w:tr>
        <w:tc>
          <w:tcPr>
            <w:tcW w:type="dxa" w:w="5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UFLPA (US)</w:t>
            </w:r>
          </w:p>
        </w:tc>
        <w:tc>
          <w:tcPr>
            <w:tcW w:type="dxa" w:w="3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25</w:t>
            </w:r>
          </w:p>
        </w:tc>
      </w:tr>
      <w:tr>
        <w:tc>
          <w:tcPr>
            <w:tcW w:type="dxa" w:w="5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Battery Regulation 2023</w:t>
            </w:r>
          </w:p>
        </w:tc>
        <w:tc>
          <w:tcPr>
            <w:tcW w:type="dxa" w:w="3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20</w:t>
            </w:r>
          </w:p>
        </w:tc>
      </w:tr>
      <w:tr>
        <w:tc>
          <w:tcPr>
            <w:tcW w:type="dxa" w:w="5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Critical Raw Materials Act</w:t>
            </w:r>
          </w:p>
        </w:tc>
        <w:tc>
          <w:tcPr>
            <w:tcW w:type="dxa" w:w="3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15</w:t>
            </w:r>
          </w:p>
        </w:tc>
      </w:tr>
      <w:tr>
        <w:tc>
          <w:tcPr>
            <w:tcW w:type="dxa" w:w="5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IRA Domestic Content</w:t>
            </w:r>
          </w:p>
        </w:tc>
        <w:tc>
          <w:tcPr>
            <w:tcW w:type="dxa" w:w="3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15</w:t>
            </w:r>
          </w:p>
        </w:tc>
      </w:tr>
      <w:tr>
        <w:tc>
          <w:tcPr>
            <w:tcW w:type="dxa" w:w="5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CSDDD</w:t>
            </w:r>
          </w:p>
        </w:tc>
        <w:tc>
          <w:tcPr>
            <w:tcW w:type="dxa" w:w="3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10</w:t>
            </w:r>
          </w:p>
        </w:tc>
      </w:tr>
      <w:tr>
        <w:tc>
          <w:tcPr>
            <w:tcW w:type="dxa" w:w="5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REACH (Cobalt)</w:t>
            </w:r>
          </w:p>
        </w:tc>
        <w:tc>
          <w:tcPr>
            <w:tcW w:type="dxa" w:w="3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8</w:t>
            </w:r>
          </w:p>
        </w:tc>
      </w:tr>
      <w:tr>
        <w:tc>
          <w:tcPr>
            <w:tcW w:type="dxa" w:w="5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CBAM</w:t>
            </w:r>
          </w:p>
        </w:tc>
        <w:tc>
          <w:tcPr>
            <w:tcW w:type="dxa" w:w="3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5</w:t>
            </w:r>
          </w:p>
        </w:tc>
      </w:tr>
      <w:tr>
        <w:tc>
          <w:tcPr>
            <w:tcW w:type="dxa" w:w="5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Conflict Minerals</w:t>
            </w:r>
          </w:p>
        </w:tc>
        <w:tc>
          <w:tcPr>
            <w:tcW w:type="dxa" w:w="3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w:t>
            </w:r>
          </w:p>
        </w:tc>
      </w:tr>
    </w:tbl>
    <w:p>
      <w:pPr>
        <w:spacing w:after="120"/>
      </w:pPr>
      <w:r>
        <w:t xml:space="preserve"/>
      </w:r>
    </w:p>
    <w:p>
      <w:pPr>
        <w:spacing w:after="120"/>
      </w:pPr>
      <w:r/>
      <w:r/>
    </w:p>
    <w:p>
      <w:pPr>
        <w:pStyle w:val="Heading2"/>
        <w:spacing w:after="160" w:before="300"/>
      </w:pPr>
      <w:r>
        <w:t xml:space="preserve">EUR-Lex regulation parser (NEW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Constant</w:t>
            </w:r>
          </w:p>
        </w:tc>
        <w:tc>
          <w:tcPr>
            <w:tcW w:type="dxa" w:w="47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Value</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Severity — effective</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0.70 (was 0.55 pre-v2)</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Severity — enacted</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0.40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Severity — proposed</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0.15 (was 0.25 pre-v2)</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Severity — superseded</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0.00 (was 0.05 pre-v2)</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Confidence</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0.9 (was 1.0 pre-v2)</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Scope severity multiplier — banned</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1.50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Scope severity multiplier — restricted</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1.10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Scope severity multiplier — strategic_raw_material</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1.00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Scope severity multiplier — covered</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0.80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Scope severity multiplier — disclosure_required</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0.50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Material scope relevance — banned</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1.00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Material scope relevance — restricted</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0.90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Material scope relevance — strategic_raw_material</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0.85</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Material scope relevance — covered</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0.80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Material scope relevance — disclosure_required</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0.70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Geography scope relevance — targeted_country</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1.00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Geography scope relevance — origin_country</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0.85</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Geography scope relevance — jurisdiction</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0.70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Conditional scope downweight (no overlap)</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 0.30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Summary text length cap</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2500 chars (was 800 pre-v2)</w:t>
            </w:r>
          </w:p>
        </w:tc>
      </w:tr>
    </w:tbl>
    <w:p>
      <w:pPr>
        <w:spacing w:after="120"/>
      </w:pPr>
      <w:r>
        <w:t xml:space="preserve"/>
      </w:r>
    </w:p>
    <w:p>
      <w:pPr>
        <w:pStyle w:val="Heading2"/>
        <w:spacing w:after="160" w:before="300"/>
      </w:pPr>
      <w:r>
        <w:t xml:space="preserve">Per-source severity and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460"/>
      </w:tblGrid>
      <w:tr>
        <w:tc>
          <w:tcPr>
            <w:tcW w:type="dxa" w:w="26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Source</w:t>
            </w:r>
          </w:p>
        </w:tc>
        <w:tc>
          <w:tcPr>
            <w:tcW w:type="dxa" w:w="23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Confidence</w:t>
            </w:r>
          </w:p>
        </w:tc>
        <w:tc>
          <w:tcPr>
            <w:tcW w:type="dxa" w:w="44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Severity range</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GTA</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0.90</w:t>
            </w:r>
          </w:p>
        </w:tc>
        <w:tc>
          <w:tcPr>
            <w:tcW w:type="dxa" w:w="4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0.0 – 1.0 (most 0.30 – 0.90)</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IEA Policy Tracker</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0.65</w:t>
            </w:r>
          </w:p>
        </w:tc>
        <w:tc>
          <w:tcPr>
            <w:tcW w:type="dxa" w:w="4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0.10 – 0.20</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Federal Register</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0.70</w:t>
            </w:r>
          </w:p>
        </w:tc>
        <w:tc>
          <w:tcPr>
            <w:tcW w:type="dxa" w:w="4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0.30 – 0.92 (clamped)</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OpenSanctions (listings)</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1.00</w:t>
            </w:r>
          </w:p>
        </w:tc>
        <w:tc>
          <w:tcPr>
            <w:tcW w:type="dxa" w:w="4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1.00 (hardcoded)</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OpenSanctions (geo exposure)</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0.85</w:t>
            </w:r>
          </w:p>
        </w:tc>
        <w:tc>
          <w:tcPr>
            <w:tcW w:type="dxa" w:w="4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min(1.0, count/500)</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EUR-Lex regulations (v2)</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0.90</w:t>
            </w:r>
          </w:p>
        </w:tc>
        <w:tc>
          <w:tcPr>
            <w:tcW w:type="dxa" w:w="44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0.00 – 0.70 by status, per-regulation overridable</w:t>
            </w:r>
          </w:p>
        </w:tc>
      </w:tr>
    </w:tbl>
    <w:p>
      <w:pPr>
        <w:spacing w:after="120"/>
      </w:pPr>
      <w:r>
        <w:t xml:space="preserve"/>
      </w:r>
    </w:p>
    <w:p>
      <w:pPr>
        <w:pStyle w:val="Heading2"/>
        <w:spacing w:after="160" w:before="300"/>
      </w:pPr>
      <w:r>
        <w:t xml:space="preserve">Recency decay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060"/>
      </w:tblGrid>
      <w:tr>
        <w:tc>
          <w:tcPr>
            <w:tcW w:type="dxa" w:w="30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Category</w:t>
            </w:r>
          </w:p>
        </w:tc>
        <w:tc>
          <w:tcPr>
            <w:tcW w:type="dxa" w:w="23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Window/half-life</w:t>
            </w:r>
          </w:p>
        </w:tc>
        <w:tc>
          <w:tcPr>
            <w:tcW w:type="dxa" w:w="40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Behavior</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Geopolitical / Trade</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730 days</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Linear 1.00→0.70, floor 0.60</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Regulatory / Compliance</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365 days</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Linear 1.00→0.60; step-up to 1.10-1.20 when within ±90d of effective_date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Operational</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90-day half-life (exponential)</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Clamped [0.60, 1.20]</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Material Concentration</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365 days</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Linear 1.00→0.60</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Financial Pressure</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Always 1.00 (caller-controlled)</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EUR-Lex regulations</w:t>
            </w:r>
          </w:p>
        </w:tc>
        <w:tc>
          <w:tcPr>
            <w:tcW w:type="dxa" w:w="230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None (standing)</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event_date=None — always at full weight; ±90d effective-date step-up via standard regulatory category</w:t>
            </w:r>
          </w:p>
        </w:tc>
      </w:tr>
    </w:tbl>
    <w:p>
      <w:pPr>
        <w:spacing w:after="120"/>
      </w:pPr>
      <w:r>
        <w:t xml:space="preserve"/>
      </w:r>
    </w:p>
    <w:p>
      <w:pPr>
        <w:pStyle w:val="Heading2"/>
        <w:spacing w:after="160" w:before="300"/>
      </w:pPr>
      <w:r>
        <w:t xml:space="preserve">Other notable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Constant</w:t>
            </w:r>
          </w:p>
        </w:tc>
        <w:tc>
          <w:tcPr>
            <w:tcW w:type="dxa" w:w="47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Value</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HCG country set</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{CN, CD, RU}</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Facility-presence floor (market-level)</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0.02</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Theoretical max event_impact</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1.56 = 1.00 × 1.00 × 1.20 × 1.30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Relevance multiplier range</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0.70 – 1.30 (mapped from 0-1)</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Confidence floor (only when severity ≥ 0.80)</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0.60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Tier 1 supplier weight (Propagation)</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1.00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Tier 2 supplier weight (Propagation)</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0.40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Default volume share when NULL</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0.10</w:t>
            </w:r>
          </w:p>
        </w:tc>
      </w:tr>
      <w:t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Engine scoring version</w:t>
            </w:r>
          </w:p>
        </w:tc>
        <w:tc>
          <w:tcPr>
            <w:tcW w:type="dxa" w:w="4760"/>
            <w:tcBorders>
              <w:top w:val="single" w:color="CCCCCC" w:sz="4"/>
              <w:left w:val="single" w:color="CCCCCC" w:sz="4"/>
              <w:bottom w:val="single" w:color="CCCCCC" w:sz="4"/>
              <w:right w:val="single" w:color="CCCCCC" w:sz="4"/>
            </w:tcBorders>
            <w:shd w:fill="F4F4F4" w:color="auto" w:val="clear"/>
            <w:tcMar>
              <w:top w:type="dxa" w:w="100"/>
              <w:left w:type="dxa" w:w="140"/>
              <w:bottom w:type="dxa" w:w="100"/>
              <w:right w:type="dxa" w:w="140"/>
            </w:tcMar>
            <w:vAlign w:val="center"/>
          </w:tcPr>
          <w:p>
            <w:r>
              <w:t xml:space="preserve">3.0</w:t>
            </w:r>
          </w:p>
        </w:tc>
      </w:tr>
    </w:tbl>
    <w:p>
      <w:r>
        <w:br w:type="page"/>
      </w:r>
    </w:p>
    <w:p>
      <w:pPr>
        <w:pStyle w:val="Heading1"/>
        <w:spacing w:after="240" w:before="400"/>
      </w:pPr>
      <w:r>
        <w:t xml:space="preserve">Appendix B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Term</w:t>
            </w:r>
          </w:p>
        </w:tc>
        <w:tc>
          <w:tcPr>
            <w:tcW w:type="dxa" w:w="6960"/>
            <w:tcBorders>
              <w:top w:val="single" w:color="CCCCCC" w:sz="4"/>
              <w:left w:val="single" w:color="CCCCCC" w:sz="4"/>
              <w:bottom w:val="single" w:color="CCCCCC" w:sz="4"/>
              <w:right w:val="single" w:color="CCCCCC" w:sz="4"/>
            </w:tcBorders>
            <w:shd w:fill="1F3A5F" w:color="auto" w:val="clear"/>
            <w:tcMar>
              <w:top w:type="dxa" w:w="100"/>
              <w:left w:type="dxa" w:w="140"/>
              <w:bottom w:type="dxa" w:w="100"/>
              <w:right w:type="dxa" w:w="140"/>
            </w:tcMar>
            <w:vAlign w:val="center"/>
          </w:tcPr>
          <w:p>
            <w:r>
              <w:rPr>
                <w:b/>
                <w:bCs/>
                <w:color w:val="FFFFFF"/>
              </w:rPr>
              <w:t xml:space="preserve">Meaning</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CELEX</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EU's permanent identifier for legal documents. Format: year + sector letter + number (e.g., 32023R1542 for EU Battery Regulation 2023).</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Confidence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How much we trust the source's classification of an event. Per source: 0.65 (IEA) – 1.00 (OpenSanctions). Floors at 0.60 only when severity ≥ 0.80.</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Conditional scope downweight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0.30× factor applied to a regulation event's impact when the company has no supply-chain exposure to the regulation's targeted countries. NEW in v2.</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CRMA</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EU Critical Raw Materials Act (2024). Sets supply-chain diversification targets for strategic minerals: 10% domestic extraction, 40% processing, 25% recycling, max 65% from single third country.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Event impact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The final multiplicative product severity × confidence × recency × relevance. Theoretical max = 1.56. Normalised to [0,1] by dividing by 1.56.</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Facility-presence floor</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Baseline 0.02 applied at market-level scoring when no formal production-share data exists but USGS MRDS shows at least one facility. NEW in v2.</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FR / Federal Register</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US daily publication record of federal regulatory action. Auto-discovered via 10 targeted query streams.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GTA</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Global Trade Alert (University of St. Gallen). Authoritative public observatory of government trade-policy interventions worldwide.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HCG</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High-Concentration Geography. Current set: China (CN), Democratic Republic of Congo (CD), Russia (RU). Applied uniformly across all materials.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HS code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Harmonized System trade classification code. 4, 6, 8, or 10 digits — increasing specificity. First 6 digits are international by treaty.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IEA</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International Energy Agency. The IEA Critical Minerals Policy Tracker (a partner-curated database) is one of our event sources.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IRA Domestic Content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US Inflation Reduction Act critical-mineral / battery-component domestic-content thresholds for EV tax credit eligibility.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MaterialCache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The engine's DB-driven keyword scanner for free-text material attribution. Single source of truth for keyword → material mapping with inverse-frequency relevance weighting.</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OFAC</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US Treasury Office of Foreign Assets Control — administers US economic sanctions designations.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OpenSanctions</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Free consolidated sanctions database. Aggregates designations from OFAC, EU, UN, UK, and ~100 other regimes.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Pillar</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One of six dimensions of risk: Material Concentration, Geopolitical/Trade, Regulatory &amp; Compliance, Supply Chain Propagation, Operational, Financial Pressure.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Recency multiplier</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Decay factor applied to older events. Geopolitical 2-year linear; Operational 90-day exponential; Regulatory 1-year linear with effective-date step-up.</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Relevance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How confidently an event applies to a specific (material, country, or company). 0.0-1.0 on the junction row, mapped to 0.70-1.30 multiplier.</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Review queue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Events ingested but not scored, flagged needs_material_review=true. Surfaced for analyst triage.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Scope type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Partner-curated intensity classification per (regulation, material): banned / restricted / strategic_raw_material / covered / disclosure_required. Drives a severity multiplier at scoring time.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Severity</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How serious the event is, by itself. 0.0-1.0. Calibrated per source.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UFLPA</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Uyghur Forced Labor Prevention Act (US). Strict liability for goods with Xinjiang nexus. Heaviest obligation weight (25) in the engine.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USGS MCS</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US Geological Survey Mineral Commodity Summaries. Annual publication of production volumes by country and material.</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USGS MRDS</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US Geological Survey Mineral Resources Data System. Facility-level production data — used for the facility-presence floor.</w:t>
            </w:r>
          </w:p>
        </w:tc>
      </w:tr>
    </w:tbl>
    <w:p>
      <w:r>
        <w:br w:type="page"/>
      </w:r>
    </w:p>
    <w:p>
      <w:pPr>
        <w:pStyle w:val="Heading1"/>
        <w:spacing w:after="240" w:before="400"/>
      </w:pPr>
      <w:r>
        <w:t xml:space="preserve">Appendix C — Version Log</w:t>
      </w:r>
    </w:p>
    <w:p>
      <w:pPr>
        <w:spacing w:after="120"/>
      </w:pPr>
      <w:r/>
      <w:r/>
    </w:p>
    <w:p>
      <w:pPr>
        <w:spacing w:after="120"/>
      </w:pPr>
      <w:r/>
      <w:r/>
    </w:p>
    <w:p>
      <w:pPr>
        <w:spacing w:after="120"/>
      </w:pPr>
      <w:r>
        <w:t xml:space="preserve"/>
      </w:r>
    </w:p>
    <w:p>
      <w:pPr>
        <w:spacing w:after="120"/>
      </w:pPr>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8"/>
        <w:szCs w:val="18"/>
      </w:rPr>
      <w:t xml:space="preserve">Risk Scoring Methodology Handbook v2.0</w:t>
    </w:r>
    <w:r>
      <w:rPr>
        <w:color w:val="888888"/>
        <w:sz w:val="18"/>
        <w:szCs w:val="18"/>
      </w:rPr>
      <w:t xml:space="preserve">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1F3A5F"/>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B87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Scoring Methodology Handbook v2</dc:title>
  <dc:creator>Automotive Data Solutions</dc:creator>
  <dc:description>Comprehensive handbook explaining how the scoring engine works in the critical minerals and EV battery industry: what contributes to scoring, how it's weighted, where partner judgment is needed.</dc:description>
  <cp:lastModifiedBy>Un-named</cp:lastModifiedBy>
  <cp:revision>1</cp:revision>
  <dcterms:created xsi:type="dcterms:W3CDTF">2026-05-18T23:04:46.734Z</dcterms:created>
  <dcterms:modified xsi:type="dcterms:W3CDTF">2026-05-18T23:04:46.737Z</dcterms:modified>
</cp:coreProperties>
</file>

<file path=docProps/custom.xml><?xml version="1.0" encoding="utf-8"?>
<Properties xmlns="http://schemas.openxmlformats.org/officeDocument/2006/custom-properties" xmlns:vt="http://schemas.openxmlformats.org/officeDocument/2006/docPropsVTypes"/>
</file>