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56"/>
          <w:szCs w:val="56"/>
        </w:rPr>
        <w:t xml:space="preserve">RISK SCORING METHODOLOGY</w:t>
      </w:r>
    </w:p>
    <w:p>
      <w:pPr>
        <w:spacing w:after="1200"/>
        <w:jc w:val="center"/>
      </w:pPr>
      <w:r>
        <w:rPr>
          <w:color w:val="B87333"/>
          <w:sz w:val="36"/>
          <w:szCs w:val="36"/>
        </w:rPr>
        <w:t xml:space="preserve">Handbook v3</w:t>
      </w:r>
    </w:p>
    <w:p>
      <w:pPr>
        <w:spacing w:after="800"/>
        <w:ind w:left="720" w:right="720"/>
        <w:jc w:val="center"/>
      </w:pPr>
      <w:r>
        <w:rPr>
          <w:i/>
          <w:iCs/>
          <w:sz w:val="24"/>
          <w:szCs w:val="24"/>
        </w:rPr>
        <w:t xml:space="preserve">How the Mineral Risk Analytics platform scores supply-chain risk for critical minerals in the EV battery industry. The complete reference for what contributes, how it's weighted, and where partner judgment is needed.</w:t>
      </w:r>
    </w:p>
    <w:p>
      <w:pPr>
        <w:spacing w:after="80"/>
        <w:jc w:val="center"/>
      </w:pPr>
      <w:r>
        <w:rPr>
          <w:i/>
          <w:iCs/>
        </w:rPr>
        <w:t xml:space="preserve">Prepared for partner review</w:t>
      </w:r>
    </w:p>
    <w:p>
      <w:pPr>
        <w:spacing w:after="800"/>
        <w:jc w:val="center"/>
      </w:pPr>
      <w:r>
        <w:t xml:space="preserve">Document version 3.0  |  May 19, 2026</w:t>
      </w:r>
    </w:p>
    <w:p>
      <w:r>
        <w:br w:type="page"/>
      </w:r>
    </w:p>
    <w:p>
      <w:pPr>
        <w:pStyle w:val="Heading1"/>
        <w:spacing w:after="240" w:before="400"/>
      </w:pPr>
      <w:r>
        <w:t xml:space="preserve">Part 1 — How to Read This Handbook</w:t>
      </w:r>
    </w:p>
    <w:p>
      <w:pPr>
        <w:spacing w:after="120"/>
      </w:pPr>
      <w:r>
        <w:rPr>
          <w:b/>
          <w:bCs/>
        </w:rPr>
        <w:t xml:space="preserve">What this is. </w:t>
      </w:r>
      <w:r>
        <w:t xml:space="preserve">A complete reference for how the Mineral Risk Analytics risk-scoring engine works. It explains every contributor to a material's risk score, how those contributors are weighted, what data sources feed them, and where partner judgment shapes the math. Read it cover-to-cover for a full picture, or jump to specific parts for a single topic.</w:t>
      </w:r>
    </w:p>
    <w:p>
      <w:pPr>
        <w:spacing w:after="120"/>
      </w:pPr>
      <w:r>
        <w:rPr>
          <w:b/>
          <w:bCs/>
        </w:rPr>
        <w:t xml:space="preserve">Audience. </w:t>
      </w:r>
      <w:r>
        <w:t xml:space="preserve">Someone with deep critical-minerals and automotive supply-chain domain expertise. Not a developer. The math is presented in mineral/regulatory terms with worked examples grounded in real-world supply chain situations (Indonesia nickel ban, UFLPA cobalt, EU Battery Regulation, OFAC sanctions). When a calibration choice is debatable, the document calls it out and explains the alternatives — those are decisions for partner judgment, not engineering.</w:t>
      </w:r>
    </w:p>
    <w:p>
      <w:pPr>
        <w:spacing w:after="120"/>
      </w:pPr>
      <w:r>
        <w:rPr>
          <w:b/>
          <w:bCs/>
        </w:rPr>
        <w:t xml:space="preserve">How to use this document. </w:t>
      </w:r>
      <w:r>
        <w:t xml:space="preserve">This handbook is a living reference, not a fixed-version document — it gets updated as the engine evolves. Read it cover-to-cover when you want the full picture; jump to a specific Part when you want one topic. The Table of Contents below tracks the major sections.</w:t>
      </w:r>
    </w:p>
    <w:p>
      <w:pPr>
        <w:pStyle w:val="ListParagraph"/>
        <w:numPr>
          <w:ilvl w:val="0"/>
          <w:numId w:val="2"/>
        </w:numPr>
        <w:spacing w:after="80"/>
      </w:pPr>
      <w:r>
        <w:rPr>
          <w:b/>
          <w:bCs/>
        </w:rPr>
        <w:t xml:space="preserve">Part 1-3 </w:t>
      </w:r>
      <w:r>
        <w:t xml:space="preserve">(the conceptual layer): how the engine thinks about risk, the six scoring pillars at a glance, and the cross-cutting mechanics every event passes through (severity, confidence, relevance, recency).</w:t>
      </w:r>
    </w:p>
    <w:p>
      <w:pPr>
        <w:pStyle w:val="ListParagraph"/>
        <w:numPr>
          <w:ilvl w:val="0"/>
          <w:numId w:val="2"/>
        </w:numPr>
        <w:spacing w:after="80"/>
      </w:pPr>
      <w:r>
        <w:rPr>
          <w:b/>
          <w:bCs/>
        </w:rPr>
        <w:t xml:space="preserve">Part 4 </w:t>
      </w:r>
      <w:r>
        <w:t xml:space="preserve">(the six pillars in detail): Material Concentration, Geopolitical / Trade, Regulatory &amp; Compliance, Supply Chain Propagation, Operational, Financial Pressure. Each with its formula, sub-input weights, and the calibration questions where partner judgment is most consequential.</w:t>
      </w:r>
    </w:p>
    <w:p>
      <w:pPr>
        <w:pStyle w:val="ListParagraph"/>
        <w:numPr>
          <w:ilvl w:val="0"/>
          <w:numId w:val="2"/>
        </w:numPr>
        <w:spacing w:after="80"/>
      </w:pPr>
      <w:r>
        <w:rPr>
          <w:b/>
          <w:bCs/>
        </w:rPr>
        <w:t xml:space="preserve">Part 5 </w:t>
      </w:r>
      <w:r>
        <w:t xml:space="preserve">(policy event sources): the four upstream sources today — Global Trade Alert (GTA), the IEA Critical Minerals Policy Tracker, the US Federal Register, and OpenSanctions.</w:t>
      </w:r>
    </w:p>
    <w:p>
      <w:pPr>
        <w:pStyle w:val="ListParagraph"/>
        <w:numPr>
          <w:ilvl w:val="0"/>
          <w:numId w:val="2"/>
        </w:numPr>
        <w:spacing w:after="80"/>
      </w:pPr>
      <w:r>
        <w:rPr>
          <w:b/>
          <w:bCs/>
        </w:rPr>
        <w:t xml:space="preserve">Part 6 </w:t>
      </w:r>
      <w:r>
        <w:t xml:space="preserve">(regulation event sources): the EUR-Lex parser, the nine currently-tracked regulations, the scope_type ladder, geography handling, status-change detection, the suggested-regulations review queue, and the Federal Register linkage.</w:t>
      </w:r>
    </w:p>
    <w:p>
      <w:pPr>
        <w:pStyle w:val="ListParagraph"/>
        <w:numPr>
          <w:ilvl w:val="0"/>
          <w:numId w:val="2"/>
        </w:numPr>
        <w:spacing w:after="80"/>
      </w:pPr>
      <w:r>
        <w:rPr>
          <w:b/>
          <w:bCs/>
        </w:rPr>
        <w:t xml:space="preserve">Parts 7-8 </w:t>
      </w:r>
      <w:r>
        <w:t xml:space="preserve">(roadmap): event categories not yet covered in depth (production data, trade volumes, prices, company filings, criticality signals); known gaps and outstanding architectural decisions.</w:t>
      </w:r>
    </w:p>
    <w:p>
      <w:pPr>
        <w:pStyle w:val="ListParagraph"/>
        <w:numPr>
          <w:ilvl w:val="0"/>
          <w:numId w:val="2"/>
        </w:numPr>
        <w:spacing w:after="80"/>
      </w:pPr>
      <w:r>
        <w:rPr>
          <w:b/>
          <w:bCs/>
        </w:rPr>
        <w:t xml:space="preserve">Part 9 + Appendices </w:t>
      </w:r>
      <w:r>
        <w:t xml:space="preserve">(reference): consolidated partner-input questions surfaced throughout the document, plus all numeric weights in one table, a glossary, and a version log.</w:t>
      </w:r>
    </w:p>
    <w:p>
      <w:pPr>
        <w:spacing w:after="120"/>
      </w:pPr>
      <w:r>
        <w:rPr>
          <w:b/>
          <w:bCs/>
        </w:rPr>
        <w:t xml:space="preserve">Three kinds of callouts appear throughout: </w:t>
      </w:r>
      <w:r>
        <w:rPr>
          <w:b/>
          <w:bCs/>
          <w:color w:val="B87333"/>
        </w:rPr>
        <w:t xml:space="preserve">PARTNER INPUT REQUESTED </w:t>
      </w:r>
      <w:r>
        <w:t xml:space="preserve">(cream box, copper border) flags a specific weight, threshold, or formula choice where your domain judgment should override the current default. </w:t>
      </w:r>
      <w:r>
        <w:rPr>
          <w:b/>
          <w:bCs/>
          <w:color w:val="B14040"/>
        </w:rPr>
        <w:t xml:space="preserve">KNOWN GAP </w:t>
      </w:r>
      <w:r>
        <w:t xml:space="preserve">(pink box, red border) flags data we don't yet capture or known issues with current logic. </w:t>
      </w:r>
      <w:r>
        <w:rPr>
          <w:b/>
          <w:bCs/>
          <w:color w:val="3A7D5C"/>
        </w:rPr>
        <w:t xml:space="preserve">NEW IN v3 </w:t>
      </w:r>
      <w:r>
        <w:t xml:space="preserve">(green box) flags mechanics or calibrations added since v1 — useful if you read v1 and want to know what changed.</w:t>
      </w:r>
    </w:p>
    <w:p>
      <w:pPr>
        <w:spacing w:after="120"/>
      </w:pPr>
      <w:r>
        <w:rPr>
          <w:b/>
          <w:bCs/>
        </w:rPr>
        <w:t xml:space="preserve">On numeric precision. </w:t>
      </w:r>
      <w:r>
        <w:t xml:space="preserve">The weights, severities, and thresholds in this document are the exact values in the engine code as of v2's release date. They are defensible starting points calibrated against limited real-world samples — not coefficients derived from validated historical data. Expect them to evolve. The point of this document is to make them visible so they CAN evolve.</w:t>
      </w:r>
    </w:p>
    <w:p>
      <w:pPr>
        <w:spacing w:after="120"/>
      </w:pPr>
      <w:r>
        <w:rPr>
          <w:b/>
          <w:bCs/>
        </w:rPr>
        <w:t xml:space="preserve">Why publish this. </w:t>
      </w:r>
      <w:r>
        <w:t xml:space="preserve">Supply chain risk scoring is a domain where the wrong weight in the wrong place can swing a customer's decision about a multi-billion-dollar sourcing arrangement. The engine has to be transparent enough that the people whose judgment shapes those decisions — partner included — can challenge any specific calibration. This document is the transparency layer.</w:t>
      </w:r>
    </w:p>
    <w:p>
      <w:r>
        <w:br w:type="page"/>
      </w:r>
    </w:p>
    <w:p>
      <w:pPr>
        <w:pStyle w:val="Heading1"/>
        <w:spacing w:after="240" w:before="400"/>
      </w:pPr>
      <w:r>
        <w:t xml:space="preserve">Part 2 — How the Engine Thinks About Risk</w:t>
      </w:r>
    </w:p>
    <w:p>
      <w:pPr>
        <w:pStyle w:val="Heading2"/>
        <w:spacing w:after="160" w:before="300"/>
      </w:pPr>
      <w:r>
        <w:t xml:space="preserve">The conceptual model</w:t>
      </w:r>
    </w:p>
    <w:p>
      <w:pPr>
        <w:spacing w:after="120"/>
      </w:pPr>
      <w:r>
        <w:t xml:space="preserve">The Mineral Risk Analytics platform produces three different kinds of risk score, increasing in specificity: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Score type</w:t>
            </w:r>
          </w:p>
        </w:tc>
        <w:tc>
          <w:tcPr>
            <w:tcW w:type="dxa" w:w="2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Granularity</w:t>
            </w:r>
          </w:p>
        </w:tc>
        <w:tc>
          <w:tcPr>
            <w:tcW w:type="dxa" w:w="4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Use case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Global material score</w:t>
            </w:r>
          </w:p>
        </w:tc>
        <w:tc>
          <w:tcPr>
            <w:tcW w:type="dxa" w:w="2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One number per material</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risky is cobalt globally right now?" Used for market-trend dashboards, executive summaries, sector-level reports.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Material × geography score</w:t>
            </w:r>
          </w:p>
        </w:tc>
        <w:tc>
          <w:tcPr>
            <w:tcW w:type="dxa" w:w="2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One number per (material, country) pair</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risky is the DRC cobalt value chain compared to Australia's?" Used for sourcing-decision support, geographic exposure analysis.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Company supplier score</w:t>
            </w:r>
          </w:p>
        </w:tc>
        <w:tc>
          <w:tcPr>
            <w:tcW w:type="dxa" w:w="2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One number per company</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risky is this specific supplier given their chemistry, geography, and known exposure?" Used for procurement decisions, customer-specific risk dashboards. Requires customer's supplier graph as input (Phase 5).</w:t>
            </w:r>
          </w:p>
        </w:tc>
      </w:tr>
    </w:tbl>
    <w:p>
      <w:pPr>
        <w:spacing w:after="120"/>
      </w:pPr>
      <w:r>
        <w:t xml:space="preserve"/>
      </w:r>
    </w:p>
    <w:p>
      <w:pPr>
        <w:spacing w:after="120"/>
      </w:pPr>
      <w:r>
        <w:t xml:space="preserve">All three roll up from the same underlying data, but they combine the same pillars at different weights. The most granular score (HS-code × country) is computed first, then rolls up to material × country, then to global material. A company-specific score, when available, combines the material × country scores with the company's own supplier graph.</w:t>
      </w:r>
    </w:p>
    <w:p>
      <w:pPr>
        <w:pStyle w:val="Heading2"/>
        <w:spacing w:after="160" w:before="300"/>
      </w:pPr>
      <w:r>
        <w:t xml:space="preserve">Two fundamentally different inputs</w:t>
      </w:r>
    </w:p>
    <w:p>
      <w:pPr>
        <w:spacing w:after="120"/>
      </w:pPr>
      <w:r>
        <w:t xml:space="preserve">Risk scoring is a mix of two distinct kinds of data, and the engine treats them differently because they behave differently:</w:t>
      </w:r>
    </w:p>
    <w:p>
      <w:pPr>
        <w:pStyle w:val="ListParagraph"/>
        <w:numPr>
          <w:ilvl w:val="0"/>
          <w:numId w:val="2"/>
        </w:numPr>
        <w:spacing w:after="80"/>
      </w:pPr>
      <w:r>
        <w:rPr>
          <w:b/>
          <w:bCs/>
        </w:rPr>
        <w:t xml:space="preserve">Structural data </w:t>
      </w:r>
      <w:r>
        <w:t xml:space="preserve">— slow-moving facts about the supply chain itself. Which countries produce how much of each mineral, which companies own which facilities, what battery chemistries depend on which materials, what trade volumes flow between which countries. Comes from sources like USGS Mineral Commodity Summaries, USGS facility data, UN Comtrade trade flows, and World Bank Pink Sheet prices. Updates in months or years. Forms the BASELINE risk against which events are measured.</w:t>
      </w:r>
    </w:p>
    <w:p>
      <w:pPr>
        <w:pStyle w:val="ListParagraph"/>
        <w:numPr>
          <w:ilvl w:val="0"/>
          <w:numId w:val="2"/>
        </w:numPr>
        <w:spacing w:after="80"/>
      </w:pPr>
      <w:r>
        <w:rPr>
          <w:b/>
          <w:bCs/>
        </w:rPr>
        <w:t xml:space="preserve">Event-driven signals </w:t>
      </w:r>
      <w:r>
        <w:t xml:space="preserve">— discrete actions and announcements that change the risk picture quickly. Indonesia bans cobalt exports overnight. OFAC adds a Chinese refiner to its sanctions list. The EU enacts a new battery regulation. A force majeure at a major mine. Comes from Global Trade Alert, the IEA Policy Tracker, the US Federal Register, OpenSanctions, EUR-Lex, and SEC EDGAR filings. Can change a score within 24 hours.</w:t>
      </w:r>
    </w:p>
    <w:p>
      <w:pPr>
        <w:spacing w:after="120"/>
      </w:pPr>
      <w:r>
        <w:t xml:space="preserve">Event-driven signals are where most of the engine's complexity lives — and where most of your domain judgment matters. Structural data is mostly automated extraction from public datasets; event data requires per-source parsing, attribution, severity scoring, and recency decay.</w:t>
      </w:r>
    </w:p>
    <w:p>
      <w:pPr>
        <w:pStyle w:val="Heading2"/>
        <w:spacing w:after="160" w:before="300"/>
      </w:pPr>
      <w:r>
        <w:t xml:space="preserve">The six scoring pillars</w:t>
      </w:r>
    </w:p>
    <w:p>
      <w:pPr>
        <w:spacing w:after="120"/>
      </w:pPr>
      <w:r>
        <w:t xml:space="preserve">Every material's risk score is a weighted combination of six pillars. Each pillar captures a distinct dimension of supply-chain risk. The current weights for a company-level score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Pillar</w:t>
            </w:r>
          </w:p>
        </w:tc>
        <w:tc>
          <w:tcPr>
            <w:tcW w:type="dxa" w:w="11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c>
          <w:tcPr>
            <w:tcW w:type="dxa" w:w="58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What it measures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Material Concentration</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Inherent criticality of the materials a company uses (is it cobalt-heavy NMC or iron-based LFP?); geographic and supplier concentration of that supply (80% from one country?); and price/flow volatility on those materials.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Geopolitical / Trade</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Share of supply chain in high-concentration countries; exposure to export restrictions and tariffs; production-subsidy distortion (Chinese REE state aid, etc.).</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Regulatory &amp; Compliance</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Active hard legal obligations (UFLPA, EU Battery Reg, CRMA, IRA Domestic Content), weighted by the company's compliance status; plus recent regulatory event impact.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Supply Chain Propagation</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Risk inherited from suppliers and their suppliers (tier-1 and tier-2). Volume-weighted average of supplier risk scores, with tier-2 weighted at 40% of tier-1.</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Operational</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Structural dependency on single-source or capacity-constrained inputs; plus recent operational disruption events (facility shutdowns, accidents, force majeure).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Financial Pressure</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Signals from SEC filings: keyword/sentiment base score, plus bonuses for leverage warnings / covenant stress, and for going-concern / cash-runway / capex-cut language.</w:t>
            </w:r>
          </w:p>
        </w:tc>
      </w:tr>
    </w:tbl>
    <w:p>
      <w:pPr>
        <w:spacing w:after="120"/>
      </w:pPr>
      <w:r>
        <w:t xml:space="preserve"/>
      </w:r>
    </w:p>
    <w:p>
      <w:pPr>
        <w:spacing w:after="120"/>
      </w:pPr>
      <w:r>
        <w:rPr>
          <w:b/>
          <w:bCs/>
        </w:rPr>
        <w:t xml:space="preserve">For market-level scoring (no company)</w:t>
      </w:r>
      <w:r>
        <w:t xml:space="preserve">, the Supply Chain Propagation pillar drops out (there's no supplier graph to traverse) and the five remaining weights renormalize to: Material Concentration ≈29%, Geopolitical ≈24%, Regulatory ≈24%, Operational ≈12%, Financial Pressure ≈12%.</w:t>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Pillar weights are the most consequential single calibration in the engine. A company in Chinese-cobalt-heavy NMC will score very differently under (Material 25%, Geopolitical 20%) than under (Material 20%, Geopolitical 30%). Are the current weights right for your customer base? Specifically: should Geopolitical/Trade carry more weight given the current trade environment? Should Material's 25% (the largest pillar) be even larger given supply concentration is the fundamental driver?</w:t>
      </w:r>
    </w:p>
    <w:p>
      <w:pPr>
        <w:pStyle w:val="Heading2"/>
        <w:spacing w:after="160" w:before="300"/>
      </w:pPr>
      <w:r>
        <w:t xml:space="preserve">The life of a single event — concrete walkthrough</w:t>
      </w:r>
    </w:p>
    <w:p>
      <w:pPr>
        <w:spacing w:after="120"/>
      </w:pPr>
      <w:r>
        <w:t xml:space="preserve">To make all of this concrete, here's what actually happens when (for example) the EU formally adopts a new amendment to the Battery Regulation:</w:t>
      </w:r>
    </w:p>
    <w:p>
      <w:pPr>
        <w:pStyle w:val="ListParagraph"/>
        <w:numPr>
          <w:ilvl w:val="0"/>
          <w:numId w:val="3"/>
        </w:numPr>
        <w:spacing w:after="80"/>
      </w:pPr>
      <w:r>
        <w:rPr>
          <w:b/>
          <w:bCs/>
        </w:rPr>
        <w:t xml:space="preserve">Ingestion. </w:t>
      </w:r>
      <w:r>
        <w:t xml:space="preserve">Our EUR-Lex parser runs on its quarterly schedule. It pulls the regulation's introductory text from EUR-Lex's HTML page (the first ~2500 characters — about 400 words of preamble plus the first 1-3 operative articles), and pulls the structured legal-status metadata (Date of effect, Date of end of validity, etc.) from the bibliographic notice page.</w:t>
      </w:r>
    </w:p>
    <w:p>
      <w:pPr>
        <w:pStyle w:val="ListParagraph"/>
        <w:numPr>
          <w:ilvl w:val="0"/>
          <w:numId w:val="3"/>
        </w:numPr>
        <w:spacing w:after="80"/>
      </w:pPr>
      <w:r>
        <w:rPr>
          <w:b/>
          <w:bCs/>
        </w:rPr>
        <w:t xml:space="preserve">Validation. </w:t>
      </w:r>
      <w:r>
        <w:t xml:space="preserve">The parser checks whether this regulation already exists in our pre-curated regulation database. EUR-Lex ingestion is "attachment-based" — we don't auto-discover new regulations from EUR-Lex; we only refresh signals for regulations partner has explicitly seeded. If the regulation isn't seeded, a warning logs and the run skips this CELEX number.</w:t>
      </w:r>
    </w:p>
    <w:p>
      <w:pPr>
        <w:pStyle w:val="ListParagraph"/>
        <w:numPr>
          <w:ilvl w:val="0"/>
          <w:numId w:val="3"/>
        </w:numPr>
        <w:spacing w:after="80"/>
      </w:pPr>
      <w:r>
        <w:rPr>
          <w:b/>
          <w:bCs/>
        </w:rPr>
        <w:t xml:space="preserve">Status detection. </w:t>
      </w:r>
      <w:r>
        <w:t xml:space="preserve">If EUR-Lex's bibliographic notice shows a status (effective, enacted, superseded) different from what our seed file currently has, the parser writes a `status_review_pending` flag to the regulation's metadata. The parser does NOT auto-mutate the status — partner reviews the change first via the `list-regulation-status-changes` CLI.</w:t>
      </w:r>
    </w:p>
    <w:p>
      <w:pPr>
        <w:pStyle w:val="ListParagraph"/>
        <w:numPr>
          <w:ilvl w:val="0"/>
          <w:numId w:val="3"/>
        </w:numPr>
        <w:spacing w:after="80"/>
      </w:pPr>
      <w:r>
        <w:rPr>
          <w:b/>
          <w:bCs/>
        </w:rPr>
        <w:t xml:space="preserve">Severity assignment. </w:t>
      </w:r>
      <w:r>
        <w:t xml:space="preserve">Severity comes from a regulation's lifecycle status: effective=0.70, enacted=0.40, proposed=0.15, superseded=0.00. A specific regulation can override this with partner-curated values (e.g., UFLPA could carry severity 0.85 for effective status to reflect the customs-seizure consequence). Confidence is hardcoded at 0.9 across all regulation events — high but not maximum, because our interpretation of the regulation's scope (material list, geography targets) is partner-curated and could be wrong.</w:t>
      </w:r>
    </w:p>
    <w:p>
      <w:pPr>
        <w:pStyle w:val="ListParagraph"/>
        <w:numPr>
          <w:ilvl w:val="0"/>
          <w:numId w:val="3"/>
        </w:numPr>
        <w:spacing w:after="80"/>
      </w:pPr>
      <w:r>
        <w:rPr>
          <w:b/>
          <w:bCs/>
        </w:rPr>
        <w:t xml:space="preserve">Material attribution. </w:t>
      </w:r>
      <w:r>
        <w:t xml:space="preserve">The parser reads the regulation's pre-curated material scopes from the seed file. Each material gets one RiskEventMaterial junction row with the scope_type recorded (banned / restricted / strategic_raw_material / covered / disclosure_required). The scope_type drives a severity multiplier later at scoring time — banned multiplies severity by 1.50, disclosure_required by 0.50.</w:t>
      </w:r>
    </w:p>
    <w:p>
      <w:pPr>
        <w:pStyle w:val="ListParagraph"/>
        <w:numPr>
          <w:ilvl w:val="0"/>
          <w:numId w:val="3"/>
        </w:numPr>
        <w:spacing w:after="80"/>
      </w:pPr>
      <w:r>
        <w:rPr>
          <w:b/>
          <w:bCs/>
        </w:rPr>
        <w:t xml:space="preserve">Geography attribution. </w:t>
      </w:r>
      <w:r>
        <w:t xml:space="preserve">The parser reads the regulation's geography scopes. Each country gets one RiskEventGeography junction row with role context: implementer (the regulating authority), origin_country (regulated source countries), or targeted_country (explicit targets like UFLPA → CN-Xinjiang).</w:t>
      </w:r>
    </w:p>
    <w:p>
      <w:pPr>
        <w:pStyle w:val="ListParagraph"/>
        <w:numPr>
          <w:ilvl w:val="0"/>
          <w:numId w:val="3"/>
        </w:numPr>
        <w:spacing w:after="80"/>
      </w:pPr>
      <w:r>
        <w:rPr>
          <w:b/>
          <w:bCs/>
        </w:rPr>
        <w:t xml:space="preserve">Per-company conditional gating. </w:t>
      </w:r>
      <w:r>
        <w:t xml:space="preserve">When scoring a specific company against this regulation, the engine checks whether the company's source geographies overlap with the regulation's targeted_country scopes. If the regulation has targeted countries AND the company has no exposure to them, the event's impact downweights by 0.30× (still present, because there's residual exposure through tier-2 sourcing, but not full-bite). If the company DOES have exposure to a targeted country, full weight applies.</w:t>
      </w:r>
    </w:p>
    <w:p>
      <w:pPr>
        <w:pStyle w:val="ListParagraph"/>
        <w:numPr>
          <w:ilvl w:val="0"/>
          <w:numId w:val="3"/>
        </w:numPr>
        <w:spacing w:after="80"/>
      </w:pPr>
      <w:r>
        <w:rPr>
          <w:b/>
          <w:bCs/>
        </w:rPr>
        <w:t xml:space="preserve">Pillar contribution. </w:t>
      </w:r>
      <w:r>
        <w:t xml:space="preserve">The fully-attributed event flows into the Regulatory pillar's event_score (max contribution 60 out of 100), which is averaged with the company's obligation_uplift (max 40) for the final Regulatory pillar score. Both paths get combined with the other five pillars at the 25/20/20/15/10/10 weights for the final company risk score.</w:t>
      </w:r>
    </w:p>
    <w:p>
      <w:pPr>
        <w:spacing w:after="120"/>
      </w:pPr>
      <w:r>
        <w:t xml:space="preserve"/>
      </w:r>
    </w:p>
    <w:p>
      <w:pPr>
        <w:pBdr>
          <w:left w:val="single" w:color="1F3A5F" w:sz="12" w:space="12"/>
        </w:pBdr>
        <w:shd w:fill="F4F4F4" w:color="auto" w:val="clear"/>
        <w:spacing w:after="40" w:before="100"/>
        <w:ind w:left="240"/>
      </w:pPr>
      <w:r>
        <w:rPr>
          <w:b/>
          <w:bCs/>
          <w:color w:val="1F3A5F"/>
        </w:rPr>
        <w:t xml:space="preserve">WORKED EXAMPLE — An EU Battery Regulation event lands for a US automaker sourcing nickel from Indonesia</w:t>
      </w:r>
    </w:p>
    <w:p>
      <w:pPr>
        <w:pBdr>
          <w:left w:val="single" w:color="1F3A5F" w:sz="12" w:space="12"/>
        </w:pBdr>
        <w:shd w:fill="F4F4F4" w:color="auto" w:val="clear"/>
        <w:spacing w:after="160" w:before="0"/>
        <w:ind w:left="240"/>
      </w:pPr>
      <w:r>
        <w:t xml:space="preserve">Day-zero math: severity 0.70 (effective) × confidence 0.9 = 0.63 base. Material-side: nickel is at scope_type='restricted' → severity multiplier 1.10 → effective severity 0.70 × 1.10 = 0.77. Relevance multiplier for partner-curated regulation attribution: ~1.30 (max). Geography conditional: EU Battery Reg has only 'jurisdiction=EU' scope (no targeted_country), so the conditional gate doesn't fire — full weight. Final event_impact ≈ 0.77 × 0.9 × 1.0 × 1.30 = 0.90. That normalizes to 0.58 out of the max-event-impact ceiling of 1.56. Contributes meaningfully but doesn't dominate.</w:t>
      </w:r>
    </w:p>
    <w:p>
      <w:r>
        <w:br w:type="page"/>
      </w:r>
    </w:p>
    <w:p>
      <w:pPr>
        <w:pStyle w:val="Heading1"/>
        <w:spacing w:after="240" w:before="400"/>
      </w:pPr>
      <w:r>
        <w:t xml:space="preserve">Part 3 — Cross-Cutting Mechanics</w:t>
      </w:r>
    </w:p>
    <w:p>
      <w:pPr>
        <w:spacing w:after="120"/>
      </w:pPr>
      <w:r>
        <w:t xml:space="preserve">These are the engine-wide concepts that show up in every pillar and every event-impact calculation. Understanding them once here makes the per-pillar and per-source sections later in this document much shorter.</w:t>
      </w:r>
    </w:p>
    <w:p>
      <w:pPr>
        <w:pStyle w:val="Heading2"/>
        <w:spacing w:after="160" w:before="300"/>
      </w:pPr>
      <w:r>
        <w:t xml:space="preserve">The event_impact formula</w:t>
      </w:r>
    </w:p>
    <w:p>
      <w:pPr>
        <w:spacing w:after="120"/>
      </w:pPr>
      <w:r>
        <w:rPr>
          <w:b/>
          <w:bCs/>
        </w:rPr>
        <w:t xml:space="preserve">Every event in the engine has its impact computed by one formula:</w:t>
      </w:r>
    </w:p>
    <w:p>
      <w:pPr>
        <w:spacing w:after="120"/>
      </w:pPr>
      <w:r>
        <w:rPr>
          <w:rFonts w:ascii="Consolas" w:cs="Consolas" w:eastAsia="Consolas" w:hAnsi="Consolas"/>
          <w:sz w:val="20"/>
          <w:szCs w:val="20"/>
        </w:rPr>
        <w:t xml:space="preserve">event_impact = severity × confidence × recency × relevance</w:t>
      </w:r>
    </w:p>
    <w:p>
      <w:pPr>
        <w:spacing w:after="120"/>
      </w:pPr>
      <w:r>
        <w:t xml:space="preserve">All four inputs are bounded to prevent unbounded compounding. The theoretical maximum is 1.56. Each input means something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c>
          <w:tcPr>
            <w:tcW w:type="dxa" w:w="22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Input</w:t>
            </w:r>
          </w:p>
        </w:tc>
        <w:tc>
          <w:tcPr>
            <w:tcW w:type="dxa" w:w="1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Range</w:t>
            </w:r>
          </w:p>
        </w:tc>
        <w:tc>
          <w:tcPr>
            <w:tcW w:type="dxa" w:w="58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What it captures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Severity</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0.00 – 1.00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serious the event is, by itself. A presidential proclamation banning all rare-earth imports has higher severity than an agency information-collection notice. Calibrated per source — see Part 5.</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Confidence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0.00 – 1.00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much we trust the source's classification. GTA at 0.90 (independent observatory, structured data), regulations at 0.90 (partner-curated), Federal Register at 0.70 (auto-parsed), IEA at 0.65 (manual download). Floors at 0.60 only when severity ≥ 0.80 (don't over-discount a serious signal).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Recency</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0.60 – 1.20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Decay over time. Older events contribute less. Decay shape varies by category — see "Recency decay" below.</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Relevance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 – 1.30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confidently the event applies to the specific (material, geography, or company) being scored. Mapped from a raw 0-1 score on the junction row: 0 → 0.70, 0.5 → 1.00, 1.0 → 1.30. Even at extremes, relevance only changes impact by ~86%.</w:t>
            </w:r>
          </w:p>
        </w:tc>
      </w:tr>
    </w:tbl>
    <w:p>
      <w:pPr>
        <w:spacing w:after="120"/>
      </w:pPr>
      <w:r>
        <w:t xml:space="preserve"/>
      </w:r>
    </w:p>
    <w:p>
      <w:pPr>
        <w:spacing w:after="120"/>
      </w:pPr>
      <w:r>
        <w:rPr>
          <w:b/>
          <w:bCs/>
        </w:rPr>
        <w:t xml:space="preserve">Theoretical max event_impact: </w:t>
      </w:r>
      <w:r>
        <w:t xml:space="preserve">1.00 × 1.00 × 1.20 × 1.30 = 1.56. The engine normalizes back to a 0-1 scale by dividing by this max when feeding into pillar sub-inputs.</w:t>
      </w:r>
    </w:p>
    <w:p>
      <w:pPr>
        <w:pBdr>
          <w:left w:val="single" w:color="3A7D5C" w:sz="18" w:space="12"/>
        </w:pBdr>
        <w:shd w:fill="EEF6F2" w:color="auto" w:val="clear"/>
        <w:spacing w:after="160" w:before="100"/>
        <w:ind w:left="240"/>
      </w:pPr>
      <w:r>
        <w:rPr>
          <w:b/>
          <w:bCs/>
          <w:color w:val="3A7D5C"/>
        </w:rPr>
        <w:t xml:space="preserve">NEW IN v3:  </w:t>
      </w:r>
      <w:r>
        <w:t xml:space="preserve">v2 added a scope_type severity multiplier specifically for regulation events. When a regulation event has a partner-curated scope_type on the junction (banned / restricted / strategic_raw_material / covered / disclosure_required), the severity gets multiplied by 1.50 / 1.10 / 1.00 / 0.80 / 0.50 respectively (clamped to 1.0) BEFORE entering the standard formula. This widens per-material differentiation within a regulation from ~16% to ~3×. See Part 6 for full detail.</w:t>
      </w:r>
    </w:p>
    <w:p>
      <w:pPr>
        <w:pStyle w:val="Heading2"/>
        <w:spacing w:after="160" w:before="300"/>
      </w:pPr>
      <w:r>
        <w:t xml:space="preserve">Recency decay — per category</w:t>
      </w:r>
    </w:p>
    <w:p>
      <w:pPr>
        <w:spacing w:after="120"/>
      </w:pPr>
      <w:r>
        <w:t xml:space="preserve">Older events count less. The exact decay shape varies by risk category to reflect how long different signals stay relevant in supply-chain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Category</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Window</w:t>
            </w:r>
          </w:p>
        </w:tc>
        <w:tc>
          <w:tcPr>
            <w:tcW w:type="dxa" w:w="52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Decay shape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Geopolitical / Trade</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730 days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decay from 1.00 (day 0) to 0.70 (day 730), then floors at 0.60. A two-year-old tariff still contributes 60% of its weight. Section 301 China tariffs are a multi-year-stable example.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Regulatory / Compliance</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365 days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decay from 1.00 to 0.60 over one year. Stepped UP to 1.10–1.20 when the regulation's effective_date is within 90 days of the scoring run (front-loading "about-to-take-effect" rules).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Operational</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Exponential, 90-day half-life</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 90-day-old facility shutdown contributes 50% of its day-0 weight. A 180-day-old shutdown contributes 25%. Clamped to [0.60, 1.20]. Fast decay reflects how quickly operational shocks resolve.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Material Concentration</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365 days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decay 1.00 → 0.60 over one year.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Financial Pressure</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None (caller-controlled)</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Always 1.00. The caller controls recency by limiting to the most recent N filings (default 4).</w:t>
            </w:r>
          </w:p>
        </w:tc>
      </w:tr>
    </w:tbl>
    <w:p>
      <w:pPr>
        <w:spacing w:after="120"/>
      </w:pPr>
      <w:r>
        <w:t xml:space="preserve"/>
      </w:r>
    </w:p>
    <w:p>
      <w:pPr>
        <w:spacing w:after="120"/>
      </w:pPr>
      <w:r>
        <w:rPr>
          <w:b/>
          <w:bCs/>
        </w:rPr>
        <w:t xml:space="preserve">Important exception: </w:t>
      </w:r>
      <w:r>
        <w:t xml:space="preserve">EU regulation events (from EUR-Lex) use event_date=None and don't decay at all — they're standing obligations that apply uniformly until repealed. The decay table above applies to recent regulatory ACTIONS (Federal Register rule changes, etc.), not to standing regulations themselves.</w:t>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The Operational 90-day half-life is the fastest decay in the engine. A force majeure declaration that's three months old contributes 50%; six months old, 25%. Is that right? An automotive plant fire might affect supply for 18+ months; a port strike resolves in weeks. One-size-fits-all 90 days may be too short for the former and too long for the latter.</w:t>
      </w:r>
    </w:p>
    <w:p>
      <w:pPr>
        <w:pStyle w:val="Heading2"/>
        <w:spacing w:after="160" w:before="300"/>
      </w:pPr>
      <w:r>
        <w:t xml:space="preserve">How materials get attributed to events</w:t>
      </w:r>
    </w:p>
    <w:p>
      <w:pPr>
        <w:spacing w:after="120"/>
      </w:pPr>
      <w:r>
        <w:t xml:space="preserve">Risk events are abstract until they're attributed to specific materials. The engine uses different attribution paths depending on the source — some are partner-curated (high confidence, narrow scope), others are auto-parsed (broader coverage, lower confidence per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Attribution path</w:t>
            </w:r>
          </w:p>
        </w:tc>
        <w:tc>
          <w:tcPr>
            <w:tcW w:type="dxa" w:w="1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Relevance</w:t>
            </w:r>
          </w:p>
        </w:tc>
        <w:tc>
          <w:tcPr>
            <w:tcW w:type="dxa" w:w="56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Example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Regulation scope (banned)</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UFLPA declares cobalt as banned (when sourced from Xinjiang). Partner-curated in seed_regulations.py.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Regulation scope (restricted)</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Battery Regulation restricts cobalt (recycled-content thresholds).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Federal Register topic</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 Federal Register notice's controlled-vocabulary "topics" field includes "Cobalt" — editor-curated by Office of the Federal Register.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Federal Register AD/CVD wording</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Title contains a specific commodity wording ("aluminum foil," "ferrosilicon") that disambiguates a single material more precisely than the bare word.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Regulation scope (strategic raw material)</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Critical Raw Materials Act lists materials with supply-chain diversification targets. NEW IN v2.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GTA HS-code resolution</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0.36 – 0.90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GTA intervention specifies an HS-6 code; the code resolves to a material via our HS-code mapping table. Confidence depends on how specific the HS code is (a 6-digit lithium-hydroxide code is high; a 4-digit "ores and concentrates" prefix is low).</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Regulation scope (covered)</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CBAM covers aluminum and iron at carbon-adjustment level (no specific prohibition, just paperwork).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Regulation scope (disclosure)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Conflict Minerals Regulation only requires reporting on 3TG. Lightest binding.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Federal Register basket fanout</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Title contains a category like "lithium-ion batteries" — the engine attributes all 5 basket materials (Li, Co, Ni, Mn, graphite) at this single relevance, reflecting that the inference is category-level rather than direct mention.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Free-text keyword (canonical name)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 (ceiling)</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Direct mention of a material's name ("lithium") in event text. The ceiling for keyword-based attribution — sits BELOW partner-curated banned (1.00) but above disclosure (0.70).</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Free-text keyword (frequency-weighted)</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 – 0.85</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Generic words ("metal," "oxide") are penalized by inverse-frequency weighting — they show up in many mapping entries, so each individual attribution gets less confidence.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OpenSanctions company exposure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partner-curated</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 sanctioned company is attributed to materials based on partner-curated CompanyMaterialExposure entries — no keyword matching of entity names.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OpenSanctions geography exposure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production share</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When a country accumulates significant sanctioned-entity exposure, the engine attributes the event to materials where the country holds ≥ 5% global production share. Relevance = production share.</w:t>
            </w:r>
          </w:p>
        </w:tc>
      </w:tr>
    </w:tbl>
    <w:p>
      <w:pPr>
        <w:spacing w:after="120"/>
      </w:pPr>
      <w:r>
        <w:t xml:space="preserve"/>
      </w:r>
    </w:p>
    <w:p>
      <w:pPr>
        <w:pStyle w:val="Heading2"/>
        <w:spacing w:after="160" w:before="300"/>
      </w:pPr>
      <w:r>
        <w:t xml:space="preserve">How geographies get attributed to events</w:t>
      </w:r>
    </w:p>
    <w:p>
      <w:pPr>
        <w:spacing w:after="120"/>
      </w:pPr>
      <w:r>
        <w:t xml:space="preserve">Two paths in production use today, plus a third added in v2 specifically for regulations:</w:t>
      </w:r>
    </w:p>
    <w:p>
      <w:pPr>
        <w:pStyle w:val="ListParagraph"/>
        <w:numPr>
          <w:ilvl w:val="0"/>
          <w:numId w:val="2"/>
        </w:numPr>
        <w:spacing w:after="80"/>
      </w:pPr>
      <w:r>
        <w:rPr>
          <w:b/>
          <w:bCs/>
        </w:rPr>
        <w:t xml:space="preserve">Free-text country detection. </w:t>
      </w:r>
      <w:r>
        <w:t xml:space="preserve">Scans event titles and abstracts for country names from a DB-backed pattern table. Used by Federal Register and Global Trade Alert. Returns (ISO2, role-context, relevance) triples where role can be "primary," "affected," or "implementer."</w:t>
      </w:r>
    </w:p>
    <w:p>
      <w:pPr>
        <w:pStyle w:val="ListParagraph"/>
        <w:numPr>
          <w:ilvl w:val="0"/>
          <w:numId w:val="2"/>
        </w:numPr>
        <w:spacing w:after="80"/>
      </w:pPr>
      <w:r>
        <w:rPr>
          <w:b/>
          <w:bCs/>
        </w:rPr>
        <w:t xml:space="preserve">LLM-extracted geographies. </w:t>
      </w:r>
      <w:r>
        <w:t xml:space="preserve">For Federal Register events where free-text detection misses the target, Claude Haiku reads the full document and extracts countries with explicit roles. Used selectively per-query (always for OFAC + presidential proclamations; fallback only for trade-remedy and BIS export controls).</w:t>
      </w:r>
    </w:p>
    <w:p>
      <w:pPr>
        <w:pStyle w:val="ListParagraph"/>
        <w:numPr>
          <w:ilvl w:val="0"/>
          <w:numId w:val="2"/>
        </w:numPr>
        <w:spacing w:after="80"/>
      </w:pPr>
      <w:r>
        <w:rPr>
          <w:b/>
          <w:bCs/>
        </w:rPr>
        <w:t xml:space="preserve">Regulation geography scope (NEW in v2). </w:t>
      </w:r>
      <w:r>
        <w:t xml:space="preserve">Each EU regulation has pre-curated geography scopes in seed_regulations.py. These propagate onto every regulation event as RiskEventGeography rows. Three role types: jurisdiction (where the regulation has legal force — EU for EU Battery Reg), origin_country (countries the regulation regulates imports from), targeted_country (explicit targets — UFLPA → CN-Xinjiang, OFAC → CN/RU/KP/IR). Relevance varies by role type: 0.70 for jurisdiction, 0.85 for origin_country, 1.00 for targeted_country.</w:t>
      </w:r>
    </w:p>
    <w:p>
      <w:pPr>
        <w:pStyle w:val="Heading2"/>
        <w:spacing w:after="160" w:before="300"/>
      </w:pPr>
      <w:r>
        <w:t xml:space="preserve">Two key engine-level constants</w:t>
      </w:r>
    </w:p>
    <w:p>
      <w:pPr>
        <w:pStyle w:val="Heading3"/>
        <w:spacing w:after="100" w:before="220"/>
      </w:pPr>
      <w:r>
        <w:t xml:space="preserve">High-Concentration Geography (HCG) set</w:t>
      </w:r>
    </w:p>
    <w:p>
      <w:pPr>
        <w:spacing w:after="120"/>
      </w:pPr>
      <w:r>
        <w:rPr>
          <w:b/>
          <w:bCs/>
        </w:rPr>
        <w:t xml:space="preserve">Current value: {China (CN), Democratic Republic of Congo (CD), Russia (RU)}. </w:t>
      </w:r>
      <w:r>
        <w:t xml:space="preserve">These are the countries flagged as having structural concentration of critical-mineral production AND elevated geopolitical risk. The Geopolitical pillar's country-concentration sub-input directly measures the share of a company's supply chain that routes through these three countries — both source geographies (where minerals are extracted/refined) and facility countries (where the company operates).</w:t>
      </w:r>
    </w:p>
    <w:p>
      <w:pPr>
        <w:spacing w:after="120"/>
      </w:pPr>
      <w:r>
        <w:t xml:space="preserve">This is a binary list today — countries are either HCG or not, no gradation. It applies uniformly across all materials, which means we treat Australian-lithium-via-Chinese-refining the same as DRC-cobalt-via-Chinese-refining, when in reality DRC cobalt has fundamentally different supply concentration than Australian lithium.</w:t>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Should the HCG set be per-material rather than global? Concrete candidates: Indonesia for nickel (60%+ global share, recent export-policy shocks), Chile for lithium (lithium nationalization 2023), Australia for lithium ore (~50% of global output, geopolitically aligned but still a single-country dependency), Myanmar for rare earths and tin (active conflict + opaque supply chain). Per-material HCG would let the engine express "China is high-concentration for graphite but not for aluminum" — more accurate, more curation.</w:t>
      </w:r>
    </w:p>
    <w:p>
      <w:pPr>
        <w:pStyle w:val="Heading3"/>
        <w:spacing w:after="100" w:before="220"/>
      </w:pPr>
      <w:r>
        <w:t xml:space="preserve">Facility-presence floor</w:t>
      </w:r>
    </w:p>
    <w:p>
      <w:pPr>
        <w:spacing w:after="120"/>
      </w:pPr>
      <w:r>
        <w:t xml:space="preserve">A baseline of </w:t>
      </w:r>
      <w:r>
        <w:rPr>
          <w:b/>
          <w:bCs/>
        </w:rPr>
        <w:t xml:space="preserve">0.02</w:t>
      </w:r>
      <w:r>
        <w:t xml:space="preserve"> applied at the market-level scoring layer when no formal production-share data exists for a (material, country) pair, but the USGS Mineral Resources Data System (MRDS) shows at least one facility producing that mineral in that country. The 0.02 sits below the smallest USGS-tracked share (Cobalt-Australia at 0.01).</w:t>
      </w:r>
    </w:p>
    <w:p>
      <w:pPr>
        <w:spacing w:after="120"/>
      </w:pPr>
      <w:r>
        <w:t xml:space="preserve">Why it exists: the engine used to fall back to a binary HCG-only rule when production data was missing — anything in {CN, CD, RU} got high concentration weight, anything else got zero. That inflated 85-94% of market-level scores in the prior calibration. The facility-presence floor replaces it with a more accurate "this country has production capacity even if we don't have official volume data" signal.</w:t>
      </w:r>
    </w:p>
    <w:p>
      <w:pPr>
        <w:pStyle w:val="Heading2"/>
        <w:spacing w:after="160" w:before="300"/>
      </w:pPr>
      <w:r>
        <w:t xml:space="preserve">The review queue</w:t>
      </w:r>
    </w:p>
    <w:p>
      <w:pPr>
        <w:spacing w:after="120"/>
      </w:pPr>
      <w:r>
        <w:t xml:space="preserve">Events the engine ingests but does NOT score, flagged with `needs_material_review=true` and a `review_reason`. These are events that look battery-relevant but couldn't be confidently attributed to specific materials, or where the language-model verdict was low-confidence.</w:t>
      </w:r>
    </w:p>
    <w:p>
      <w:pPr>
        <w:spacing w:after="120"/>
      </w:pPr>
      <w:r>
        <w:t xml:space="preserve">The review queue is populated by three trigger conditions:</w:t>
      </w:r>
    </w:p>
    <w:p>
      <w:pPr>
        <w:pStyle w:val="ListParagraph"/>
        <w:numPr>
          <w:ilvl w:val="0"/>
          <w:numId w:val="3"/>
        </w:numPr>
        <w:spacing w:after="80"/>
      </w:pPr>
      <w:r>
        <w:rPr>
          <w:b/>
          <w:bCs/>
        </w:rPr>
        <w:t xml:space="preserve">Haiku low-confidence verdict. </w:t>
      </w:r>
      <w:r>
        <w:t xml:space="preserve">For Federal Register events, when Claude Haiku says "in scope" with confidence &lt; 0.5 OR "out of scope" with confidence &lt; 0.7, the event preserves with review_reason='haiku_low_confidence'. NEW IN v2.</w:t>
      </w:r>
    </w:p>
    <w:p>
      <w:pPr>
        <w:pStyle w:val="ListParagraph"/>
        <w:numPr>
          <w:ilvl w:val="0"/>
          <w:numId w:val="3"/>
        </w:numPr>
        <w:spacing w:after="80"/>
      </w:pPr>
      <w:r>
        <w:rPr>
          <w:b/>
          <w:bCs/>
        </w:rPr>
        <w:t xml:space="preserve">Haiku confirmed in-scope but no extractable materials. </w:t>
      </w:r>
      <w:r>
        <w:t xml:space="preserve">Haiku says "yes, this is in scope for critical minerals analysis" but couldn't extract specific named materials from the document. Preserved for analyst triage.</w:t>
      </w:r>
    </w:p>
    <w:p>
      <w:pPr>
        <w:pStyle w:val="ListParagraph"/>
        <w:numPr>
          <w:ilvl w:val="0"/>
          <w:numId w:val="3"/>
        </w:numPr>
        <w:spacing w:after="80"/>
      </w:pPr>
      <w:r>
        <w:rPr>
          <w:b/>
          <w:bCs/>
        </w:rPr>
        <w:t xml:space="preserve">No attribution paths fired AND passes a deterministic CRM keyword gate. </w:t>
      </w:r>
      <w:r>
        <w:t xml:space="preserve">Free-text scan returned nothing, topic resolution returned nothing, Haiku didn't run — but the document mentions battery/CRM keywords. Preserved with review_reason='no_candidates'.</w:t>
      </w:r>
    </w:p>
    <w:p>
      <w:pPr>
        <w:spacing w:after="120"/>
      </w:pPr>
      <w:r>
        <w:t xml:space="preserve">The intent is to surface borderline events to a human analyst rather than silently dropping them OR silently polluting scores with low-confidence attributions. Currently most events in the review queue come from the Federal Register parser; future versions of EUR-Lex and other parsers will use the same pattern.</w:t>
      </w:r>
    </w:p>
    <w:p>
      <w:r>
        <w:br w:type="page"/>
      </w:r>
    </w:p>
    <w:p>
      <w:pPr>
        <w:pStyle w:val="Heading1"/>
        <w:spacing w:after="240" w:before="400"/>
      </w:pPr>
      <w:r>
        <w:t xml:space="preserve">Part 4 — The Six Scoring Pillars in Detail</w:t>
      </w:r>
    </w:p>
    <w:p>
      <w:pPr>
        <w:spacing w:after="120"/>
      </w:pPr>
      <w:r>
        <w:t xml:space="preserve">This section walks through each pillar's formula, sub-inputs, and weights. The goal is for you to be able to challenge any specific number — "why is country-concentration weighted at 40% of the Geopolitical pillar instead of 50%?" — with concrete domain reasoning.</w:t>
      </w:r>
    </w:p>
    <w:p>
      <w:pPr>
        <w:pStyle w:val="Heading2"/>
        <w:spacing w:after="160" w:before="300"/>
      </w:pPr>
      <w:r>
        <w:t xml:space="preserve">Material Concentration (25% of company score)</w:t>
      </w:r>
    </w:p>
    <w:p>
      <w:pPr>
        <w:spacing w:after="120"/>
      </w:pPr>
      <w:r>
        <w:t xml:space="preserve">Captures how exposed a company is to materials that are inherently scarce, concentrated, or volatile — independent of any specific policy event. The largest single pillar weight in the engine.</w:t>
      </w:r>
    </w:p>
    <w:p>
      <w:pPr>
        <w:pStyle w:val="Heading3"/>
        <w:spacing w:after="100" w:before="220"/>
      </w:pPr>
      <w:r>
        <w:t xml:space="preserve">Formula</w:t>
      </w:r>
    </w:p>
    <w:p>
      <w:pPr>
        <w:spacing w:after="120"/>
      </w:pPr>
      <w:r>
        <w:rPr>
          <w:b/>
          <w:bCs/>
        </w:rPr>
        <w:t xml:space="preserve">Material Concentration = ( 0.35 × criticality + 0.35 × concentration + 0.30 × trade_volatility ) × 100, capped at 100</w:t>
      </w:r>
    </w:p>
    <w:p>
      <w:pPr>
        <w:pStyle w:val="Heading3"/>
        <w:spacing w:after="100" w:before="220"/>
      </w:pPr>
      <w:r>
        <w:t xml:space="preserve">Sub-inputs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c>
          <w:tcPr>
            <w:tcW w:type="dxa" w:w="22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11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c>
          <w:tcPr>
            <w:tcW w:type="dxa" w:w="60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How it's calculated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Criticality</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35%</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Chemistry-weighted average of partner-curated exposure scores per material. A company in NMC811 chemistry inherits high criticality from cobalt and nickel; LFP inherits lower criticality (iron, phosphate) plus the same lithium exposure. Default 0.5 when no exposure data.</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Concentration</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35%</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Chemistry-weighted share of the company's exposures whose source geography is HCG (China/DRC/Russia). A company sourcing 80% of its cobalt from DRC scores high.</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Trade volatility</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30%</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Average normalised impact of recent Geopolitical/Trade events tagged either to the company directly OR to a country where the company has material exposure or facilities.</w:t>
            </w:r>
          </w:p>
        </w:tc>
      </w:tr>
    </w:tbl>
    <w:p>
      <w:pPr>
        <w:spacing w:after="120"/>
      </w:pPr>
      <w:r>
        <w:t xml:space="preserve"/>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Criticality and concentration are weighted equally (35% each), which means a company highly exposed to a less-critical mineral (e.g., aluminum) carries equivalent weight to one moderately exposed to a very critical mineral (cobalt). Should criticality dominate more aggressively?</w:t>
      </w:r>
    </w:p>
    <w:p>
      <w:pPr>
        <w:pStyle w:val="Heading2"/>
        <w:spacing w:after="160" w:before="300"/>
      </w:pPr>
      <w:r>
        <w:t xml:space="preserve">Geopolitical / Trade (20% of company score)</w:t>
      </w:r>
    </w:p>
    <w:p>
      <w:pPr>
        <w:spacing w:after="120"/>
      </w:pPr>
      <w:r>
        <w:t xml:space="preserve">Policy-driven risk from where the supply chain physically sits and what trade actions affect those flows.</w:t>
      </w:r>
    </w:p>
    <w:p>
      <w:pPr>
        <w:pStyle w:val="Heading3"/>
        <w:spacing w:after="100" w:before="220"/>
      </w:pPr>
      <w:r>
        <w:t xml:space="preserve">Formula</w:t>
      </w:r>
    </w:p>
    <w:p>
      <w:pPr>
        <w:spacing w:after="120"/>
      </w:pPr>
      <w:r>
        <w:rPr>
          <w:b/>
          <w:bCs/>
        </w:rPr>
        <w:t xml:space="preserve">Default (3-component): </w:t>
      </w:r>
      <w:r>
        <w:t xml:space="preserve">Geopolitical = ( 0.40 × country_concentration + 0.35 × export_restriction_exposure + 0.25 × tariff_exposure ) × 100, capped at 100</w:t>
      </w:r>
    </w:p>
    <w:p>
      <w:pPr>
        <w:spacing w:after="120"/>
      </w:pPr>
      <w:r>
        <w:rPr>
          <w:b/>
          <w:bCs/>
        </w:rPr>
        <w:t xml:space="preserve">When subsidy data available (4-component): </w:t>
      </w:r>
      <w:r>
        <w:t xml:space="preserve">Geopolitical = ( 0.40 × country_concentration + 0.30 × export_restriction + 0.20 × tariff + 0.10 × production_subsidy_distortion ) × 100</w:t>
      </w:r>
    </w:p>
    <w:p>
      <w:pPr>
        <w:pStyle w:val="Heading3"/>
        <w:spacing w:after="100" w:before="220"/>
      </w:pPr>
      <w:r>
        <w:t xml:space="preserve">Sub-inputs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11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c>
          <w:tcPr>
            <w:tcW w:type="dxa" w:w="58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How it's calculated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Country concentration</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40%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Equal-weighted average of (a) share of source geographies that are HCG, (b) share of facility countries that are HCG.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Export restriction exposure</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35% (or 30%)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Average impact of events tagged event_subtype='EXPORT_RESTRICTION' that hit the company OR source/facility countries. OFAC sanctions, BIS controls, GTA export bans, export quotas.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Tariff exposure</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 (or 20%)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Average impact of events tagged 'TARIFF' or 'TRADE_POLICY'. Section 232/301 actions, GTA import tariffs, FR trade-remedy publications.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Production subsidy distortion</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Only present when subsidy data available. Average impact of EXPORT_SUBSIDY events — Chinese REE state aid, Indonesian nickel investment subsidies, IRA investment credits.</w:t>
            </w:r>
          </w:p>
        </w:tc>
      </w:tr>
    </w:tbl>
    <w:p>
      <w:pPr>
        <w:spacing w:after="120"/>
      </w:pPr>
      <w:r>
        <w:t xml:space="preserve"/>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Country concentration at 40% is the largest single sub-input in the entire engine. Is 40% the right weight? And the two halves of country-concentration (source-geo HCG share vs facility-country HCG share) are weighted equally — a company that processes cobalt in Indonesia from DRC ore is treated identically to one that processes cobalt in the US from DRC ore on the source-geo side. Defensible?</w:t>
      </w:r>
    </w:p>
    <w:p>
      <w:pPr>
        <w:pStyle w:val="Heading3"/>
        <w:spacing w:after="100" w:before="220"/>
      </w:pPr>
      <w:r>
        <w:t xml:space="preserve">Geographic intersection gate</w:t>
      </w:r>
    </w:p>
    <w:p>
      <w:pPr>
        <w:spacing w:after="120"/>
      </w:pPr>
      <w:r>
        <w:t xml:space="preserve">Events tagged to a country only contribute to a company's Geopolitical pillar if that country appears in the company's combined set of (material source geographies) ∪ (facility countries). Prevents a Section 301 tariff on Chinese imports from contributing to a US-only automaker that sources no Chinese inputs.</w:t>
      </w:r>
    </w:p>
    <w:p>
      <w:pPr>
        <w:pStyle w:val="Heading2"/>
        <w:spacing w:after="160" w:before="300"/>
      </w:pPr>
      <w:r>
        <w:t xml:space="preserve">Regulatory &amp; Compliance (20% of company score)</w:t>
      </w:r>
    </w:p>
    <w:p>
      <w:pPr>
        <w:spacing w:after="120"/>
      </w:pPr>
      <w:r>
        <w:t xml:space="preserve">Uniquely combines two kinds of input: hard legal obligations (a stable list of named laws/regulations the company is subject to) and recent regulatory event impact.</w:t>
      </w:r>
    </w:p>
    <w:p>
      <w:pPr>
        <w:pStyle w:val="Heading3"/>
        <w:spacing w:after="100" w:before="220"/>
      </w:pPr>
      <w:r>
        <w:t xml:space="preserve">Formula</w:t>
      </w:r>
    </w:p>
    <w:p>
      <w:pPr>
        <w:spacing w:after="120"/>
      </w:pPr>
      <w:r>
        <w:rPr>
          <w:b/>
          <w:bCs/>
        </w:rPr>
        <w:t xml:space="preserve">Regulatory = event_score (0 – 60) + obligation_uplift (0 – 40), capped at 100</w:t>
      </w:r>
    </w:p>
    <w:p>
      <w:pPr>
        <w:pStyle w:val="Heading4"/>
        <w:spacing w:after="80" w:before="160"/>
      </w:pPr>
      <w:r>
        <w:t xml:space="preserve">Event score (0 – 60)</w:t>
      </w:r>
    </w:p>
    <w:p>
      <w:pPr>
        <w:spacing w:after="120"/>
      </w:pPr>
      <w:r>
        <w:t xml:space="preserve">Top-3 highest-impact regulatory events averaged, multiplied by policy-proximity adjustment, multiplied by 60. Policy-proximity adjustment is </w:t>
      </w:r>
      <w:r>
        <w:rPr>
          <w:b/>
          <w:bCs/>
        </w:rPr>
        <w:t xml:space="preserve">1.15</w:t>
      </w:r>
      <w:r>
        <w:t xml:space="preserve"> when any contributing event has effective_date within ±90 days of the scoring run, and </w:t>
      </w:r>
      <w:r>
        <w:rPr>
          <w:b/>
          <w:bCs/>
        </w:rPr>
        <w:t xml:space="preserve">1.00</w:t>
      </w:r>
      <w:r>
        <w:t xml:space="preserve"> otherwise.</w:t>
      </w:r>
    </w:p>
    <w:p>
      <w:pPr>
        <w:pStyle w:val="Heading4"/>
        <w:spacing w:after="80" w:before="160"/>
      </w:pPr>
      <w:r>
        <w:t xml:space="preserve">Obligation uplift (0 – 40)</w:t>
      </w:r>
    </w:p>
    <w:p>
      <w:pPr>
        <w:spacing w:after="120"/>
      </w:pPr>
      <w:r>
        <w:t xml:space="preserve">Sum of obligation_weight × status-multiplier for every named regulation the company is subject to, capped at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Compliance obligation</w:t>
            </w:r>
          </w:p>
        </w:tc>
        <w:tc>
          <w:tcPr>
            <w:tcW w:type="dxa" w:w="1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c>
          <w:tcPr>
            <w:tcW w:type="dxa" w:w="45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Rationale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UFLPA (US)</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Uyghur Forced Labor Prevention Act — strict liability for goods with Xinjiang nexus. Heaviest weight because non-compliance can mean customs seizure, not just fines.</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Battery Regulation 2023</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20</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Mandatory recycled-content thresholds, due diligence, battery passport. Applies to anyone selling batteries into the EU.</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Critical Raw Materials Act</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Strategic minerals supply targets, recycling mandates, single-supplier caps.</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IRA Domestic Content</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EV tax credit critical-mineral / battery-component domestic-content thresholds. Non-compliance = loss of credit.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CSDDD</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Mandatory supply-chain due diligence on human rights and environment.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REACH (Cobalt restriction)</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8</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Specific REACH provisions on cobalt-bearing substances.</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CBAM</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5</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Carbon Border Adjustment. Currently applies to steel, aluminum, fertilizer, cement, hydrogen. Lower weight because battery materials not yet in scope.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Conflict Minerals Regulation</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3TG (tin, tantalum, tungsten, gold) due diligence. Lowest weight because battery scope is limited.</w:t>
            </w:r>
          </w:p>
        </w:tc>
      </w:tr>
    </w:tbl>
    <w:p>
      <w:pPr>
        <w:spacing w:after="120"/>
      </w:pPr>
      <w:r>
        <w:t xml:space="preserve"/>
      </w:r>
    </w:p>
    <w:p>
      <w:pPr>
        <w:spacing w:after="120"/>
      </w:pPr>
      <w:r>
        <w:rPr>
          <w:b/>
          <w:bCs/>
        </w:rPr>
        <w:t xml:space="preserve">Status multipliers (applied to each obligation weight before summing):</w:t>
      </w:r>
    </w:p>
    <w:p>
      <w:pPr>
        <w:pStyle w:val="ListParagraph"/>
        <w:numPr>
          <w:ilvl w:val="0"/>
          <w:numId w:val="2"/>
        </w:numPr>
        <w:spacing w:after="80"/>
      </w:pPr>
      <w:r>
        <w:rPr>
          <w:b/>
          <w:bCs/>
        </w:rPr>
        <w:t xml:space="preserve">Non-compliant — 1.00 </w:t>
      </w:r>
      <w:r>
        <w:t xml:space="preserve">(full weight)</w:t>
      </w:r>
    </w:p>
    <w:p>
      <w:pPr>
        <w:pStyle w:val="ListParagraph"/>
        <w:numPr>
          <w:ilvl w:val="0"/>
          <w:numId w:val="2"/>
        </w:numPr>
        <w:spacing w:after="80"/>
      </w:pPr>
      <w:r>
        <w:rPr>
          <w:b/>
          <w:bCs/>
        </w:rPr>
        <w:t xml:space="preserve">Unknown status — 0.50 </w:t>
      </w:r>
      <w:r>
        <w:t xml:space="preserve">(half weight; absence of evidence is not evidence of compliance)</w:t>
      </w:r>
    </w:p>
    <w:p>
      <w:pPr>
        <w:pStyle w:val="ListParagraph"/>
        <w:numPr>
          <w:ilvl w:val="0"/>
          <w:numId w:val="2"/>
        </w:numPr>
        <w:spacing w:after="80"/>
      </w:pPr>
      <w:r>
        <w:rPr>
          <w:b/>
          <w:bCs/>
        </w:rPr>
        <w:t xml:space="preserve">Partial compliance — 0.40</w:t>
      </w:r>
    </w:p>
    <w:p>
      <w:pPr>
        <w:pStyle w:val="ListParagraph"/>
        <w:numPr>
          <w:ilvl w:val="0"/>
          <w:numId w:val="2"/>
        </w:numPr>
        <w:spacing w:after="80"/>
      </w:pPr>
      <w:r>
        <w:rPr>
          <w:b/>
          <w:bCs/>
        </w:rPr>
        <w:t xml:space="preserve">Compliant — implicitly 0.00 </w:t>
      </w:r>
      <w:r>
        <w:t xml:space="preserve">(not added to sum)</w:t>
      </w:r>
    </w:p>
    <w:p>
      <w:pPr>
        <w:spacing w:after="120"/>
      </w:pPr>
      <w:r>
        <w:t xml:space="preserve"/>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Obligation weights are the most opinionated single table in the engine and the area where your domain judgment is most decisive. Specific questions: (1) Should UFLPA at 25 be even higher given the customs-seizure consequence? (2) Should IRA Domestic Content be higher than EU Battery Reg given how much US-market competitive positioning depends on it? (3) Is 'unknown status × 0.50' the right penalty for missing information, or should it be more aggressive (0.75)?</w:t>
      </w:r>
    </w:p>
    <w:p>
      <w:pPr>
        <w:pBdr>
          <w:left w:val="single" w:color="3A7D5C" w:sz="18" w:space="12"/>
        </w:pBdr>
        <w:shd w:fill="EEF6F2" w:color="auto" w:val="clear"/>
        <w:spacing w:after="160" w:before="100"/>
        <w:ind w:left="240"/>
      </w:pPr>
      <w:r>
        <w:rPr>
          <w:b/>
          <w:bCs/>
          <w:color w:val="3A7D5C"/>
        </w:rPr>
        <w:t xml:space="preserve">NEW IN v3:  </w:t>
      </w:r>
      <w:r>
        <w:t xml:space="preserve">v2 added a per-regulation severity override mechanism for the event-score side. UFLPA's standing-obligation severity is 0.70 by default but partner can override to e.g. 0.85 in seed_regulations.py via metadata_json["severity_overrides"]. This lets a regulation's qualitative bite vary even when its status is shared with other regulations. Combined with the obligation weight, partner now has two distinct levers per regulation.</w:t>
      </w:r>
    </w:p>
    <w:p>
      <w:pPr>
        <w:pStyle w:val="Heading2"/>
        <w:spacing w:after="160" w:before="300"/>
      </w:pPr>
      <w:r>
        <w:t xml:space="preserve">Supply Chain Propagation (15% of company score)</w:t>
      </w:r>
    </w:p>
    <w:p>
      <w:pPr>
        <w:spacing w:after="120"/>
      </w:pPr>
      <w:r>
        <w:t xml:space="preserve">Captures risk inherited from suppliers and their suppliers (tier-1 and tier-2). The newest pillar (added at engine version 3.0). Only fires when scoring a specific company with a supplier graph defined — most companies today don't have one.</w:t>
      </w:r>
    </w:p>
    <w:p>
      <w:pPr>
        <w:pStyle w:val="Heading3"/>
        <w:spacing w:after="100" w:before="220"/>
      </w:pPr>
      <w:r>
        <w:t xml:space="preserve">Formula</w:t>
      </w:r>
    </w:p>
    <w:p>
      <w:pPr>
        <w:spacing w:after="120"/>
      </w:pPr>
      <w:r>
        <w:rPr>
          <w:b/>
          <w:bCs/>
        </w:rPr>
        <w:t xml:space="preserve">Propagation = volume-weighted average of (supplier_risk_score × tier_weight)</w:t>
      </w:r>
    </w:p>
    <w:p>
      <w:pPr>
        <w:spacing w:after="120"/>
      </w:pPr>
      <w:r>
        <w:t xml:space="preserve">Tier weights: Tier 1 (direct supplier) = 1.00, Tier 2 (supplier of a supplier) = 0.40. Volume share is per-edge (what fraction of input volume comes from each supplier); when missing, the engine substitutes a 0.10 default per edge.</w:t>
      </w:r>
    </w:p>
    <w:p>
      <w:pPr>
        <w:spacing w:after="120"/>
      </w:pPr>
      <w:r>
        <w:rPr>
          <w:i/>
          <w:iCs/>
        </w:rPr>
        <w:t xml:space="preserve">This pillar requires a supplier graph that doesn't exist for most companies today. It is the path Phase 5 of the platform will fully build out. Currently it produces None for most companies, and the remaining five pillars renormalize to sum to 100%.</w:t>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Tier 2 weighted at 40% of Tier 1 is a reasonable mid-point but unscientific. Should Tier 2 be 50-60% ("the supplier-of-your-supplier shock IS the shock that hits you, just delayed") or 20-30% ("your direct supplier already builds tier-2 risk into pricing and dual-sourcing")?</w:t>
      </w:r>
    </w:p>
    <w:p>
      <w:pPr>
        <w:pStyle w:val="Heading2"/>
        <w:spacing w:after="160" w:before="300"/>
      </w:pPr>
      <w:r>
        <w:t xml:space="preserve">Operational (10% of company score)</w:t>
      </w:r>
    </w:p>
    <w:p>
      <w:pPr>
        <w:spacing w:after="120"/>
      </w:pPr>
      <w:r>
        <w:t xml:space="preserve">Structural single-source / capacity-constraint exposure plus recent operational disruption events at the company's facility countries.</w:t>
      </w:r>
    </w:p>
    <w:p>
      <w:pPr>
        <w:pStyle w:val="Heading3"/>
        <w:spacing w:after="100" w:before="220"/>
      </w:pPr>
      <w:r>
        <w:t xml:space="preserve">Formula</w:t>
      </w:r>
    </w:p>
    <w:p>
      <w:pPr>
        <w:spacing w:after="120"/>
      </w:pPr>
      <w:r>
        <w:rPr>
          <w:b/>
          <w:bCs/>
        </w:rPr>
        <w:t xml:space="preserve">Operational = ( 0.40 × structural_dependency + 0.60 × mean(event_impacts) ) × 100, capped at 100</w:t>
      </w:r>
    </w:p>
    <w:p>
      <w:pPr>
        <w:pStyle w:val="Heading3"/>
        <w:spacing w:after="100" w:before="220"/>
      </w:pPr>
      <w:r>
        <w:t xml:space="preserve">Sub-inputs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11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c>
          <w:tcPr>
            <w:tcW w:type="dxa" w:w="58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How it's calculated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Structural dependency</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40%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Max of two values: (a) a structural-dependency score from events tagged 'SINGLE_SOURCE' or 'CAPACITY_CONSTRAINT'; (b) 0.4 × share of facilities not currently operating. Default 0.3.</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Event-impact rollup</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60%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Mean of normalised impacts of all OPERATIONAL events tagged to the company OR its facility countries.</w:t>
            </w:r>
          </w:p>
        </w:tc>
      </w:tr>
    </w:tbl>
    <w:p>
      <w:pPr>
        <w:spacing w:after="120"/>
      </w:pPr>
      <w:r>
        <w:t xml:space="preserve"/>
      </w:r>
    </w:p>
    <w:p>
      <w:pPr>
        <w:pBdr>
          <w:left w:val="single" w:color="B14040" w:sz="18" w:space="12"/>
        </w:pBdr>
        <w:shd w:fill="FCEEEE" w:color="auto" w:val="clear"/>
        <w:spacing w:after="160" w:before="100"/>
        <w:ind w:left="240"/>
      </w:pPr>
      <w:r>
        <w:rPr>
          <w:b/>
          <w:bCs/>
          <w:color w:val="B14040"/>
        </w:rPr>
        <w:t xml:space="preserve">KNOWN GAP:  </w:t>
      </w:r>
      <w:r>
        <w:t xml:space="preserve">Today, almost no events get tagged 'SINGLE_SOURCE' or 'CAPACITY_CONSTRAINT' — none of the policy parsers produce these subtypes. They would come from news/event sources we haven't built yet. So structural_dependency mostly defaults to 0.3 today. Adding a news-event source (GDELT or curated industry feed) is the path to making this sub-input fully live.</w:t>
      </w:r>
    </w:p>
    <w:p>
      <w:pPr>
        <w:pStyle w:val="Heading2"/>
        <w:spacing w:after="160" w:before="300"/>
      </w:pPr>
      <w:r>
        <w:t xml:space="preserve">Financial Pressure (10% of company score)</w:t>
      </w:r>
    </w:p>
    <w:p>
      <w:pPr>
        <w:spacing w:after="120"/>
      </w:pPr>
      <w:r>
        <w:t xml:space="preserve">Reads SEC filings (10-K, 10-Q, 8-K) and surfaces three classes of financial-distress signal.</w:t>
      </w:r>
    </w:p>
    <w:p>
      <w:pPr>
        <w:pStyle w:val="Heading3"/>
        <w:spacing w:after="100" w:before="220"/>
      </w:pPr>
      <w:r>
        <w:t xml:space="preserve">Formula</w:t>
      </w:r>
    </w:p>
    <w:p>
      <w:pPr>
        <w:spacing w:after="120"/>
      </w:pPr>
      <w:r>
        <w:rPr>
          <w:b/>
          <w:bCs/>
        </w:rPr>
        <w:t xml:space="preserve">Financial Pressure = base_filing_signal (0 – 40) + leverage_warning_bonus (0 – 30) + liquidity_stress_bonus (0 – 30), capped at 100</w:t>
      </w:r>
    </w:p>
    <w:p>
      <w:pPr>
        <w:spacing w:after="120"/>
      </w:pPr>
      <w:r>
        <w:t xml:space="preserve">When the company has fewer than 2 filings on file, the raw score is scaled by filing_count / 2 to avoid over-scoring on thin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11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Max</w:t>
            </w:r>
          </w:p>
        </w:tc>
        <w:tc>
          <w:tcPr>
            <w:tcW w:type="dxa" w:w="58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How it's calculated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Base filing signal</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40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Average severity across recent filings × 40. Severity from keyword/sentiment scoring of risk-factor sections.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Leverage warning bonus</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Sum of severities for events tagged 'LEVERAGE_WARNING' or 'COVENANT_STRESS'.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Liquidity stress bonus</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Sum of severities for events tagged 'GOING_CONCERN', 'CASH_RUNWAY', or 'CAPEX_CUT'.</w:t>
            </w:r>
          </w:p>
        </w:tc>
      </w:tr>
    </w:tbl>
    <w:p>
      <w:pPr>
        <w:spacing w:after="120"/>
      </w:pPr>
      <w:r>
        <w:t xml:space="preserve"/>
      </w:r>
    </w:p>
    <w:p>
      <w:pPr>
        <w:spacing w:after="120"/>
      </w:pPr>
      <w:r>
        <w:rPr>
          <w:i/>
          <w:iCs/>
        </w:rPr>
        <w:t xml:space="preserve">This pillar feeds from SEC EDGAR filings, not from the policy/regulation sources documented in detail in this version. Full coverage of the SEC parser will appear in a future version.</w:t>
      </w:r>
    </w:p>
    <w:p>
      <w:pPr>
        <w:pStyle w:val="Heading2"/>
        <w:spacing w:after="160" w:before="300"/>
      </w:pPr>
      <w:r>
        <w:t xml:space="preserve">How the six pillars combine into a final score</w:t>
      </w:r>
    </w:p>
    <w:p>
      <w:pPr>
        <w:spacing w:after="120"/>
      </w:pPr>
      <w:r>
        <w:t xml:space="preserve">A company's overall risk score is the weighted sum of its six pillar scores using the 25/20/20/15/10/10 weights. When the propagation pillar is </w:t>
      </w:r>
      <w:r>
        <w:rPr>
          <w:i/>
          <w:iCs/>
        </w:rPr>
        <w:t xml:space="preserve">None</w:t>
      </w:r>
      <w:r>
        <w:t xml:space="preserve"> (typical today), the five remaining weights renormalize to sum to 100%.</w:t>
      </w:r>
    </w:p>
    <w:p>
      <w:pPr>
        <w:spacing w:after="120"/>
      </w:pPr>
      <w:r>
        <w:t xml:space="preserve">For material-level scoring (not company-level), two additional rollups happen:</w:t>
      </w:r>
    </w:p>
    <w:p>
      <w:pPr>
        <w:pStyle w:val="ListParagraph"/>
        <w:numPr>
          <w:ilvl w:val="0"/>
          <w:numId w:val="3"/>
        </w:numPr>
        <w:spacing w:after="80"/>
      </w:pPr>
      <w:r>
        <w:t xml:space="preserve">Material × geography rollup: a material score is computed separately for each major producing country, capturing geography-specific risk. The aggregator uses production-share data where available, and the 0.02 facility-presence floor when only MRDS facility data exists.</w:t>
      </w:r>
    </w:p>
    <w:p>
      <w:pPr>
        <w:pStyle w:val="ListParagraph"/>
        <w:numPr>
          <w:ilvl w:val="0"/>
          <w:numId w:val="3"/>
        </w:numPr>
        <w:spacing w:after="80"/>
      </w:pPr>
      <w:r>
        <w:t xml:space="preserve">Global material rollup: the material-by-geography rows roll up into a single global score per material, weighted by trade flow export value (preferred), production share (fallback), or equal weight (last resort).</w:t>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The trade-flow-export-value weighting for the global rollup means a material is dominated in its global score by whichever country EXPORTS the most of it. For cobalt that means DRC dominates; for lithium it's Chile/Australia. Is export-value the right weighting basis, or should consumption-weighted (shifting toward Chinese refined demand) be the default?</w:t>
      </w:r>
    </w:p>
    <w:p>
      <w:r>
        <w:br w:type="page"/>
      </w:r>
    </w:p>
    <w:p>
      <w:pPr>
        <w:pStyle w:val="Heading1"/>
        <w:spacing w:after="240" w:before="400"/>
      </w:pPr>
      <w:r>
        <w:t xml:space="preserve">Part 5 — Policy Event Sources</w:t>
      </w:r>
    </w:p>
    <w:p>
      <w:pPr>
        <w:spacing w:after="120"/>
      </w:pPr>
      <w:r>
        <w:t xml:space="preserve">This section covers each of the four policy event sources. For each: what it captures, the taxonomy of events it produces, the exact severity scoring formula with worked examples, how materials and countries get attributed, and which scoring pillars the events feed.</w:t>
      </w:r>
    </w:p>
    <w:p>
      <w:pPr>
        <w:pStyle w:val="Heading2"/>
        <w:spacing w:after="160" w:before="300"/>
      </w:pPr>
      <w:r>
        <w:t xml:space="preserve">Global Trade Alert (GTA)</w:t>
      </w:r>
    </w:p>
    <w:p>
      <w:pPr>
        <w:pStyle w:val="Heading3"/>
        <w:spacing w:after="100" w:before="220"/>
      </w:pPr>
      <w:r>
        <w:t xml:space="preserve">What it covers</w:t>
      </w:r>
    </w:p>
    <w:p>
      <w:pPr>
        <w:spacing w:after="120"/>
      </w:pPr>
      <w:r>
        <w:t xml:space="preserve">Global Trade Alert, maintained by the University of St. Gallen, is the authoritative public observatory of government trade-policy interventions worldwide. We ingest only "Red" (harmful) interventions — Amber (announced but not implemented) and Green (liberalising) are out of scope. Geographic scope global, weekly latency, one event per discrete state act with affected HS-6 trade codes.</w:t>
      </w:r>
    </w:p>
    <w:p>
      <w:pPr>
        <w:spacing w:after="120"/>
      </w:pPr>
      <w:r>
        <w:t xml:space="preserve">Filtered to a curated set of HS prefixes covering battery-relevant commodities: lithium, graphite, manganese, nickel, cobalt, copper, REE, PGM, tungsten, gallium, germanium, indium, niobium, antimony, magnesium, titanium, finished batteries (HS 8507), and battery scrap.</w:t>
      </w:r>
    </w:p>
    <w:p>
      <w:pPr>
        <w:pStyle w:val="Heading3"/>
        <w:spacing w:after="100" w:before="220"/>
      </w:pPr>
      <w:r>
        <w:t xml:space="preserve">Event subtypes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Subtype</w:t>
            </w:r>
          </w:p>
        </w:tc>
        <w:tc>
          <w:tcPr>
            <w:tcW w:type="dxa" w:w="66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Covers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EXPORT_RESTRICTION</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Export taxes, quotas, licensing, bans. Implementing country is the producer being constrained (e.g., Indonesia's nickel ore export ban).</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IMPORT_DISRUPTION</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Import tariffs, quotas, bans. Affected country is the producer whose exports got tariffed.</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EXPORT_SUBSIDY</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Trade finance, state loans, financial assistance, loan guarantees, grants, state aid, equity stakes, production subsidies.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i/>
                <w:iCs/>
              </w:rPr>
              <w:t xml:space="preserve">(no subtype)</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Procurement-only measures, PPPs, and other instruments that don't map cleanly to one of the three subtypes above.</w:t>
            </w:r>
          </w:p>
        </w:tc>
      </w:tr>
    </w:tbl>
    <w:p>
      <w:pPr>
        <w:spacing w:after="120"/>
      </w:pPr>
      <w:r>
        <w:t xml:space="preserve"/>
      </w:r>
    </w:p>
    <w:p>
      <w:pPr>
        <w:pStyle w:val="Heading3"/>
        <w:spacing w:after="100" w:before="220"/>
      </w:pPr>
      <w:r>
        <w:t xml:space="preserve">Severity formula</w:t>
      </w:r>
    </w:p>
    <w:p>
      <w:pPr>
        <w:spacing w:after="120"/>
      </w:pPr>
      <w:r>
        <w:rPr>
          <w:b/>
          <w:bCs/>
        </w:rPr>
        <w:t xml:space="preserve">Step 1 — Base severity by intervention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Intervention</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Base</w:t>
            </w:r>
          </w:p>
        </w:tc>
        <w:tc>
          <w:tcPr>
            <w:tcW w:type="dxa" w:w="2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Notes</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Export ban (title contains 'ban' AND 'export')</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Strongest single-act type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Other active Red intervention (in_force=True)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Default active case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Inactive / removed intervention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Historical record</w:t>
            </w:r>
          </w:p>
        </w:tc>
      </w:tr>
    </w:tbl>
    <w:p>
      <w:pPr>
        <w:spacing w:after="120"/>
      </w:pPr>
      <w:r>
        <w:t xml:space="preserve"/>
      </w:r>
    </w:p>
    <w:p>
      <w:pPr>
        <w:spacing w:after="120"/>
      </w:pPr>
      <w:r>
        <w:rPr>
          <w:b/>
          <w:bCs/>
        </w:rPr>
        <w:t xml:space="preserve">Step 2 — Multiplicative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Modifier</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Multiplier</w:t>
            </w:r>
          </w:p>
        </w:tc>
        <w:tc>
          <w:tcPr>
            <w:tcW w:type="dxa" w:w="2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Rationale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National implementation level</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1.00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Baseline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Subnational</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0.50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State/provincial actions affect smaller share of flow</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Supranational (EU directives, RCEP)</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1.10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Broader reach than national</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Horizontal scope (broad cross-product)</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0.65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Signal diluted — policy isn't commodity-specific</w:t>
            </w:r>
          </w:p>
        </w:tc>
      </w:tr>
    </w:tbl>
    <w:p>
      <w:pPr>
        <w:spacing w:after="120"/>
      </w:pPr>
      <w:r>
        <w:t xml:space="preserve"/>
      </w:r>
    </w:p>
    <w:p>
      <w:pPr>
        <w:spacing w:after="120"/>
      </w:pPr>
      <w:r>
        <w:rPr>
          <w:b/>
          <w:bCs/>
        </w:rPr>
        <w:t xml:space="preserve">Step 3 — Clamp:</w:t>
      </w:r>
      <w:r>
        <w:t xml:space="preserve"> result clamped to [0.0, 1.0]. Confidence is hardcoded to 0.9.</w:t>
      </w:r>
    </w:p>
    <w:p>
      <w:pPr>
        <w:pBdr>
          <w:left w:val="single" w:color="1F3A5F" w:sz="12" w:space="12"/>
        </w:pBdr>
        <w:shd w:fill="F4F4F4" w:color="auto" w:val="clear"/>
        <w:spacing w:after="40" w:before="100"/>
        <w:ind w:left="240"/>
      </w:pPr>
      <w:r>
        <w:rPr>
          <w:b/>
          <w:bCs/>
          <w:color w:val="1F3A5F"/>
        </w:rPr>
        <w:t xml:space="preserve">WORKED EXAMPLE — Indonesia nickel ore export ban</w:t>
      </w:r>
    </w:p>
    <w:p>
      <w:pPr>
        <w:pBdr>
          <w:left w:val="single" w:color="1F3A5F" w:sz="12" w:space="12"/>
        </w:pBdr>
        <w:shd w:fill="F4F4F4" w:color="auto" w:val="clear"/>
        <w:spacing w:after="160" w:before="0"/>
        <w:ind w:left="240"/>
      </w:pPr>
      <w:r>
        <w:t xml:space="preserve">Indonesian national-level, in-force, non-horizontal export ban on unwrought nickel: base 0.90 (export ban) × 1.00 (national) = 0.90 severity. With confidence 0.9, the day-zero impact ceiling is 0.90 × 0.90 × 1.20 × 1.30 ≈ 1.26 — close to the 1.56 theoretical ceiling.</w:t>
      </w:r>
    </w:p>
    <w:p>
      <w:pPr>
        <w:pStyle w:val="Heading3"/>
        <w:spacing w:after="100" w:before="220"/>
      </w:pPr>
      <w:r>
        <w:t xml:space="preserve">Material attribution</w:t>
      </w:r>
    </w:p>
    <w:p>
      <w:pPr>
        <w:spacing w:after="120"/>
      </w:pPr>
      <w:r>
        <w:t xml:space="preserve">Single path — HS-code resolution against our hs_code_material_mappings table. Each material's relevance score is 0.90 × hs_confidence (a 6-digit lithium-hydroxide-specific code has confidence near 1.0; a 4-digit "ores and concentrates" prefix has confidence around 0.4). When a material appears under multiple HS codes in the same event, highest-relevance attribution wins.</w:t>
      </w:r>
    </w:p>
    <w:p>
      <w:pPr>
        <w:pStyle w:val="Heading3"/>
        <w:spacing w:after="100" w:before="220"/>
      </w:pPr>
      <w:r>
        <w:t xml:space="preserve">Geography attribution</w:t>
      </w:r>
    </w:p>
    <w:p>
      <w:pPr>
        <w:pStyle w:val="ListParagraph"/>
        <w:numPr>
          <w:ilvl w:val="0"/>
          <w:numId w:val="2"/>
        </w:numPr>
        <w:spacing w:after="80"/>
      </w:pPr>
      <w:r>
        <w:rPr>
          <w:b/>
          <w:bCs/>
        </w:rPr>
        <w:t xml:space="preserve">primary </w:t>
      </w:r>
      <w:r>
        <w:t xml:space="preserve">— implementing country (ISO2), always written, relevance 1.0</w:t>
      </w:r>
    </w:p>
    <w:p>
      <w:pPr>
        <w:pStyle w:val="ListParagraph"/>
        <w:numPr>
          <w:ilvl w:val="0"/>
          <w:numId w:val="2"/>
        </w:numPr>
        <w:spacing w:after="80"/>
      </w:pPr>
      <w:r>
        <w:rPr>
          <w:b/>
          <w:bCs/>
        </w:rPr>
        <w:t xml:space="preserve">affected </w:t>
      </w:r>
      <w:r>
        <w:t xml:space="preserve">— for IMPORT_DISRUPTION only, affected jurisdictions, relevance 1.0. Written when 0 &lt; count ≤ 75 (multilateral acts hitting 100+ jurisdictions are treated as ambient and skipped)</w:t>
      </w:r>
    </w:p>
    <w:p>
      <w:pPr>
        <w:pStyle w:val="Heading3"/>
        <w:spacing w:after="100" w:before="220"/>
      </w:pPr>
      <w:r>
        <w:t xml:space="preserve">Risk categories</w:t>
      </w:r>
    </w:p>
    <w:p>
      <w:pPr>
        <w:pStyle w:val="ListParagraph"/>
        <w:numPr>
          <w:ilvl w:val="0"/>
          <w:numId w:val="2"/>
        </w:numPr>
        <w:spacing w:after="80"/>
      </w:pPr>
      <w:r>
        <w:rPr>
          <w:b/>
          <w:bCs/>
        </w:rPr>
        <w:t xml:space="preserve">Geopolitical / Trade </w:t>
      </w:r>
      <w:r>
        <w:t xml:space="preserve">— default for export/import interventions, local content, investment measures</w:t>
      </w:r>
    </w:p>
    <w:p>
      <w:pPr>
        <w:pStyle w:val="ListParagraph"/>
        <w:numPr>
          <w:ilvl w:val="0"/>
          <w:numId w:val="2"/>
        </w:numPr>
        <w:spacing w:after="80"/>
      </w:pPr>
      <w:r>
        <w:rPr>
          <w:b/>
          <w:bCs/>
        </w:rPr>
        <w:t xml:space="preserve">Regulatory / Compliance </w:t>
      </w:r>
      <w:r>
        <w:t xml:space="preserve">— SPS and TBT measures</w:t>
      </w:r>
    </w:p>
    <w:p>
      <w:pPr>
        <w:pStyle w:val="ListParagraph"/>
        <w:numPr>
          <w:ilvl w:val="0"/>
          <w:numId w:val="2"/>
        </w:numPr>
        <w:spacing w:after="80"/>
      </w:pPr>
      <w:r>
        <w:rPr>
          <w:b/>
          <w:bCs/>
        </w:rPr>
        <w:t xml:space="preserve">Financial Pressure </w:t>
      </w:r>
      <w:r>
        <w:t xml:space="preserve">— trade finance, state aid, equity stakes</w:t>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NFI/IFI multiplier is currently × 1.00. With EXPORT_SUBSIDY subtype now live, IFI grants (World Bank, IADB) feed the production_subsidy_distortion sub-input alongside national subsidies. Should they be discounted to 0.5-0.7 because they're typically smaller and more conditional than national programs?</w:t>
      </w:r>
    </w:p>
    <w:p>
      <w:pPr>
        <w:pStyle w:val="Heading2"/>
        <w:spacing w:after="160" w:before="300"/>
      </w:pPr>
      <w:r>
        <w:t xml:space="preserve">IEA Critical Minerals Policy Tracker</w:t>
      </w:r>
    </w:p>
    <w:p>
      <w:pPr>
        <w:pStyle w:val="Heading3"/>
        <w:spacing w:after="100" w:before="220"/>
      </w:pPr>
      <w:r>
        <w:t xml:space="preserve">What it covers</w:t>
      </w:r>
    </w:p>
    <w:p>
      <w:pPr>
        <w:spacing w:after="120"/>
      </w:pPr>
      <w:r>
        <w:t xml:space="preserve">The constructive side of minerals policy — investment pledges, domestic-content milestones, regulatory frameworks. Complements GTA which covers harmful trade-restrictive actions. Geographic scope: ~40 IEA-member countries. Manual download (CSV/XLSX). Events ingested at intentionally low severity because they're positive-policy signals.</w:t>
      </w:r>
    </w:p>
    <w:p>
      <w:pPr>
        <w:pStyle w:val="Heading3"/>
        <w:spacing w:after="100" w:before="220"/>
      </w:pPr>
      <w:r>
        <w:t xml:space="preserve">Event types and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Status</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Severity</w:t>
            </w:r>
          </w:p>
        </w:tc>
        <w:tc>
          <w:tcPr>
            <w:tcW w:type="dxa" w:w="2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Meaning</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Implemented / In force / Enacted</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Live and binding</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Announced</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Politically committed, not yet legal</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Proposed / Under review</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Under deliberation</w:t>
            </w:r>
          </w:p>
        </w:tc>
      </w:tr>
    </w:tbl>
    <w:p>
      <w:pPr>
        <w:spacing w:after="120"/>
      </w:pPr>
      <w:r>
        <w:t xml:space="preserve"/>
      </w:r>
    </w:p>
    <w:p>
      <w:pPr>
        <w:spacing w:after="120"/>
      </w:pPr>
      <w:r>
        <w:t xml:space="preserve">Confidence hardcoded to 0.65 — the lowest of any source. The combination of low base severity and low confidence is intentional: positive-policy events are context, not score-drivers.</w:t>
      </w:r>
    </w:p>
    <w:p>
      <w:pPr>
        <w:pStyle w:val="Heading3"/>
        <w:spacing w:after="100" w:before="220"/>
      </w:pPr>
      <w:r>
        <w:t xml:space="preserve">Material attribution</w:t>
      </w:r>
    </w:p>
    <w:p>
      <w:pPr>
        <w:spacing w:after="120"/>
      </w:pPr>
      <w:r>
        <w:t xml:space="preserve">Three-stage flow: (1) Tech basket — IEA's technology category strings map to curated mineral lists at relevance 0.40, (2) Keyword scan — MaterialCache scans the policy text for direct mineral mentions, (3) Haiku confirmation when ANTHROPIC_API_KEY is set.</w:t>
      </w:r>
    </w:p>
    <w:p>
      <w:pPr>
        <w:pBdr>
          <w:left w:val="single" w:color="B14040" w:sz="18" w:space="12"/>
        </w:pBdr>
        <w:shd w:fill="FCEEEE" w:color="auto" w:val="clear"/>
        <w:spacing w:after="160" w:before="100"/>
        <w:ind w:left="240"/>
      </w:pPr>
      <w:r>
        <w:rPr>
          <w:b/>
          <w:bCs/>
          <w:color w:val="B14040"/>
        </w:rPr>
        <w:t xml:space="preserve">KNOWN GAP:  </w:t>
      </w:r>
      <w:r>
        <w:t xml:space="preserve">IEA does NOT yet have the three-way Haiku scope gate that the Federal Register parser got in v2. The IEA flow only handles binary 'Haiku says not relevant with high confidence → drop'; low-confidence Haiku acceptances slip through silently. Same blind spot Federal Register had pre-fix. Applying the same three-way gate to IEA is a tracked follow-up.</w:t>
      </w:r>
    </w:p>
    <w:p>
      <w:pPr>
        <w:pStyle w:val="Heading2"/>
        <w:spacing w:after="160" w:before="300"/>
      </w:pPr>
      <w:r>
        <w:t xml:space="preserve">US Federal Register</w:t>
      </w:r>
    </w:p>
    <w:p>
      <w:pPr>
        <w:pStyle w:val="Heading3"/>
        <w:spacing w:after="100" w:before="220"/>
      </w:pPr>
      <w:r>
        <w:t xml:space="preserve">What it covers</w:t>
      </w:r>
    </w:p>
    <w:p>
      <w:pPr>
        <w:spacing w:after="120"/>
      </w:pPr>
      <w:r>
        <w:t xml:space="preserve">US daily publication record of US federal regulatory action — notices, rules, proposed rules, presidential documents. Ten targeted query streams covering OFAC sanctions, BIS export controls, trade-remedy actions, presidential documents (five sub-queries for tariff/Section 232/Section 301/critical mineral/sanction), mining-agency regulation, and UFLPA. Public API, no auth, typically next-day latency.</w:t>
      </w:r>
    </w:p>
    <w:p>
      <w:pPr>
        <w:pStyle w:val="Heading3"/>
        <w:spacing w:after="100" w:before="220"/>
      </w:pPr>
      <w:r>
        <w:t xml:space="preserve">Severity formula</w:t>
      </w:r>
    </w:p>
    <w:p>
      <w:pPr>
        <w:spacing w:after="120"/>
      </w:pPr>
      <w:r>
        <w:rPr>
          <w:b/>
          <w:bCs/>
        </w:rPr>
        <w:t xml:space="preserve">Step 1 — Base severity by document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Document type</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Base</w:t>
            </w:r>
          </w:p>
        </w:tc>
        <w:tc>
          <w:tcPr>
            <w:tcW w:type="dxa" w:w="2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Meaning</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Executive order</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Highest authority short of legislation</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Presidential document</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Memos, determinations, directives</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Proclamation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Often ceremonial, sometimes substantive (tariffs)</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Final rule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Binding regulation</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Interim final rule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0.65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Binding pending finalization</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Proposed rule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0.50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Signal only, may change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Notice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Procedural / informational</w:t>
            </w:r>
          </w:p>
        </w:tc>
      </w:tr>
    </w:tbl>
    <w:p>
      <w:pPr>
        <w:spacing w:after="120"/>
      </w:pPr>
      <w:r>
        <w:t xml:space="preserve"/>
      </w:r>
    </w:p>
    <w:p>
      <w:pPr>
        <w:spacing w:after="120"/>
      </w:pPr>
      <w:r>
        <w:rPr>
          <w:b/>
          <w:bCs/>
        </w:rPr>
        <w:t xml:space="preserve">Step 2 — Query-level boost: </w:t>
      </w:r>
      <w:r>
        <w:t xml:space="preserve">+0.20 (OFAC, presidential sanction), +0.15 (BIS, Section 232/301, UFLPA), +0.10 (trade remedy, presidential tariff), 0.00 (presidential critical mineral, mining minerals).</w:t>
      </w:r>
    </w:p>
    <w:p>
      <w:pPr>
        <w:spacing w:after="120"/>
      </w:pPr>
      <w:r>
        <w:rPr>
          <w:b/>
          <w:bCs/>
        </w:rPr>
        <w:t xml:space="preserve">Step 3 — Keyword boost: </w:t>
      </w:r>
      <w:r>
        <w:t xml:space="preserve">+0.12 per high-signal keyword (battery, lithium, graphite, cobalt, nickel, UFLPA, FEOC, Xinjiang, Section 301/232, etc.), capped at +0.22 cumulative.</w:t>
      </w:r>
    </w:p>
    <w:p>
      <w:pPr>
        <w:spacing w:after="120"/>
      </w:pPr>
      <w:r>
        <w:rPr>
          <w:b/>
          <w:bCs/>
        </w:rPr>
        <w:t xml:space="preserve">Step 4 — Final clamp: </w:t>
      </w:r>
      <w:r>
        <w:t xml:space="preserve">min(0.92, max(0.30, total)), rounded to 2 decimals. Confidence hardcoded to 0.70.</w:t>
      </w:r>
    </w:p>
    <w:p>
      <w:pPr>
        <w:pBdr>
          <w:left w:val="single" w:color="1F3A5F" w:sz="12" w:space="12"/>
        </w:pBdr>
        <w:shd w:fill="F4F4F4" w:color="auto" w:val="clear"/>
        <w:spacing w:after="40" w:before="100"/>
        <w:ind w:left="240"/>
      </w:pPr>
      <w:r>
        <w:rPr>
          <w:b/>
          <w:bCs/>
          <w:color w:val="1F3A5F"/>
        </w:rPr>
        <w:t xml:space="preserve">WORKED EXAMPLE — OFAC sanctions notice on Chinese lithium refiner</w:t>
      </w:r>
    </w:p>
    <w:p>
      <w:pPr>
        <w:pBdr>
          <w:left w:val="single" w:color="1F3A5F" w:sz="12" w:space="12"/>
        </w:pBdr>
        <w:shd w:fill="F4F4F4" w:color="auto" w:val="clear"/>
        <w:spacing w:after="160" w:before="0"/>
        <w:ind w:left="240"/>
      </w:pPr>
      <w:r>
        <w:t xml:space="preserve">OFAC notice (base 0.40) caught by ofac_sanctions query (boost +0.20) mentioning 'lithium' and 'Xinjiang' in title (keyword boost +0.22 capped): total = 0.40 + 0.20 + 0.22 = 0.82 severity. With confidence 0.70: day-zero impact ceiling = 0.82 × 0.70 × 1.20 × 1.30 ≈ 0.90.</w:t>
      </w:r>
    </w:p>
    <w:p>
      <w:pPr>
        <w:pStyle w:val="Heading3"/>
        <w:spacing w:after="100" w:before="220"/>
      </w:pPr>
      <w:r>
        <w:t xml:space="preserve">Material attribution — four layers</w:t>
      </w:r>
    </w:p>
    <w:p>
      <w:pPr>
        <w:pStyle w:val="ListParagraph"/>
        <w:numPr>
          <w:ilvl w:val="0"/>
          <w:numId w:val="3"/>
        </w:numPr>
        <w:spacing w:after="80"/>
      </w:pPr>
      <w:r>
        <w:rPr>
          <w:b/>
          <w:bCs/>
        </w:rPr>
        <w:t xml:space="preserve">Q5 denylist </w:t>
      </w:r>
      <w:r>
        <w:t xml:space="preserve">(mining_minerals query only) — drops titles matching turtle/grazing/oil-and-gas/military-land patterns.</w:t>
      </w:r>
    </w:p>
    <w:p>
      <w:pPr>
        <w:pStyle w:val="ListParagraph"/>
        <w:numPr>
          <w:ilvl w:val="0"/>
          <w:numId w:val="3"/>
        </w:numPr>
        <w:spacing w:after="80"/>
      </w:pPr>
      <w:r>
        <w:rPr>
          <w:b/>
          <w:bCs/>
        </w:rPr>
        <w:t xml:space="preserve">Topic attribution </w:t>
      </w:r>
      <w:r>
        <w:t xml:space="preserve">(relevance 0.90) — FR's controlled-vocabulary topics map to canonical materials via material_source_aliases table.</w:t>
      </w:r>
    </w:p>
    <w:p>
      <w:pPr>
        <w:pStyle w:val="ListParagraph"/>
        <w:numPr>
          <w:ilvl w:val="0"/>
          <w:numId w:val="3"/>
        </w:numPr>
        <w:spacing w:after="80"/>
      </w:pPr>
      <w:r>
        <w:rPr>
          <w:b/>
          <w:bCs/>
        </w:rPr>
        <w:t xml:space="preserve">Title attribution </w:t>
      </w:r>
      <w:r>
        <w:t xml:space="preserve">(mixed) — three sub-layers: MaterialCache scan (0.10-0.85), AD/CVD wordings (0.90), basket fanout patterns (0.40).</w:t>
      </w:r>
    </w:p>
    <w:p>
      <w:pPr>
        <w:pStyle w:val="ListParagraph"/>
        <w:numPr>
          <w:ilvl w:val="0"/>
          <w:numId w:val="3"/>
        </w:numPr>
        <w:spacing w:after="80"/>
      </w:pPr>
      <w:r>
        <w:rPr>
          <w:b/>
          <w:bCs/>
        </w:rPr>
        <w:t xml:space="preserve">Haiku extraction </w:t>
      </w:r>
      <w:r>
        <w:t xml:space="preserve">(per-query policy: always / fallback / after_denylist / never) — Claude Haiku reads the full document and extracts structured material × country attribution.</w:t>
      </w:r>
    </w:p>
    <w:p>
      <w:pPr>
        <w:pBdr>
          <w:left w:val="single" w:color="3A7D5C" w:sz="18" w:space="12"/>
        </w:pBdr>
        <w:shd w:fill="EEF6F2" w:color="auto" w:val="clear"/>
        <w:spacing w:after="160" w:before="100"/>
        <w:ind w:left="240"/>
      </w:pPr>
      <w:r>
        <w:rPr>
          <w:b/>
          <w:bCs/>
          <w:color w:val="3A7D5C"/>
        </w:rPr>
        <w:t xml:space="preserve">NEW IN v3:  </w:t>
      </w:r>
      <w:r>
        <w:t xml:space="preserve">v2 added a three-way Haiku scope gate: high-confidence reject (drop), high-confidence accept (proceed), low confidence either direction (preserve for analyst review). Closes a blind spot where low-confidence Haiku acceptances were slipping through. Caught "National Ocean Month, 2025" — a ceremonial proclamation that was being admitted at scope_confidence 0.65 before the fix.</w:t>
      </w:r>
    </w:p>
    <w:p>
      <w:pPr>
        <w:pStyle w:val="Heading2"/>
        <w:spacing w:after="160" w:before="300"/>
      </w:pPr>
      <w:r>
        <w:t xml:space="preserve">OpenSanctions</w:t>
      </w:r>
    </w:p>
    <w:p>
      <w:pPr>
        <w:pStyle w:val="Heading3"/>
        <w:spacing w:after="100" w:before="220"/>
      </w:pPr>
      <w:r>
        <w:t xml:space="preserve">What it covers</w:t>
      </w:r>
    </w:p>
    <w:p>
      <w:pPr>
        <w:spacing w:after="120"/>
      </w:pPr>
      <w:r>
        <w:t xml:space="preserve">Free consolidated sanctions database aggregating designations from OFAC, EU, UN, UK, and ~100 other regimes. Daily bulk CSV export. We ingest company-style entities only (not individuals). Rate-limited to weekly refreshes.</w:t>
      </w:r>
    </w:p>
    <w:p>
      <w:pPr>
        <w:pStyle w:val="Heading3"/>
        <w:spacing w:after="100" w:before="220"/>
      </w:pPr>
      <w:r>
        <w:t xml:space="preserve">Two event types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event_type</w:t>
            </w:r>
          </w:p>
        </w:tc>
        <w:tc>
          <w:tcPr>
            <w:tcW w:type="dxa" w:w="66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What it represents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sanctions_listing</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One event per matched company. Fires when an OpenSanctions entity matches a company via LEI (primary match) or normalized name (fallback). Severity hardcoded 1.0.</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geography_sanctions_exposure</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One event per high-concentration country. Fires when sanctioned-entity count reaches threshold. Severity = min(1.0, count/500). China with 1000+ saturates at 1.0.</w:t>
            </w:r>
          </w:p>
        </w:tc>
      </w:tr>
    </w:tbl>
    <w:p>
      <w:pPr>
        <w:spacing w:after="120"/>
      </w:pPr>
      <w:r>
        <w:t xml:space="preserve"/>
      </w:r>
    </w:p>
    <w:p>
      <w:pPr>
        <w:pStyle w:val="Heading3"/>
        <w:spacing w:after="100" w:before="220"/>
      </w:pPr>
      <w:r>
        <w:t xml:space="preserve">Material attribution — structured only</w:t>
      </w:r>
    </w:p>
    <w:p>
      <w:pPr>
        <w:spacing w:after="120"/>
      </w:pPr>
      <w:r>
        <w:t xml:space="preserve">OpenSanctions does NOT use keyword-matching of entity names — deliberately. Sanctioned company attribution uses partner-curated CompanyMaterialExposure entries; geography sanctions exposure uses USGS material_production_shares data filtered to ≥ 5% global share.</w:t>
      </w:r>
    </w:p>
    <w:p>
      <w:pPr>
        <w:pBdr>
          <w:left w:val="single" w:color="B14040" w:sz="18" w:space="12"/>
        </w:pBdr>
        <w:shd w:fill="FCEEEE" w:color="auto" w:val="clear"/>
        <w:spacing w:after="160" w:before="100"/>
        <w:ind w:left="240"/>
      </w:pPr>
      <w:r>
        <w:rPr>
          <w:b/>
          <w:bCs/>
          <w:color w:val="B14040"/>
        </w:rPr>
        <w:t xml:space="preserve">KNOWN GAP:  </w:t>
      </w:r>
      <w:r>
        <w:t xml:space="preserve">OpenSanctions has 6 pre-existing test failures from a stale signature mismatch (_content_hash function). The parser is working in production but the tests need fixing. Classifier integration was reverted from OpenSanctions after audit — material attribution is purely structured (exposure tables + production shares), no LLM in the path.</w:t>
      </w:r>
    </w:p>
    <w:p>
      <w:r>
        <w:br w:type="page"/>
      </w:r>
    </w:p>
    <w:p>
      <w:pPr>
        <w:pStyle w:val="Heading1"/>
        <w:spacing w:after="240" w:before="400"/>
      </w:pPr>
      <w:r>
        <w:t xml:space="preserve">Part 6 — Regulation Event Sources</w:t>
      </w:r>
    </w:p>
    <w:p>
      <w:pPr>
        <w:spacing w:after="120"/>
      </w:pPr>
      <w:r>
        <w:t xml:space="preserve">This is the most substantively-rebuilt section between v1 and v2. EUR-Lex is our primary regulation parser, but the surrounding architecture (regulation universe, alias resolution, scope-type intensity, conditional geography intersection) is what actually makes the engine express regulation-driven risk accurately.</w:t>
      </w:r>
    </w:p>
    <w:p>
      <w:pPr>
        <w:pBdr>
          <w:left w:val="single" w:color="3A7D5C" w:sz="18" w:space="12"/>
        </w:pBdr>
        <w:shd w:fill="EEF6F2" w:color="auto" w:val="clear"/>
        <w:spacing w:after="160" w:before="100"/>
        <w:ind w:left="240"/>
      </w:pPr>
      <w:r>
        <w:rPr>
          <w:b/>
          <w:bCs/>
          <w:color w:val="3A7D5C"/>
        </w:rPr>
        <w:t xml:space="preserve">NEW IN v3:  </w:t>
      </w:r>
      <w:r>
        <w:t xml:space="preserve">Everything in Part 6 is new in v2. v1 mentioned EUR-Lex as a known gap — that was wrong. EUR-Lex was already built, just under-documented. This entire section covers what the regulation parser actually does, plus five significant mechanism additions shipped during the v2 partner-review session.</w:t>
      </w:r>
    </w:p>
    <w:p>
      <w:pPr>
        <w:pStyle w:val="Heading2"/>
        <w:spacing w:after="160" w:before="300"/>
      </w:pPr>
      <w:r>
        <w:t xml:space="preserve">How regulations are different from policies</w:t>
      </w:r>
    </w:p>
    <w:p>
      <w:pPr>
        <w:spacing w:after="120"/>
      </w:pPr>
      <w:r>
        <w:t xml:space="preserve">The four policy sources covered in Part 5 (GTA, IEA, Federal Register, OpenSanctions) are all discovery-based — they scan everything their source publishes and decide per-document whether to ingest. Regulations are attachment-based: we only ingest signals for regulations we have already manually curated in our seed file. Concretely: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Dimension</w:t>
            </w:r>
          </w:p>
        </w:tc>
        <w:tc>
          <w:tcPr>
            <w:tcW w:type="dxa" w:w="298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Policy parsers</w:t>
            </w:r>
          </w:p>
        </w:tc>
        <w:tc>
          <w:tcPr>
            <w:tcW w:type="dxa" w:w="298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Regulation parser</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Universe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Auto-discovered per source query (10 FR queries, IEA full feed, GTA full Red feed)</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Manually curated. 6 EU regulations + 2 US (UFLPA, IRA) currently tracked.</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Event date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Specific publication date — recency decay applies</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None (standing obligation — always in scope). Effective date stored separately for proximity adjustment.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Event count per source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Many (hundreds per ingest)</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One per regulation (8 total today)</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Severity range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0.30 – 0.92 (FR), 0.0 – 1.0 (GTA), 0.10 – 0.20 (IEA), 1.0 (OS)</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0.00 – 0.70 (per status), with per-regulation override capability</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Confidence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0.65 – 1.00 depending on source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 (high but not max — soft side is scope interpretation)</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Per-material differentiation within a single event</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None — all attributed materials share the same event severity</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YES — scope_type drives a severity multiplier (~3× spread between banned and disclosure)</w:t>
            </w:r>
          </w:p>
        </w:tc>
      </w:tr>
    </w:tbl>
    <w:p>
      <w:pPr>
        <w:spacing w:after="120"/>
      </w:pPr>
      <w:r>
        <w:t xml:space="preserve"/>
      </w:r>
    </w:p>
    <w:p>
      <w:pPr>
        <w:pStyle w:val="Heading2"/>
        <w:spacing w:after="160" w:before="300"/>
      </w:pPr>
      <w:r>
        <w:t xml:space="preserve">The currently-tracked regulations</w:t>
      </w:r>
    </w:p>
    <w:p>
      <w:pPr>
        <w:spacing w:after="120"/>
      </w:pPr>
      <w:r>
        <w:rPr>
          <w:b/>
          <w:bCs/>
        </w:rPr>
        <w:t xml:space="preserve">Nine regulations are tracked today</w:t>
      </w:r>
      <w:r>
        <w:t xml:space="preserve"> — six EU and three US. EU regulations are ingested via EUR-Lex; US regulations come into the engine via the Federal Register parser's targeted query streams, with FR document numbers now linking to canonical Regulation rows via the alias table (NEW in v3, see "Federal Register linkage"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c>
          <w:tcPr>
            <w:tcW w:type="dxa" w:w="30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Regulation</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CELEX / source</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Obligation weight</w:t>
            </w:r>
          </w:p>
        </w:tc>
        <w:tc>
          <w:tcPr>
            <w:tcW w:type="dxa" w:w="29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Effective severity (v3)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UFLPA (US)</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FR queries + us_code</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FR-event-driven (no standing event)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Battery Regulation 2023</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32023R1542</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20</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confidence 0.9 = ceiling 0.63)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Critical Raw Materials Act</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32024R1252</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0.9 = 0.63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IRA Domestic Content (US)</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FR queries + us_code</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0.85 (per-reg override)</w:t>
            </w:r>
            <w:r>
              <w:t xml:space="preserve"> × 0.9 = 0.77 — NEW in v3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CSDDD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32024L1760</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0.40 × 0.9 = 0.36 (status: enacted, not yet effective)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REACH (Cobalt)</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32006R1907</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8</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0.9 = 0.63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CBAM</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32023R0956</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5</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0.9 = 0.63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Conflict Minerals</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32017R0821</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0.9 = 0.63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SEC Climate Disclosure (NEW in v3)</w:t>
            </w:r>
            <w:r>
              <w:t xml:space="preserve"> (US)</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FR queries (2024-05137 + 2024-07648)</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(not in obligation table)</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0.15 × 0.9 = 0.135 (status: proposed/stayed)</w:t>
            </w:r>
          </w:p>
        </w:tc>
      </w:tr>
    </w:tbl>
    <w:p>
      <w:pPr>
        <w:spacing w:after="120"/>
      </w:pPr>
      <w:r>
        <w:t xml:space="preserve"/>
      </w:r>
    </w:p>
    <w:p>
      <w:pPr>
        <w:spacing w:after="120"/>
      </w:pPr>
      <w:r>
        <w:rPr>
          <w:b/>
          <w:bCs/>
        </w:rPr>
        <w:t xml:space="preserve">Two-knob design. </w:t>
      </w:r>
      <w:r>
        <w:t xml:space="preserve">Each regulation has TWO independent calibration levers: the obligation weight (how much the company's compliance status contributes to the Regulatory pillar's obligation_uplift path) and the standing severity (how much each regulation event contributes to the event_score path). UFLPA at obligation weight 25 means a non-compliant company adds 25 obligation_uplift points; the standing severity for the EU regulations means each regulation event contributes up to ~26 event_score points after relevance + recency. Together a fully-non-compliant company with one regulation can take the Regulatory pillar from 0 to ~46 out of 100.</w:t>
      </w:r>
    </w:p>
    <w:p>
      <w:pPr>
        <w:pStyle w:val="Heading2"/>
        <w:spacing w:after="160" w:before="300"/>
      </w:pPr>
      <w:r>
        <w:t xml:space="preserve">EUR-Lex parser detail</w:t>
      </w:r>
    </w:p>
    <w:p>
      <w:pPr>
        <w:pStyle w:val="Heading3"/>
        <w:spacing w:after="100" w:before="220"/>
      </w:pPr>
      <w:r>
        <w:t xml:space="preserve">Architecture</w:t>
      </w:r>
    </w:p>
    <w:p>
      <w:pPr>
        <w:spacing w:after="120"/>
      </w:pPr>
      <w:r>
        <w:t xml:space="preserve">EUR-Lex is the EU's authoritative legal database. The parser:</w:t>
      </w:r>
    </w:p>
    <w:p>
      <w:pPr>
        <w:pStyle w:val="ListParagraph"/>
        <w:numPr>
          <w:ilvl w:val="0"/>
          <w:numId w:val="3"/>
        </w:numPr>
        <w:spacing w:after="80"/>
      </w:pPr>
      <w:r>
        <w:t xml:space="preserve">Pulls regulation summaries from the EUR-Lex HTML page (first 2500 characters, was 800 in v1, bumped 2026-05-17 per partner direction)</w:t>
      </w:r>
    </w:p>
    <w:p>
      <w:pPr>
        <w:pStyle w:val="ListParagraph"/>
        <w:numPr>
          <w:ilvl w:val="0"/>
          <w:numId w:val="3"/>
        </w:numPr>
        <w:spacing w:after="80"/>
      </w:pPr>
      <w:r>
        <w:t xml:space="preserve">Pulls structured legal-status fields from the bibliographic notice page (different URL — "Date of effect," "Date of end of validity," "Repealed by")</w:t>
      </w:r>
    </w:p>
    <w:p>
      <w:pPr>
        <w:pStyle w:val="ListParagraph"/>
        <w:numPr>
          <w:ilvl w:val="0"/>
          <w:numId w:val="3"/>
        </w:numPr>
        <w:spacing w:after="80"/>
      </w:pPr>
      <w:r>
        <w:t xml:space="preserve">Generates one RiskEvent per regulation, plus material/geography junction rows from the regulation's pre-curated scopes</w:t>
      </w:r>
    </w:p>
    <w:p>
      <w:pPr>
        <w:pStyle w:val="ListParagraph"/>
        <w:numPr>
          <w:ilvl w:val="0"/>
          <w:numId w:val="3"/>
        </w:numPr>
        <w:spacing w:after="80"/>
      </w:pPr>
      <w:r>
        <w:t xml:space="preserve">Detects status changes and flags them for partner review (without auto-mutating)</w:t>
      </w:r>
    </w:p>
    <w:p>
      <w:pPr>
        <w:pStyle w:val="Heading3"/>
        <w:spacing w:after="100" w:before="220"/>
      </w:pPr>
      <w:r>
        <w:t xml:space="preserve">Severity calibration (recalibrated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060"/>
      </w:tblGrid>
      <w:tr>
        <w:tc>
          <w:tcPr>
            <w:tcW w:type="dxa" w:w="30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Status</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Severity (v2)</w:t>
            </w:r>
          </w:p>
        </w:tc>
        <w:tc>
          <w:tcPr>
            <w:tcW w:type="dxa" w:w="40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Rationale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Effective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 (was 0.55)</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Parity with FR final-rule baseline — an actively-enforced regulation should carry the same event weight as a US final rule.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Enacted</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 (unchanged)</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Passed but not yet in force — compliance prep pressure, not active enforcement.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Proposed</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0.15 (was 0.25)</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Early signal only. Proposed regulations frequently die in legislative process.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Superseded</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0.00 (was 0.05)</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 repealed regulation doesn't contribute current risk. Historical context preserved in the event row but no score contribution.</w:t>
            </w:r>
          </w:p>
        </w:tc>
      </w:tr>
    </w:tbl>
    <w:p>
      <w:pPr>
        <w:spacing w:after="120"/>
      </w:pPr>
      <w:r>
        <w:t xml:space="preserve"/>
      </w:r>
    </w:p>
    <w:p>
      <w:pPr>
        <w:spacing w:after="120"/>
      </w:pPr>
      <w:r>
        <w:rPr>
          <w:b/>
          <w:bCs/>
        </w:rPr>
        <w:t xml:space="preserve">Per-regulation severity overrides (NEW in v2). </w:t>
      </w:r>
      <w:r>
        <w:t xml:space="preserve">Partner can override the global per-status severity for any specific regulation via the seed file's metadata_json["severity_overrides"] field. Example: setting UFLPA's effective-severity to 0.85 reflects the customs-seizure consequence being qualitatively stronger than the global 0.70 default suggests. The override is opt-in — currently none of the 6 regulations use overrides; partner adds them where domain judgment differs.</w:t>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The 6 EU regulations all use the global 0.70 effective severity today. Concrete candidates for partner-set overrides: (1) UFLPA → 0.85 (already noted as a candidate when the override mechanism was added) — customs-seizure consequence. (2) EU Battery Regulation 2023 → 0.80 — recycled-content thresholds force material-specification changes throughout the supply chain. (3) EU Conflict Minerals → 0.50 — softest binding, just due-diligence reporting. Discuss with partner whether to apply any of these.</w:t>
      </w:r>
    </w:p>
    <w:p>
      <w:pPr>
        <w:pStyle w:val="Heading3"/>
        <w:spacing w:after="100" w:before="220"/>
      </w:pPr>
      <w:r>
        <w:t xml:space="preserve">Scope_type intensity ladder (NEW in v2)</w:t>
      </w:r>
    </w:p>
    <w:p>
      <w:pPr>
        <w:spacing w:after="120"/>
      </w:pPr>
      <w:r>
        <w:t xml:space="preserve">Each regulation in seed_regulations.py declares a scope_type per material it affects. The scope_type drives a SEVERITY MULTIPLIER applied at event-impact calculation time — widening per-material differentiation within a regulation from ~16% to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Scope type</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Severity ×</w:t>
            </w:r>
          </w:p>
        </w:tc>
        <w:tc>
          <w:tcPr>
            <w:tcW w:type="dxa" w:w="52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Meaning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banned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1.50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Regulation prohibits the material in the regulated scope. UFLPA → Cobalt (Xinjiang origin).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restricted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1.10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Constraints applied — caps, due diligence. EU Battery Reg → Cobalt (recycled-content threshold).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strategic_raw_material</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1.00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CRMA-style supply-chain diversification targets. NEW in v2.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covered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0.80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Under purview, no specific prohibition. CBAM → Aluminum (carbon adjustment).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disclosure_required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0.50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Softest binding — reporting only. EU Conflict Minerals → 3TG.</w:t>
            </w:r>
          </w:p>
        </w:tc>
      </w:tr>
    </w:tbl>
    <w:p>
      <w:pPr>
        <w:spacing w:after="120"/>
      </w:pPr>
      <w:r>
        <w:t xml:space="preserve"/>
      </w:r>
    </w:p>
    <w:p>
      <w:pPr>
        <w:spacing w:after="120"/>
      </w:pPr>
      <w:r>
        <w:t xml:space="preserve">The severity multiplier is applied BEFORE the standard event_impact formula. So an EU Battery Reg event at severity 0.70 produces effective severities per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Material × scope</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Multiplier</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Effective severity</w:t>
            </w:r>
          </w:p>
        </w:tc>
        <w:tc>
          <w:tcPr>
            <w:tcW w:type="dxa" w:w="35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Day-zero impact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Cobalt × banned (hypothetical)</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1.50</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 × 1.50 = 1.05 → clamped to 1.0</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1.40</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Lithium × restricted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1.10</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0.77</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1.08</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Nickel × covered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0.80</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0.56</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0.78</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Aluminum × disclosure</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0.50</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0.35</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0.49</w:t>
            </w:r>
          </w:p>
        </w:tc>
      </w:tr>
    </w:tbl>
    <w:p>
      <w:pPr>
        <w:spacing w:after="120"/>
      </w:pPr>
      <w:r>
        <w:t xml:space="preserve"/>
      </w:r>
    </w:p>
    <w:p>
      <w:pPr>
        <w:pBdr>
          <w:left w:val="single" w:color="3A7D5C" w:sz="18" w:space="12"/>
        </w:pBdr>
        <w:shd w:fill="EEF6F2" w:color="auto" w:val="clear"/>
        <w:spacing w:after="160" w:before="100"/>
        <w:ind w:left="240"/>
      </w:pPr>
      <w:r>
        <w:rPr>
          <w:b/>
          <w:bCs/>
          <w:color w:val="3A7D5C"/>
        </w:rPr>
        <w:t xml:space="preserve">NEW IN v3:  </w:t>
      </w:r>
      <w:r>
        <w:t xml:space="preserve">Scope_type usage in v3 — substantially re-curated since v2. v2 noted that the 4-level ladder was barely used (most regulations clustered at 'covered' or 'disclosure_required'). v3 fixed this through partner-direction recalibration: UFLPA materials moved covered→banned (customs-seizure consequence), EU Battery Reg materials moved disclosure→restricted (recycled-content thresholds are product-acceptability bars), EU Conflict Minerals fixed from incorrectly-attributed Cobalt to actual 3TG (Tin/Tantalum/Tungsten), EU CBAM added Iron Ore (LFP Grade), and CRMA promoted magnet REEs (Nd, Pr, Dy, Tb) from strategic→restricted. Distribution after v3: 3 banned, 12 restricted, 18 strategic_raw_material, 10 covered, 6 disclosure_required — across 49 entries on 8 regulations (SEC_CLIMATE_2024 currently has no material scopes pending partner curation).</w:t>
      </w:r>
    </w:p>
    <w:p>
      <w:pPr>
        <w:pStyle w:val="Heading3"/>
        <w:spacing w:after="100" w:before="220"/>
      </w:pPr>
      <w:r>
        <w:t xml:space="preserve">Per-regulation severity overrides (NEW in v3 — Idea A consumption)</w:t>
      </w:r>
    </w:p>
    <w:p>
      <w:pPr>
        <w:spacing w:after="120"/>
      </w:pPr>
      <w:r>
        <w:t xml:space="preserve">The severity table is now augmented by a metadata-driven mechanism that lets partner override the global per-status severity for specific regulations. The override applies when a regulation's </w:t>
      </w:r>
      <w:r>
        <w:rPr>
          <w:rFonts w:ascii="Consolas" w:cs="Consolas" w:eastAsia="Consolas" w:hAnsi="Consolas"/>
          <w:sz w:val="20"/>
          <w:szCs w:val="20"/>
        </w:rPr>
        <w:t xml:space="preserve">metadata_json["severity_overrides"]</w:t>
      </w:r>
      <w:r>
        <w:t xml:space="preserve"> carries a per-status mapping. Currently in use:</w:t>
      </w:r>
    </w:p>
    <w:p>
      <w:pPr>
        <w:pStyle w:val="ListParagraph"/>
        <w:numPr>
          <w:ilvl w:val="0"/>
          <w:numId w:val="2"/>
        </w:numPr>
        <w:spacing w:after="80"/>
      </w:pPr>
      <w:r>
        <w:rPr>
          <w:b/>
          <w:bCs/>
        </w:rPr>
        <w:t xml:space="preserve">IRA Domestic Content </w:t>
      </w:r>
      <w:r>
        <w:t xml:space="preserve">— effective severity overridden to 0.85 (vs. 0.70 global default). Reflects the FEOC critical-mineral rule's bite: FEOC-sourced materials are disqualified from §45X advanced manufacturing credits, which is closer to banned-tier intensity than the global "effective" baseline suggests. Combined with Idea-B's conditional intersection, IRA bites hardest for FEOC-exposed companies while not over-penalizing fully-domestic sourcing.</w:t>
      </w:r>
    </w:p>
    <w:p>
      <w:pPr>
        <w:spacing w:after="120"/>
      </w:pPr>
      <w:r>
        <w:rPr>
          <w:i/>
          <w:iCs/>
        </w:rPr>
        <w:t xml:space="preserve">The override mechanism is opt-in via seed metadata. No other regulations currently use overrides; partner adds them when domain judgment differs from the global default.</w:t>
      </w:r>
    </w:p>
    <w:p>
      <w:pPr>
        <w:pStyle w:val="Heading3"/>
        <w:spacing w:after="100" w:before="220"/>
      </w:pPr>
      <w:r>
        <w:t xml:space="preserve">Rebuttable-presumption status-multiplier (NEW in v3 — Idea A consumption)</w:t>
      </w:r>
    </w:p>
    <w:p>
      <w:pPr>
        <w:spacing w:after="120"/>
      </w:pPr>
      <w:r>
        <w:t xml:space="preserve">UFLPA's </w:t>
      </w:r>
      <w:r>
        <w:rPr>
          <w:rFonts w:ascii="Consolas" w:cs="Consolas" w:eastAsia="Consolas" w:hAnsi="Consolas"/>
          <w:sz w:val="20"/>
          <w:szCs w:val="20"/>
        </w:rPr>
        <w:t xml:space="preserve">metadata_json["rebuttable_presumption"]: True</w:t>
      </w:r>
      <w:r>
        <w:t xml:space="preserve"> flag now drives an elevated status-multiplier table for the regulatory pillar's obligation_uplift calculation. The flag captures a real-world legal pattern: UFLPA puts the burden of proof on the importer to demonstrate that goods are NOT from Xinjiang — so the absence of compliance evidence is much closer to presumption-of-violation than to genuine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660"/>
      </w:tblGrid>
      <w:tr>
        <w:tc>
          <w:tcPr>
            <w:tcW w:type="dxa" w:w="3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Compliance status</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Standard multiplier</w:t>
            </w:r>
          </w:p>
        </w:tc>
        <w:tc>
          <w:tcPr>
            <w:tcW w:type="dxa" w:w="36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With rebuttable_presumption</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non_compliant</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1.00</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1.00 (unchanged — confirmed violation)</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unknown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0.50</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0.85 (NEW — absence of evidence ≈ presumption of violation)</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partial</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0.40</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0.70 (NEW — good-faith effort doesn't satisfy rebuttable presumption)</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compliant</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0.00 (implicit)</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0.00 (unchanged — confirmed compliance)</w:t>
            </w:r>
          </w:p>
        </w:tc>
      </w:tr>
    </w:tbl>
    <w:p>
      <w:pPr>
        <w:spacing w:after="120"/>
      </w:pPr>
      <w:r>
        <w:t xml:space="preserve"/>
      </w:r>
    </w:p>
    <w:p>
      <w:pPr>
        <w:spacing w:after="120"/>
      </w:pPr>
      <w:r>
        <w:rPr>
          <w:b/>
          <w:bCs/>
        </w:rPr>
        <w:t xml:space="preserve">Concrete consequence for UFLPA-exposed companies: </w:t>
      </w:r>
      <w:r>
        <w:t xml:space="preserve">a company with 'unknown' UFLPA compliance status now contributes 25 × 0.85 = 21.25 obligation_uplift points (was 25 × 0.50 = 12.5 pre-v3). A 70% increase, reflecting the burden-of-proof reality of UFLPA's customs-seizure regime. The mechanism is general — any future regulation seeded with rebuttable_presumption=True in metadata_json gets the elevated treatment automatically.</w:t>
      </w:r>
    </w:p>
    <w:p>
      <w:pPr>
        <w:pStyle w:val="Heading3"/>
        <w:spacing w:after="100" w:before="220"/>
      </w:pPr>
      <w:r>
        <w:t xml:space="preserve">Single-country-cap synthetic event trigger (NEW in v3 — Idea B consumption)</w:t>
      </w:r>
    </w:p>
    <w:p>
      <w:pPr>
        <w:spacing w:after="120"/>
      </w:pPr>
      <w:r>
        <w:t xml:space="preserve">CRMA's </w:t>
      </w:r>
      <w:r>
        <w:rPr>
          <w:rFonts w:ascii="Consolas" w:cs="Consolas" w:eastAsia="Consolas" w:hAnsi="Consolas"/>
          <w:sz w:val="20"/>
          <w:szCs w:val="20"/>
        </w:rPr>
        <w:t xml:space="preserve">metadata_json["single_country_cap_pct"]: 65</w:t>
      </w:r>
      <w:r>
        <w:t xml:space="preserve"> value now actively fires when scoring a company. The regulatory pillar's event_score path receives a synthetic violation impact for every (material, country) pair in CRMA's scope where the company's source concentration exceeds the cap, on the non-EU side.</w:t>
      </w:r>
    </w:p>
    <w:p>
      <w:pPr>
        <w:spacing w:after="120"/>
      </w:pPr>
      <w:r>
        <w:rPr>
          <w:b/>
          <w:bCs/>
        </w:rPr>
        <w:t xml:space="preserve">How it works:</w:t>
      </w:r>
    </w:p>
    <w:p>
      <w:pPr>
        <w:pStyle w:val="ListParagraph"/>
        <w:numPr>
          <w:ilvl w:val="0"/>
          <w:numId w:val="3"/>
        </w:numPr>
        <w:spacing w:after="80"/>
      </w:pPr>
      <w:r>
        <w:t xml:space="preserve">Bulk-query all verified regulations with single_country_cap_pct in metadata (just CRMA today).</w:t>
      </w:r>
    </w:p>
    <w:p>
      <w:pPr>
        <w:pStyle w:val="ListParagraph"/>
        <w:numPr>
          <w:ilvl w:val="0"/>
          <w:numId w:val="3"/>
        </w:numPr>
        <w:spacing w:after="80"/>
      </w:pPr>
      <w:r>
        <w:t xml:space="preserve">For each material in the regulation's scope, compute total exposure across all source_geography values for that material × company.</w:t>
      </w:r>
    </w:p>
    <w:p>
      <w:pPr>
        <w:pStyle w:val="ListParagraph"/>
        <w:numPr>
          <w:ilvl w:val="0"/>
          <w:numId w:val="3"/>
        </w:numPr>
        <w:spacing w:after="80"/>
      </w:pPr>
      <w:r>
        <w:t xml:space="preserve">For each source country (excluding EU member states + the 'EU' bloc code — CRMA targets non-EU concentration), compute the country's share of the company's total exposure for that material.</w:t>
      </w:r>
    </w:p>
    <w:p>
      <w:pPr>
        <w:pStyle w:val="ListParagraph"/>
        <w:numPr>
          <w:ilvl w:val="0"/>
          <w:numId w:val="3"/>
        </w:numPr>
        <w:spacing w:after="80"/>
      </w:pPr>
      <w:r>
        <w:t xml:space="preserve">If share &gt; 65%, emit a synthetic event_impact for the (regulation, material, country) tuple.</w:t>
      </w:r>
    </w:p>
    <w:p>
      <w:pPr>
        <w:pStyle w:val="ListParagraph"/>
        <w:numPr>
          <w:ilvl w:val="0"/>
          <w:numId w:val="3"/>
        </w:numPr>
        <w:spacing w:after="80"/>
      </w:pPr>
      <w:r>
        <w:t xml:space="preserve">Synthetic impacts flow through the existing top-3 averaging logic in the regulatory pillar's event_score path.</w:t>
      </w:r>
    </w:p>
    <w:p>
      <w:pPr>
        <w:spacing w:after="120"/>
      </w:pPr>
      <w:r>
        <w:t xml:space="preserve"/>
      </w:r>
    </w:p>
    <w:p>
      <w:pPr>
        <w:pBdr>
          <w:left w:val="single" w:color="1F3A5F" w:sz="12" w:space="12"/>
        </w:pBdr>
        <w:shd w:fill="F4F4F4" w:color="auto" w:val="clear"/>
        <w:spacing w:after="40" w:before="100"/>
        <w:ind w:left="240"/>
      </w:pPr>
      <w:r>
        <w:rPr>
          <w:b/>
          <w:bCs/>
          <w:color w:val="1F3A5F"/>
        </w:rPr>
        <w:t xml:space="preserve">WORKED EXAMPLE — Hypothetical EV automaker exceeding CRMA's nickel cap from Indonesia</w:t>
      </w:r>
    </w:p>
    <w:p>
      <w:pPr>
        <w:pBdr>
          <w:left w:val="single" w:color="1F3A5F" w:sz="12" w:space="12"/>
        </w:pBdr>
        <w:shd w:fill="F4F4F4" w:color="auto" w:val="clear"/>
        <w:spacing w:after="160" w:before="0"/>
        <w:ind w:left="240"/>
      </w:pPr>
      <w:r>
        <w:t xml:space="preserve">Company sources 75% of its nickel from Indonesia (the world's largest nickel producer, well over the 65% single-country cap). CRMA's material scope includes Nickel at strategic_raw_material; CRMA's geography scope now targets Indonesia among others. The single_country_cap_pct trigger fires:
Synthetic event impact = regulation_severity (0.70) × confidence (0.9) × recency (1.0) × relevance (1.30 max) = 0.819. This contribution is on TOP of CRMA's standing-obligation event (also 0.63 impact at base). So CRMA now contributes about 2× the impact for this company than it would have pre-v3, capturing the real qualitative bite of being structurally above CRMA's binding threshold for a strategic material.</w:t>
      </w:r>
    </w:p>
    <w:p>
      <w:pPr>
        <w:spacing w:after="120"/>
      </w:pPr>
      <w:r>
        <w:t xml:space="preserve"/>
      </w:r>
    </w:p>
    <w:p>
      <w:pPr>
        <w:spacing w:after="120"/>
      </w:pPr>
      <w:r>
        <w:rPr>
          <w:b/>
          <w:bCs/>
        </w:rPr>
        <w:t xml:space="preserve">The CRMA geography expansion in v3 makes this trigger consequential. </w:t>
      </w:r>
      <w:r>
        <w:t xml:space="preserve">v2 had CRMA targeting only China (CN). v3 expanded to {China, Indonesia, Chile, DRC, Russia} reflecting the actual single-non-EU-country supply concentration risks per critical mineral. So the trigger now fires for nickel-from-Indonesia (very common — 60%+ global share), cobalt-from-DRC (also common, 70%+ global share), lithium-from-Chile (less common but possible), PGMs-from-Russia, and any strategic material from China.</w:t>
      </w:r>
    </w:p>
    <w:p>
      <w:pPr>
        <w:pStyle w:val="Heading3"/>
        <w:spacing w:after="100" w:before="220"/>
      </w:pPr>
      <w:r>
        <w:t xml:space="preserve">Conditional geography intersection (introduced v2, expanded v3)</w:t>
      </w:r>
    </w:p>
    <w:p>
      <w:pPr>
        <w:spacing w:after="120"/>
      </w:pPr>
      <w:r>
        <w:t xml:space="preserve">When a regulation has </w:t>
      </w:r>
      <w:r>
        <w:rPr>
          <w:i/>
          <w:iCs/>
        </w:rPr>
        <w:t xml:space="preserve">targeted_country</w:t>
      </w:r>
      <w:r>
        <w:t xml:space="preserve"> geography scopes (e.g., UFLPA → CN-Xinjiang, OFAC sanctions → CN/RU/KP/IR, EU Conflict Minerals → CD), the regulation's per-material event impact only applies at full weight to companies whose supply chain actually overlaps with those targeted countries. Companies with NO overlap get the regulation's impact downweighted by 0.30× — still present (residual tier-2 sourcing exposure) but not full-bite.</w:t>
      </w:r>
    </w:p>
    <w:p>
      <w:pPr>
        <w:pBdr>
          <w:left w:val="single" w:color="1F3A5F" w:sz="12" w:space="12"/>
        </w:pBdr>
        <w:shd w:fill="F4F4F4" w:color="auto" w:val="clear"/>
        <w:spacing w:after="40" w:before="100"/>
        <w:ind w:left="240"/>
      </w:pPr>
      <w:r>
        <w:rPr>
          <w:b/>
          <w:bCs/>
          <w:color w:val="1F3A5F"/>
        </w:rPr>
        <w:t xml:space="preserve">WORKED EXAMPLE — UFLPA's cobalt event applied to two different companies</w:t>
      </w:r>
    </w:p>
    <w:p>
      <w:pPr>
        <w:pBdr>
          <w:left w:val="single" w:color="1F3A5F" w:sz="12" w:space="12"/>
        </w:pBdr>
        <w:shd w:fill="F4F4F4" w:color="auto" w:val="clear"/>
        <w:spacing w:after="160" w:before="0"/>
        <w:ind w:left="240"/>
      </w:pPr>
      <w:r>
        <w:t xml:space="preserve">Company A sources cobalt from the Democratic Republic of Congo via Chinese refiners in Hunan province. Has CN in source_geographies. UFLPA event applies at full weight: severity 0.70 × banned multiplier 1.50 = 1.05 → clamped 1.0 → impact ceiling ≈ 1.40.
Company B sources cobalt from Australia via Japanese refiners. Has no CN exposure. UFLPA event applies at 0.30× conditional downweight: 1.40 × 0.30 = 0.42 impact. Still present (because tier-2 supplier graph could reveal indirect Chinese exposure), but ~3.3× less than Company A's exposure to the same regulation. Reflects the real qualitative difference between the two companies' compliance risk.</w:t>
      </w:r>
    </w:p>
    <w:p>
      <w:pPr>
        <w:pStyle w:val="Heading3"/>
        <w:spacing w:after="100" w:before="220"/>
      </w:pPr>
      <w:r>
        <w:t xml:space="preserve">Status-change detection (NEW in v2)</w:t>
      </w:r>
    </w:p>
    <w:p>
      <w:pPr>
        <w:spacing w:after="120"/>
      </w:pPr>
      <w:r>
        <w:t xml:space="preserve">The parser detects when a regulation's lifecycle has changed since seed time. It reads three structured fields from EUR-Lex's bibliographic notice (Date of effect, Date of end of validity, Repealed by) and maps them to our internal status vocabulary using a priority-ordered rule:</w:t>
      </w:r>
    </w:p>
    <w:p>
      <w:pPr>
        <w:pStyle w:val="ListParagraph"/>
        <w:numPr>
          <w:ilvl w:val="0"/>
          <w:numId w:val="3"/>
        </w:numPr>
        <w:spacing w:after="80"/>
      </w:pPr>
      <w:r>
        <w:t xml:space="preserve">repealed_by_celex set → </w:t>
      </w:r>
      <w:r>
        <w:rPr>
          <w:b/>
          <w:bCs/>
        </w:rPr>
        <w:t xml:space="preserve">superseded</w:t>
      </w:r>
    </w:p>
    <w:p>
      <w:pPr>
        <w:pStyle w:val="ListParagraph"/>
        <w:numPr>
          <w:ilvl w:val="0"/>
          <w:numId w:val="3"/>
        </w:numPr>
        <w:spacing w:after="80"/>
      </w:pPr>
      <w:r>
        <w:t xml:space="preserve">date_of_end_of_validity in past → </w:t>
      </w:r>
      <w:r>
        <w:rPr>
          <w:b/>
          <w:bCs/>
        </w:rPr>
        <w:t xml:space="preserve">superseded</w:t>
      </w:r>
    </w:p>
    <w:p>
      <w:pPr>
        <w:pStyle w:val="ListParagraph"/>
        <w:numPr>
          <w:ilvl w:val="0"/>
          <w:numId w:val="3"/>
        </w:numPr>
        <w:spacing w:after="80"/>
      </w:pPr>
      <w:r>
        <w:t xml:space="preserve">date_of_effect in past → </w:t>
      </w:r>
      <w:r>
        <w:rPr>
          <w:b/>
          <w:bCs/>
        </w:rPr>
        <w:t xml:space="preserve">effective</w:t>
      </w:r>
    </w:p>
    <w:p>
      <w:pPr>
        <w:pStyle w:val="ListParagraph"/>
        <w:numPr>
          <w:ilvl w:val="0"/>
          <w:numId w:val="3"/>
        </w:numPr>
        <w:spacing w:after="80"/>
      </w:pPr>
      <w:r>
        <w:t xml:space="preserve">date_of_effect in future → </w:t>
      </w:r>
      <w:r>
        <w:rPr>
          <w:b/>
          <w:bCs/>
        </w:rPr>
        <w:t xml:space="preserve">enacted</w:t>
      </w:r>
    </w:p>
    <w:p>
      <w:pPr>
        <w:spacing w:after="120"/>
      </w:pPr>
      <w:r>
        <w:t xml:space="preserve">When detected status differs from stored Regulation.status, the parser writes a `status_review_pending` flag to metadata_json (does NOT auto-mutate the status). Partner reviews changes via the `list-regulation-status-changes` CLI command. The conservative design prevents EUR-Lex HTML quirks from silently changing severity calibration.</w:t>
      </w:r>
    </w:p>
    <w:p>
      <w:pPr>
        <w:pStyle w:val="Heading3"/>
        <w:spacing w:after="100" w:before="220"/>
      </w:pPr>
      <w:r>
        <w:t xml:space="preserve">Geography scope propagation (introduced v2, recalibrated v3)</w:t>
      </w:r>
    </w:p>
    <w:p>
      <w:pPr>
        <w:spacing w:after="120"/>
      </w:pPr>
      <w:r>
        <w:t xml:space="preserve">Each EU regulation's pre-curated geography scopes (jurisdiction / origin_country / targeted_country) propagate onto every regulation event as RiskEventGeography rows. Relevance per role type: 0.70 for jurisdiction, 0.85 for origin_country, 1.00 for targeted_country.</w:t>
      </w:r>
    </w:p>
    <w:p>
      <w:pPr>
        <w:spacing w:after="120"/>
      </w:pPr>
      <w:r>
        <w:rPr>
          <w:b/>
          <w:bCs/>
        </w:rPr>
        <w:t xml:space="preserve">v3 geography recalibration (Option C — hybrid). </w:t>
      </w:r>
      <w:r>
        <w:t xml:space="preserve">Partner direction in v3 applied the principle: use targeted_country only for sanctions-style regulations where the listed countries are exhaustive of where the regulation bites. Universal-application regulations (CBAM applies to all non-EU imports; EU Battery Reg applies universally to EU-market batteries) should not have targeted_country lists — listing only a subset caused the conditional-intersection logic to incorrectly downweight non-listed source geographies.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Regulation</w:t>
            </w:r>
          </w:p>
        </w:tc>
        <w:tc>
          <w:tcPr>
            <w:tcW w:type="dxa" w:w="63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Geography scopes (v3)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UFLPA (US)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(jurisdiction), CN (targeted — Xinjiang origin)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IRA Domestic Content (US)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(jurisdiction), CN/RU/KP/IR (targeted — official FEOC list)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CRMA 2024 (EU)</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(jurisdiction), CN, ID, CL, CD, RU (targeted) </w:t>
            </w:r>
            <w:r>
              <w:t xml:space="preserve">— v3 expanded from CN-only to reflect actual single-non-EU-country supply concentration risks per strategic material: CN (graphite, REEs, processed nickel), ID (nickel mining), CL (lithium), CD (cobalt mining), RU (PGMs, refined nickel)</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CBAM</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(jurisdiction) — </w:t>
            </w:r>
            <w:r>
              <w:rPr>
                <w:b/>
                <w:bCs/>
              </w:rPr>
              <w:t xml:space="preserve">v3 removed CN + RU targeted_country</w:t>
            </w:r>
            <w:r>
              <w:t xml:space="preserve"> because CBAM is universal trade-flow (applies to ALL non-EU imports of covered sectors), not sanctions-style. Previous targeting incorrectly downweighted Vietnam / Turkey / US sourcing.</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CSDDD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(jurisdiction), CD, CN (targeted) — kept per partner direction. The dual-targeting captures CSDDD's concentrated bite on high-risk supply geographies.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Conflict Minerals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(jurisdiction), CD (targeted — 3TG focus area)</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Battery Regulation 2023</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(jurisdiction) — no targeted_country, universal application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REACH (Cobalt)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(jurisdiction) — universal application within EU market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SEC Climate Disclosure (US)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(jurisdiction) — domestic disclosure, no foreign targeting</w:t>
            </w:r>
          </w:p>
        </w:tc>
      </w:tr>
    </w:tbl>
    <w:p>
      <w:pPr>
        <w:spacing w:after="120"/>
      </w:pPr>
      <w:r>
        <w:t xml:space="preserve"/>
      </w:r>
    </w:p>
    <w:p>
      <w:pPr>
        <w:pStyle w:val="Heading3"/>
        <w:spacing w:after="100" w:before="220"/>
      </w:pPr>
      <w:r>
        <w:t xml:space="preserve">Auto-staged suggested regulations queue (NEW in v3)</w:t>
      </w:r>
    </w:p>
    <w:p>
      <w:pPr>
        <w:spacing w:after="120"/>
      </w:pPr>
      <w:r>
        <w:t xml:space="preserve">v3 added an architectural mechanism for handling regulations the engine encounters but doesn't yet track in the curated roster. When the regulation alias resolver is asked to look up an external identifier (CELEX number, Federal Register doc number, etc.) that doesn't have an existing alias row — or has an alias row with no linked regulation — it can auto-create a verified=False placeholder regulation row plus an alias row pointing to it. These placeholders are invisible to scoring (the engine's </w:t>
      </w:r>
      <w:r>
        <w:rPr>
          <w:rFonts w:ascii="Consolas" w:cs="Consolas" w:eastAsia="Consolas" w:hAnsi="Consolas"/>
          <w:sz w:val="20"/>
          <w:szCs w:val="20"/>
        </w:rPr>
        <w:t xml:space="preserve">verified=True</w:t>
      </w:r>
      <w:r>
        <w:t xml:space="preserve"> filter excludes them) but accumulate in a partner-review queue.</w:t>
      </w:r>
    </w:p>
    <w:p>
      <w:pPr>
        <w:spacing w:after="120"/>
      </w:pPr>
      <w:r>
        <w:rPr>
          <w:b/>
          <w:bCs/>
        </w:rPr>
        <w:t xml:space="preserve">Workflow when an unknown regulation appears in ingest data:</w:t>
      </w:r>
    </w:p>
    <w:p>
      <w:pPr>
        <w:pStyle w:val="ListParagraph"/>
        <w:numPr>
          <w:ilvl w:val="0"/>
          <w:numId w:val="3"/>
        </w:numPr>
        <w:spacing w:after="80"/>
      </w:pPr>
      <w:r>
        <w:t xml:space="preserve">Ingester encounters an unknown external identifier (e.g., Federal Register publishes a new rule with no alias mapping).</w:t>
      </w:r>
    </w:p>
    <w:p>
      <w:pPr>
        <w:pStyle w:val="ListParagraph"/>
        <w:numPr>
          <w:ilvl w:val="0"/>
          <w:numId w:val="3"/>
        </w:numPr>
        <w:spacing w:after="80"/>
      </w:pPr>
      <w:r>
        <w:t xml:space="preserve">Resolver auto-creates a SUGGESTED_* regulation row with verified=False; alias row links the external ID to it.</w:t>
      </w:r>
    </w:p>
    <w:p>
      <w:pPr>
        <w:pStyle w:val="ListParagraph"/>
        <w:numPr>
          <w:ilvl w:val="0"/>
          <w:numId w:val="3"/>
        </w:numPr>
        <w:spacing w:after="80"/>
      </w:pPr>
      <w:r>
        <w:t xml:space="preserve">If the same external ID is encountered again on subsequent runs, the existing suggestion's observation_count increments and a sample-context snippet is appended (capped at 5 most-recent).</w:t>
      </w:r>
    </w:p>
    <w:p>
      <w:pPr>
        <w:pStyle w:val="ListParagraph"/>
        <w:numPr>
          <w:ilvl w:val="0"/>
          <w:numId w:val="3"/>
        </w:numPr>
        <w:spacing w:after="80"/>
      </w:pPr>
      <w:r>
        <w:t xml:space="preserve">Partner runs `bdi-ingest list-suggested-regulations` to view the queue sorted by observation_count (most-observed first).</w:t>
      </w:r>
    </w:p>
    <w:p>
      <w:pPr>
        <w:pStyle w:val="ListParagraph"/>
        <w:numPr>
          <w:ilvl w:val="0"/>
          <w:numId w:val="3"/>
        </w:numPr>
        <w:spacing w:after="80"/>
      </w:pPr>
      <w:r>
        <w:t xml:space="preserve">For each suggestion partner can: APPROVE (add to seed_regulations.py with the same regulation_key, re-seed — seed function promotes to verified=True), REJECT (mark alias is_skipped=True), or MERGE WITH EXISTING (rename regulation_key to match an existing canonical regulation).</w:t>
      </w:r>
    </w:p>
    <w:p>
      <w:pPr>
        <w:spacing w:after="120"/>
      </w:pPr>
      <w:r>
        <w:t xml:space="preserve"/>
      </w:r>
    </w:p>
    <w:p>
      <w:pPr>
        <w:spacing w:after="120"/>
      </w:pPr>
      <w:r>
        <w:rPr>
          <w:b/>
          <w:bCs/>
        </w:rPr>
        <w:t xml:space="preserve">Why it matters: </w:t>
      </w:r>
      <w:r>
        <w:t xml:space="preserve">The trust boundary (only verified=True regulations affect scoring) is preserved, but the engine no longer silently misses new regulations. Partner gets a queue ordered by signal density (observation_count) rather than having to read warning logs after every ingest run.</w:t>
      </w:r>
    </w:p>
    <w:p>
      <w:pPr>
        <w:pStyle w:val="Heading3"/>
        <w:spacing w:after="100" w:before="220"/>
      </w:pPr>
      <w:r>
        <w:t xml:space="preserve">Federal Register linkage to regulations (NEW in v3)</w:t>
      </w:r>
    </w:p>
    <w:p>
      <w:pPr>
        <w:spacing w:after="120"/>
      </w:pPr>
      <w:r>
        <w:t xml:space="preserve">v3 wires the Federal Register ingester to attempt linking every event to a canonical regulation via the alias table. Two paths:</w:t>
      </w:r>
    </w:p>
    <w:p>
      <w:pPr>
        <w:pStyle w:val="ListParagraph"/>
        <w:numPr>
          <w:ilvl w:val="0"/>
          <w:numId w:val="2"/>
        </w:numPr>
        <w:spacing w:after="80"/>
      </w:pPr>
      <w:r>
        <w:rPr>
          <w:b/>
          <w:bCs/>
        </w:rPr>
        <w:t xml:space="preserve">Resolve-only path (most FR documents). </w:t>
      </w:r>
      <w:r>
        <w:t xml:space="preserve">For lower-authority document types — Notices, Proposed Rules, most Presidential Documents — the FR ingester attempts to resolve the doc number against existing aliases. If found, the event links to the canonical regulation via RiskEventRegulation. If not found, no special action (these documents are typically enforcement actions under existing regulations, not new regulations).</w:t>
      </w:r>
    </w:p>
    <w:p>
      <w:pPr>
        <w:pStyle w:val="ListParagraph"/>
        <w:numPr>
          <w:ilvl w:val="0"/>
          <w:numId w:val="2"/>
        </w:numPr>
        <w:spacing w:after="80"/>
      </w:pPr>
      <w:r>
        <w:rPr>
          <w:b/>
          <w:bCs/>
        </w:rPr>
        <w:t xml:space="preserve">Resolve-or-stage path (high-authority document types only). </w:t>
      </w:r>
      <w:r>
        <w:t xml:space="preserve">For Rules, Interim Final Rules, Final Rules, and Executive Orders — document types that ARE typically new regulations themselves — the FR ingester additionally auto-stages a suggestion when the doc number is unknown. This populates the suggested-regulations queue from production ingest data, making partner curation roughly self-extending as new regulations are published.</w:t>
      </w:r>
    </w:p>
    <w:p>
      <w:pPr>
        <w:spacing w:after="120"/>
      </w:pPr>
      <w:r>
        <w:rPr>
          <w:b/>
          <w:bCs/>
        </w:rPr>
        <w:t xml:space="preserve">Initial alias seed (v3): </w:t>
      </w:r>
      <w:r>
        <w:t xml:space="preserve">The SEC Climate Disclosure rule received its two Federal Register doc numbers as aliases (2024-05137 for the original rule, 2024-07648 for the delay-of-effective-date stay notice). Discovered via a new </w:t>
      </w:r>
      <w:r>
        <w:rPr>
          <w:rFonts w:ascii="Consolas" w:cs="Consolas" w:eastAsia="Consolas" w:hAnsi="Consolas"/>
          <w:sz w:val="20"/>
          <w:szCs w:val="20"/>
        </w:rPr>
        <w:t xml:space="preserve">bdi-ingest discover-fr-regulation-aliases</w:t>
      </w:r>
      <w:r>
        <w:t xml:space="preserve"> command that searches FR API for documents matching tracked regulations using agency + free-text + doc-type filters. The discovery script has optional Haiku integration for filtering tangential mentions vs. genuine enforcement actions ($1-8 per full run when enabled, off by default).</w:t>
      </w:r>
    </w:p>
    <w:p>
      <w:pPr>
        <w:spacing w:after="120"/>
      </w:pPr>
      <w:r>
        <w:rPr>
          <w:i/>
          <w:iCs/>
        </w:rPr>
        <w:t xml:space="preserve">Federal Register alias coverage is still partial. UFLPA and IRA-related FR documents are not yet populated in the alias table — the discovery script is available to surface candidates, and the FR ingester will auto-stage any high-authority unknowns as suggestions for partner review. Closes the loop on the previous v2-noted gap where FR-derived UFLPA / SEC / IRA events weren't being linked to canonical regulation rows.</w:t>
      </w:r>
    </w:p>
    <w:p>
      <w:pPr>
        <w:pStyle w:val="Heading2"/>
        <w:spacing w:after="160" w:before="300"/>
      </w:pPr>
      <w:r>
        <w:t xml:space="preserve">Outstanding architectural questions on regulations</w:t>
      </w:r>
    </w:p>
    <w:p>
      <w:pPr>
        <w:pBdr>
          <w:left w:val="single" w:color="B14040" w:sz="18" w:space="12"/>
        </w:pBdr>
        <w:shd w:fill="FCEEEE" w:color="auto" w:val="clear"/>
        <w:spacing w:after="160" w:before="100"/>
        <w:ind w:left="240"/>
      </w:pPr>
      <w:r>
        <w:rPr>
          <w:b/>
          <w:bCs/>
          <w:color w:val="B14040"/>
        </w:rPr>
        <w:t xml:space="preserve">KNOWN GAP:  </w:t>
      </w:r>
      <w:r>
        <w:t xml:space="preserve">HS-level regulation scope. The current scope_type model is material-level only — a regulation can say "Cobalt is restricted" but cannot say "Cobalt ore (HS 2605) is banned but cobalt cathode active material (HS 2841) is only restricted." Adding HS-level scope would require a schema change (new RegulationHsScope table) plus partner curation per regulation. Deferred until a concrete forcing function (a stage-specific regulation we want to track).</w:t>
      </w:r>
    </w:p>
    <w:p>
      <w:pPr>
        <w:pBdr>
          <w:left w:val="single" w:color="B14040" w:sz="18" w:space="12"/>
        </w:pBdr>
        <w:shd w:fill="FCEEEE" w:color="auto" w:val="clear"/>
        <w:spacing w:after="160" w:before="100"/>
        <w:ind w:left="240"/>
      </w:pPr>
      <w:r>
        <w:rPr>
          <w:b/>
          <w:bCs/>
          <w:color w:val="B14040"/>
        </w:rPr>
        <w:t xml:space="preserve">KNOWN GAP:  </w:t>
      </w:r>
      <w:r>
        <w:t xml:space="preserve">EU Critical Raw Materials Act uses a custom scope_type 'strategic_raw_material' that was added to the engine in v2 at relevance 0.85 — between restricted and covered. This is partner-defensible but represents the model getting stretched by a regulation whose intent (supply-chain diversification targets) doesn't quite fit the original 4-level banned/restricted/covered/disclosure_required ladder. Future regulations with similar non-standard scopes may need their own ladder entries.</w:t>
      </w:r>
    </w:p>
    <w:p>
      <w:pPr>
        <w:pBdr>
          <w:left w:val="single" w:color="B14040" w:sz="18" w:space="12"/>
        </w:pBdr>
        <w:shd w:fill="FCEEEE" w:color="auto" w:val="clear"/>
        <w:spacing w:after="160" w:before="100"/>
        <w:ind w:left="240"/>
      </w:pPr>
      <w:r>
        <w:rPr>
          <w:b/>
          <w:bCs/>
          <w:color w:val="B14040"/>
        </w:rPr>
        <w:t xml:space="preserve">KNOWN GAP:  </w:t>
      </w:r>
      <w:r>
        <w:t xml:space="preserve">Multi-category tagging for regulations. Today every EUR-Lex regulation event is tagged only with `regulatory_compliance` risk category. But UFLPA events from FR get tagged with BOTH `regulatory_compliance` AND `operational` because customs seizure disrupts supply continuity. The same UFLPA regulation ingested via EUR-Lex would land with only `regulatory_compliance`. Adding multi-category to seed_regulations.py is a tracked follow-up — should CRMA-style regulations get both regulatory_compliance AND operational tagging?</w:t>
      </w:r>
    </w:p>
    <w:p>
      <w:r>
        <w:br w:type="page"/>
      </w:r>
    </w:p>
    <w:p>
      <w:pPr>
        <w:pStyle w:val="Heading1"/>
        <w:spacing w:after="240" w:before="400"/>
      </w:pPr>
      <w:r>
        <w:t xml:space="preserve">Part 7 — Other Event Categories (Future Versions)</w:t>
      </w:r>
    </w:p>
    <w:p>
      <w:pPr>
        <w:spacing w:after="120"/>
      </w:pPr>
      <w:r>
        <w:t xml:space="preserve">Future versions of this document will provide the same depth of coverage for the remaining event source categories. Brief framing here so the partner has the full landscape:</w:t>
      </w:r>
    </w:p>
    <w:p>
      <w:pPr>
        <w:pStyle w:val="Heading2"/>
        <w:spacing w:after="160" w:before="300"/>
      </w:pPr>
      <w:r>
        <w:t xml:space="preserve">Production data — USGS Mineral Commodity Summaries</w:t>
      </w:r>
    </w:p>
    <w:p>
      <w:pPr>
        <w:spacing w:after="120"/>
      </w:pPr>
      <w:r>
        <w:t xml:space="preserve">Annual production volumes by country and material, from USGS Mineral Commodity Summaries (MCS) PDFs and CSV exports. Feeds the Material Concentration pillar's concentration sub-input (HCG share calculation) and the market-level scoring layer's country_concentration sub-input. The 2026 MCS is the current data vintage.</w:t>
      </w:r>
    </w:p>
    <w:p>
      <w:pPr>
        <w:pStyle w:val="Heading2"/>
        <w:spacing w:after="160" w:before="300"/>
      </w:pPr>
      <w:r>
        <w:t xml:space="preserve">Trade volumes — UN Comtrade and US Census</w:t>
      </w:r>
    </w:p>
    <w:p>
      <w:pPr>
        <w:spacing w:after="120"/>
      </w:pPr>
      <w:r>
        <w:t xml:space="preserve">Bilateral trade flows between countries at HS-code granularity. Comtrade for global flows, US Census for higher-frequency US-bilateral flows. Used for global material rollup weighting and for the trade_volatility sub-input of Material Concentration.</w:t>
      </w:r>
    </w:p>
    <w:p>
      <w:pPr>
        <w:pStyle w:val="Heading2"/>
        <w:spacing w:after="160" w:before="300"/>
      </w:pPr>
      <w:r>
        <w:t xml:space="preserve">Prices — World Bank Pink Sheet</w:t>
      </w:r>
    </w:p>
    <w:p>
      <w:pPr>
        <w:spacing w:after="120"/>
      </w:pPr>
      <w:r>
        <w:t xml:space="preserve">Monthly commodity prices for ~30 critical-mineral commodities, plus REE oxide prices from USGS MCS Fig 10. Feeds the criticality and trade-volatility sub-inputs of Material Concentration.</w:t>
      </w:r>
    </w:p>
    <w:p>
      <w:pPr>
        <w:pStyle w:val="Heading2"/>
        <w:spacing w:after="160" w:before="300"/>
      </w:pPr>
      <w:r>
        <w:t xml:space="preserve">Company filings — SEC EDGAR</w:t>
      </w:r>
    </w:p>
    <w:p>
      <w:pPr>
        <w:spacing w:after="120"/>
      </w:pPr>
      <w:r>
        <w:t xml:space="preserve">10-K, 10-Q, and 8-K filings for tracked companies. Three classes of signal extracted: keyword/sentiment scoring of risk-factor sections (base filing signal), leverage/covenant warnings (leverage_warning_bonus), and going-concern / cash-runway / capex-cut language (liquidity_stress_bonus). Feeds the Financial Pressure pillar.</w:t>
      </w:r>
    </w:p>
    <w:p>
      <w:pPr>
        <w:pStyle w:val="Heading2"/>
        <w:spacing w:after="160" w:before="300"/>
      </w:pPr>
      <w:r>
        <w:t xml:space="preserve">Criticality signals</w:t>
      </w:r>
    </w:p>
    <w:p>
      <w:pPr>
        <w:spacing w:after="120"/>
      </w:pPr>
      <w:r>
        <w:t xml:space="preserve">A partner-curated bucket of materials flagged as critical by the US Department of Energy, EU Critical Raw Materials Act list, IEA Critical Minerals strategy, and similar designations. Used for the criticality sub-input of Material Concentration.</w:t>
      </w:r>
    </w:p>
    <w:p>
      <w:r>
        <w:br w:type="page"/>
      </w:r>
    </w:p>
    <w:p>
      <w:pPr>
        <w:pStyle w:val="Heading1"/>
        <w:spacing w:after="240" w:before="400"/>
      </w:pPr>
      <w:r>
        <w:t xml:space="preserve">Part 8 — Known Gaps and Outstanding Architectural Decisions</w:t>
      </w:r>
    </w:p>
    <w:p>
      <w:pPr>
        <w:spacing w:after="120"/>
      </w:pPr>
      <w:r>
        <w:t xml:space="preserve">Catalog of where the engine doesn't yet do what it ideally should, plus architectural decisions that are still being made. Each item is either: (a) a partner-curation gap, (b) a code/data gap that's tracked, or (c) an open architectural question.</w:t>
      </w:r>
    </w:p>
    <w:p>
      <w:pPr>
        <w:pStyle w:val="Heading2"/>
        <w:spacing w:after="160" w:before="300"/>
      </w:pPr>
      <w:r>
        <w:t xml:space="preserve">Source coverage gaps</w:t>
      </w:r>
    </w:p>
    <w:p>
      <w:pPr>
        <w:pBdr>
          <w:left w:val="single" w:color="B14040" w:sz="18" w:space="12"/>
        </w:pBdr>
        <w:shd w:fill="FCEEEE" w:color="auto" w:val="clear"/>
        <w:spacing w:after="160" w:before="100"/>
        <w:ind w:left="240"/>
      </w:pPr>
      <w:r>
        <w:rPr>
          <w:b/>
          <w:bCs/>
          <w:color w:val="B14040"/>
        </w:rPr>
        <w:t xml:space="preserve">KNOWN GAP:  </w:t>
      </w:r>
      <w:r>
        <w:t xml:space="preserve">Chinese policy at source. China dominates midstream refining of battery materials (60-80% of cathode/anode materials). MIIT, MOFCOM, and State Council policy changes can swing global supply risk overnight (2023 gallium/germanium controls, 2024 graphite licensing tightening). Today these signals reach the engine downstream — via GTA's trade-intervention tracking (1-4 weeks delayed) or via Federal Register Section 301 retaliation responses. The first-mover signal from original Chinese-language sources is missing. No clean English-language feed exists; options are a paid feed (Trivium China, Sinolytics, MERICS) or language-aware ingest infrastructure.</w:t>
      </w:r>
    </w:p>
    <w:p>
      <w:pPr>
        <w:pBdr>
          <w:left w:val="single" w:color="B14040" w:sz="18" w:space="12"/>
        </w:pBdr>
        <w:shd w:fill="FCEEEE" w:color="auto" w:val="clear"/>
        <w:spacing w:after="160" w:before="100"/>
        <w:ind w:left="240"/>
      </w:pPr>
      <w:r>
        <w:rPr>
          <w:b/>
          <w:bCs/>
          <w:color w:val="B14040"/>
        </w:rPr>
        <w:t xml:space="preserve">KNOWN GAP:  </w:t>
      </w:r>
      <w:r>
        <w:t xml:space="preserve">US state-level policy. California Advanced Clean Cars II (ACC II), state-level IRA implementation rules, state mining permits, NY-Buy Clean. The Federal Register only captures federal action; state-level policy is fragmented across 50 state registers with no consolidated feed. Worth revisiting when customers explicitly ask for state-level visibility.</w:t>
      </w:r>
    </w:p>
    <w:p>
      <w:pPr>
        <w:pBdr>
          <w:left w:val="single" w:color="B14040" w:sz="18" w:space="12"/>
        </w:pBdr>
        <w:shd w:fill="FCEEEE" w:color="auto" w:val="clear"/>
        <w:spacing w:after="160" w:before="100"/>
        <w:ind w:left="240"/>
      </w:pPr>
      <w:r>
        <w:rPr>
          <w:b/>
          <w:bCs/>
          <w:color w:val="B14040"/>
        </w:rPr>
        <w:t xml:space="preserve">KNOWN GAP:  </w:t>
      </w:r>
      <w:r>
        <w:t xml:space="preserve">Producer-country domestic policy beyond IEA's curation. Indonesia (nickel ore export ban + downstream-investment requirements), Democratic Republic of Congo (Code Minier 2018 revisions), Chile (lithium nationalization 2023), Argentina (lithium-province coordination), Australia (Critical Minerals Strategy implementations). Partially captured (IEA tracker has headline coverage, GTA captures trade-action surface) but implementing regulations and enforcement actions don't usually surface. Adding country-specific parsers for the top 5 producer countries is a per-country build.</w:t>
      </w:r>
    </w:p>
    <w:p>
      <w:pPr>
        <w:pBdr>
          <w:left w:val="single" w:color="B14040" w:sz="18" w:space="12"/>
        </w:pBdr>
        <w:shd w:fill="FCEEEE" w:color="auto" w:val="clear"/>
        <w:spacing w:after="160" w:before="100"/>
        <w:ind w:left="240"/>
      </w:pPr>
      <w:r>
        <w:rPr>
          <w:b/>
          <w:bCs/>
          <w:color w:val="B14040"/>
        </w:rPr>
        <w:t xml:space="preserve">KNOWN GAP:  </w:t>
      </w:r>
      <w:r>
        <w:t xml:space="preserve">Industry self-governance. IRMA (Initiative for Responsible Mining Assurance), Responsible Cobalt Initiative, OECD due-diligence guidance updates, Battery Pass consortium standards. Not state policy but regulatory-adjacent — particularly for customers facing ESG-disclosure pressure. Worth flagging because customer demand may drive prioritization.</w:t>
      </w:r>
    </w:p>
    <w:p>
      <w:pPr>
        <w:pStyle w:val="Heading2"/>
        <w:spacing w:after="160" w:before="300"/>
      </w:pPr>
      <w:r>
        <w:t xml:space="preserve">Calibration items pending partner input</w:t>
      </w:r>
    </w:p>
    <w:p>
      <w:pPr>
        <w:pBdr>
          <w:left w:val="single" w:color="B14040" w:sz="18" w:space="12"/>
        </w:pBdr>
        <w:shd w:fill="FCEEEE" w:color="auto" w:val="clear"/>
        <w:spacing w:after="160" w:before="100"/>
        <w:ind w:left="240"/>
      </w:pPr>
      <w:r>
        <w:rPr>
          <w:b/>
          <w:bCs/>
          <w:color w:val="B14040"/>
        </w:rPr>
        <w:t xml:space="preserve">KNOWN GAP:  </w:t>
      </w:r>
      <w:r>
        <w:t xml:space="preserve">GTA NFI/IFI severity multiplier. Currently × 1.00 for non-state-actor / international-financial-institution interventions. With EXPORT_SUBSIDY subtype now live, IFI grants (World Bank, IADB) feed the production_subsidy_distortion sub-input alongside national subsidies. They may deserve a discount to 0.5-0.7 because they're typically smaller and more conditional than national programs. Recalibration tracked but not yet implemented.</w:t>
      </w:r>
    </w:p>
    <w:p>
      <w:pPr>
        <w:pBdr>
          <w:left w:val="single" w:color="B14040" w:sz="18" w:space="12"/>
        </w:pBdr>
        <w:shd w:fill="FCEEEE" w:color="auto" w:val="clear"/>
        <w:spacing w:after="160" w:before="100"/>
        <w:ind w:left="240"/>
      </w:pPr>
      <w:r>
        <w:rPr>
          <w:b/>
          <w:bCs/>
          <w:color w:val="B14040"/>
        </w:rPr>
        <w:t xml:space="preserve">KNOWN GAP:  </w:t>
      </w:r>
      <w:r>
        <w:t xml:space="preserve">IEA Haiku 3-way gate. The Federal Register parser got a three-way Haiku confidence gate in v2 to handle low-confidence acceptances. The IEA Policy Tracker parser was not updated with the same fix — it still uses the binary gate where low-confidence Haiku acceptances slip through silently. Tracked follow-up.</w:t>
      </w:r>
    </w:p>
    <w:p>
      <w:pPr>
        <w:pBdr>
          <w:left w:val="single" w:color="B14040" w:sz="18" w:space="12"/>
        </w:pBdr>
        <w:shd w:fill="FCEEEE" w:color="auto" w:val="clear"/>
        <w:spacing w:after="160" w:before="100"/>
        <w:ind w:left="240"/>
      </w:pPr>
      <w:r>
        <w:rPr>
          <w:b/>
          <w:bCs/>
          <w:color w:val="B14040"/>
        </w:rPr>
        <w:t xml:space="preserve">KNOWN GAP:  </w:t>
      </w:r>
      <w:r>
        <w:t xml:space="preserve">OpenSanctions test failures. 6 pre-existing test failures from a stale signature mismatch in the _content_hash function. The parser is working in production but the tests need updating.</w:t>
      </w:r>
    </w:p>
    <w:p>
      <w:pPr>
        <w:pBdr>
          <w:left w:val="single" w:color="B14040" w:sz="18" w:space="12"/>
        </w:pBdr>
        <w:shd w:fill="FCEEEE" w:color="auto" w:val="clear"/>
        <w:spacing w:after="160" w:before="100"/>
        <w:ind w:left="240"/>
      </w:pPr>
      <w:r>
        <w:rPr>
          <w:b/>
          <w:bCs/>
          <w:color w:val="B14040"/>
        </w:rPr>
        <w:t xml:space="preserve">KNOWN GAP:  </w:t>
      </w:r>
      <w:r>
        <w:t xml:space="preserve">Positive-policy inversion. IEA tracks investment pledges and policy milestones as low-severity events that ADD to risk score (severity 0.10-0.20). Conceptually, a major investment in a US lithium project DECREASES supply-chain risk by diversifying away from concentrated geography. The engine does not currently invert these — they accrete positive severity rather than offsetting it. Parked pending a conversation about modeling 'risk-reducing' events without double-counting structural data the engine has already absorbed.</w:t>
      </w:r>
    </w:p>
    <w:p>
      <w:pPr>
        <w:pStyle w:val="Heading2"/>
        <w:spacing w:after="160" w:before="300"/>
      </w:pPr>
      <w:r>
        <w:t xml:space="preserve">Architectural follow-ups</w:t>
      </w:r>
    </w:p>
    <w:p>
      <w:pPr>
        <w:pBdr>
          <w:left w:val="single" w:color="B14040" w:sz="18" w:space="12"/>
        </w:pBdr>
        <w:shd w:fill="FCEEEE" w:color="auto" w:val="clear"/>
        <w:spacing w:after="160" w:before="100"/>
        <w:ind w:left="240"/>
      </w:pPr>
      <w:r>
        <w:rPr>
          <w:b/>
          <w:bCs/>
          <w:color w:val="B14040"/>
        </w:rPr>
        <w:t xml:space="preserve">KNOWN GAP:  </w:t>
      </w:r>
      <w:r>
        <w:t xml:space="preserve">Per-material HCG. Current HCG = {China, DRC, Russia} applied uniformly across all materials. Should it be per-material? Candidates: Indonesia for nickel (60%+ global share, recent policy shocks), Chile for lithium (2023 nationalization), Australia for lithium ore (~50% global), Myanmar for rare earths and tin. Per-material HCG would be more accurate but requires partner-curated mapping per material.</w:t>
      </w:r>
    </w:p>
    <w:p>
      <w:pPr>
        <w:pBdr>
          <w:left w:val="single" w:color="B14040" w:sz="18" w:space="12"/>
        </w:pBdr>
        <w:shd w:fill="FCEEEE" w:color="auto" w:val="clear"/>
        <w:spacing w:after="160" w:before="100"/>
        <w:ind w:left="240"/>
      </w:pPr>
      <w:r>
        <w:rPr>
          <w:b/>
          <w:bCs/>
          <w:color w:val="B14040"/>
        </w:rPr>
        <w:t xml:space="preserve">KNOWN GAP:  </w:t>
      </w:r>
      <w:r>
        <w:t xml:space="preserve">HS-level regulation scope. Today regulations declare material-level scopes only. A regulation cannot express "cobalt ore is banned but cobalt cathode active material is only restricted." Adding HS-level granularity requires schema migration + partner curation per regulation. Deferred until concrete forcing function — likely a stage-specific regulation we want to track (EU's upcoming end-of-life vehicle directive amendments are likely candidates).</w:t>
      </w:r>
    </w:p>
    <w:p>
      <w:pPr>
        <w:pBdr>
          <w:left w:val="single" w:color="B14040" w:sz="18" w:space="12"/>
        </w:pBdr>
        <w:shd w:fill="FCEEEE" w:color="auto" w:val="clear"/>
        <w:spacing w:after="160" w:before="100"/>
        <w:ind w:left="240"/>
      </w:pPr>
      <w:r>
        <w:rPr>
          <w:b/>
          <w:bCs/>
          <w:color w:val="B14040"/>
        </w:rPr>
        <w:t xml:space="preserve">KNOWN GAP:  </w:t>
      </w:r>
      <w:r>
        <w:t xml:space="preserve">Operational pillar event coverage. Today almost no events get tagged SINGLE_SOURCE or CAPACITY_CONSTRAINT — none of the four policy sources or the regulation parser produce these subtypes. These would come from news/event sources (force majeure declarations, accident reports, capacity-tightening announcements) we haven't built yet. Operational pillar's structural_dependency mostly defaults to 0.3 today.</w:t>
      </w:r>
    </w:p>
    <w:p>
      <w:pPr>
        <w:pBdr>
          <w:left w:val="single" w:color="B14040" w:sz="18" w:space="12"/>
        </w:pBdr>
        <w:shd w:fill="FCEEEE" w:color="auto" w:val="clear"/>
        <w:spacing w:after="160" w:before="100"/>
        <w:ind w:left="240"/>
      </w:pPr>
      <w:r>
        <w:rPr>
          <w:b/>
          <w:bCs/>
          <w:color w:val="B14040"/>
        </w:rPr>
        <w:t xml:space="preserve">KNOWN GAP:  </w:t>
      </w:r>
      <w:r>
        <w:t xml:space="preserve">Scoring methodology UI page. A /data/scoring page in the frontend was intended to expose the methodology in this document to platform users directly. Deferred until scoring approach stabilises (which v2 brings closer). Building it would let the methodology travel with the product itself.</w:t>
      </w:r>
    </w:p>
    <w:p>
      <w:pPr>
        <w:pBdr>
          <w:left w:val="single" w:color="B14040" w:sz="18" w:space="12"/>
        </w:pBdr>
        <w:shd w:fill="FCEEEE" w:color="auto" w:val="clear"/>
        <w:spacing w:after="160" w:before="100"/>
        <w:ind w:left="240"/>
      </w:pPr>
      <w:r>
        <w:rPr>
          <w:b/>
          <w:bCs/>
          <w:color w:val="B14040"/>
        </w:rPr>
        <w:t xml:space="preserve">KNOWN GAP:  </w:t>
      </w:r>
      <w:r>
        <w:t xml:space="preserve">Phase 5 company overlay. The Supply Chain Propagation pillar (15% of company score) requires a per-company supplier graph that doesn't exist for most companies today. This is the path Phase 5 of the platform will fully build out. Build sequence: materials foundation → facility-ownership layer → company-facility ownership graph → Phase 5 customer overlay. Currently the propagation pillar produces None for most companies and the other five pillars renormalize.</w:t>
      </w:r>
    </w:p>
    <w:p>
      <w:r>
        <w:br w:type="page"/>
      </w:r>
    </w:p>
    <w:p>
      <w:pPr>
        <w:pStyle w:val="Heading1"/>
        <w:spacing w:after="240" w:before="400"/>
      </w:pPr>
      <w:r>
        <w:t xml:space="preserve">Part 9 — Consolidated Questions for Partner Input</w:t>
      </w:r>
    </w:p>
    <w:p>
      <w:pPr>
        <w:spacing w:after="120"/>
      </w:pPr>
      <w:r>
        <w:t xml:space="preserve">This section gathers every PARTNER INPUT REQUESTED callout from earlier sections in one place. Each question identifies a specific weight, threshold, or design choice in the engine where your domain judgment is more authoritative than the current implementation. Use whatever annotation method works for you.</w:t>
      </w:r>
    </w:p>
    <w:p>
      <w:pPr>
        <w:pStyle w:val="Heading2"/>
        <w:spacing w:after="160" w:before="300"/>
      </w:pPr>
      <w:r>
        <w:t xml:space="preserve">Top-level pillar weights</w:t>
      </w:r>
    </w:p>
    <w:p>
      <w:pPr>
        <w:pStyle w:val="ListParagraph"/>
        <w:numPr>
          <w:ilvl w:val="0"/>
          <w:numId w:val="3"/>
        </w:numPr>
        <w:spacing w:after="80"/>
      </w:pPr>
      <w:r>
        <w:t xml:space="preserve">Are the pillar weights (Material 25%, Geopolitical 20%, Regulatory 20%, Propagation 15%, Operational 10%, Financial 10%) defensible for your customer base? Specifically, should Geopolitical carry more weight given the current trade environment? Should Material's 25% be even larger given supply concentration is the fundamental driver?</w:t>
      </w:r>
    </w:p>
    <w:p>
      <w:pPr>
        <w:pStyle w:val="ListParagraph"/>
        <w:numPr>
          <w:ilvl w:val="0"/>
          <w:numId w:val="3"/>
        </w:numPr>
        <w:spacing w:after="80"/>
      </w:pPr>
      <w:r>
        <w:t xml:space="preserve">The HCG (high-concentration-geography) country set is currently fixed at {China, DRC, Russia}. Should it be expanded to include Indonesia (nickel), Chile (lithium), Australia (lithium ore), or Myanmar (rare earths, tin)? Should the set be per-material rather than global?</w:t>
      </w:r>
    </w:p>
    <w:p>
      <w:pPr>
        <w:pStyle w:val="ListParagraph"/>
        <w:numPr>
          <w:ilvl w:val="0"/>
          <w:numId w:val="3"/>
        </w:numPr>
        <w:spacing w:after="80"/>
      </w:pPr>
      <w:r>
        <w:t xml:space="preserve">Global material score rollup is weighted by trade-flow export value. Should consumption-weighted (which would shift weight toward Chinese refined demand) be the default instead, or available as an alternative view?</w:t>
      </w:r>
    </w:p>
    <w:p>
      <w:pPr>
        <w:pStyle w:val="Heading2"/>
        <w:spacing w:after="160" w:before="300"/>
      </w:pPr>
      <w:r>
        <w:t xml:space="preserve">Material Concentration pillar</w:t>
      </w:r>
    </w:p>
    <w:p>
      <w:pPr>
        <w:pStyle w:val="ListParagraph"/>
        <w:numPr>
          <w:ilvl w:val="0"/>
          <w:numId w:val="3"/>
        </w:numPr>
        <w:spacing w:after="80"/>
      </w:pPr>
      <w:r>
        <w:t xml:space="preserve">Criticality (35%) and concentration (35%) are equally weighted. Should criticality dominate more aggressively, so that a company exposed to a critical mineral scores higher than one with the same geographic concentration but in a less critical material?</w:t>
      </w:r>
    </w:p>
    <w:p>
      <w:pPr>
        <w:pStyle w:val="Heading2"/>
        <w:spacing w:after="160" w:before="300"/>
      </w:pPr>
      <w:r>
        <w:t xml:space="preserve">Geopolitical / Trade pillar</w:t>
      </w:r>
    </w:p>
    <w:p>
      <w:pPr>
        <w:pStyle w:val="ListParagraph"/>
        <w:numPr>
          <w:ilvl w:val="0"/>
          <w:numId w:val="3"/>
        </w:numPr>
        <w:spacing w:after="80"/>
      </w:pPr>
      <w:r>
        <w:t xml:space="preserve">Country concentration at 40% is the largest single sub-input in the entire engine. Is 40% the right weight? The two halves of country-concentration (source-geo HCG share vs facility-country HCG share) are weighted equally — does that correctly capture risk for a company that processes in a 'safe' country but sources from HCG?</w:t>
      </w:r>
    </w:p>
    <w:p>
      <w:pPr>
        <w:pStyle w:val="ListParagraph"/>
        <w:numPr>
          <w:ilvl w:val="0"/>
          <w:numId w:val="3"/>
        </w:numPr>
        <w:spacing w:after="80"/>
      </w:pPr>
      <w:r>
        <w:t xml:space="preserve">Production subsidy distortion currently weights 10% when present. Given that Chinese REE state aid has structurally undercut Western refiners for two decades, should this weight be larger?</w:t>
      </w:r>
    </w:p>
    <w:p>
      <w:pPr>
        <w:pStyle w:val="Heading2"/>
        <w:spacing w:after="160" w:before="300"/>
      </w:pPr>
      <w:r>
        <w:t xml:space="preserve">Regulatory &amp; Compliance pillar</w:t>
      </w:r>
    </w:p>
    <w:p>
      <w:pPr>
        <w:pStyle w:val="ListParagraph"/>
        <w:numPr>
          <w:ilvl w:val="0"/>
          <w:numId w:val="3"/>
        </w:numPr>
        <w:spacing w:after="80"/>
      </w:pPr>
      <w:r>
        <w:t xml:space="preserve">Obligation weights (UFLPA 25, EU Battery Reg 20, CRMA 15, IRA Domestic 15, CSDDD 10, REACH-Cobalt 8, CBAM 5, EU Conflict Minerals 3) — are these right? Should UFLPA be even higher given the customs-seizure consequence? Should IRA Domestic Content be higher than EU Battery Reg given the competitive-pricing impact?</w:t>
      </w:r>
    </w:p>
    <w:p>
      <w:pPr>
        <w:pStyle w:val="ListParagraph"/>
        <w:numPr>
          <w:ilvl w:val="0"/>
          <w:numId w:val="3"/>
        </w:numPr>
        <w:spacing w:after="80"/>
      </w:pPr>
      <w:r>
        <w:t xml:space="preserve">Status multipliers: non-compliant × 1.00, unknown × 0.50, partial × 0.40, compliant × 0.00. Is 'unknown × 0.50' the right penalty for missing information, or should it be more aggressive (e.g., 0.75)?</w:t>
      </w:r>
    </w:p>
    <w:p>
      <w:pPr>
        <w:pStyle w:val="ListParagraph"/>
        <w:numPr>
          <w:ilvl w:val="0"/>
          <w:numId w:val="3"/>
        </w:numPr>
        <w:spacing w:after="80"/>
      </w:pPr>
      <w:r>
        <w:t xml:space="preserve">The split between event_score (max 60) and obligation_uplift (max 40) implies structural legal obligations dominate over recent rulemaking. Is that right? An alternative: a major new regulatory action like the EU CRMA stage-2 should dominate the pillar score in the months after it lands.</w:t>
      </w:r>
    </w:p>
    <w:p>
      <w:pPr>
        <w:pStyle w:val="ListParagraph"/>
        <w:numPr>
          <w:ilvl w:val="0"/>
          <w:numId w:val="3"/>
        </w:numPr>
        <w:spacing w:after="80"/>
      </w:pPr>
      <w:r>
        <w:t xml:space="preserve">Per-regulation severity overrides — should we apply any now? Candidates: UFLPA → 0.85 (customs-seizure), EU Battery Reg → 0.80 (recycled-content thresholds), EU Conflict Minerals → 0.50 (softest binding).</w:t>
      </w:r>
    </w:p>
    <w:p>
      <w:pPr>
        <w:pStyle w:val="ListParagraph"/>
        <w:numPr>
          <w:ilvl w:val="0"/>
          <w:numId w:val="3"/>
        </w:numPr>
        <w:spacing w:after="80"/>
      </w:pPr>
      <w:r>
        <w:t xml:space="preserve">Scope_type re-curation. The 4-level ladder is barely used in current seeds — most regulations are at 'covered' or 'disclosure_required.' Should UFLPA's cobalt move from 'covered' to 'banned'? Should EU Battery Reg's materials move from 'disclosure_required' to 'restricted' to reflect the recycled-content threshold bite?</w:t>
      </w:r>
    </w:p>
    <w:p>
      <w:pPr>
        <w:pStyle w:val="ListParagraph"/>
        <w:numPr>
          <w:ilvl w:val="0"/>
          <w:numId w:val="3"/>
        </w:numPr>
        <w:spacing w:after="80"/>
      </w:pPr>
      <w:r>
        <w:t xml:space="preserve">Multi-category regulation tagging. Today every EUR-Lex regulation event is tagged only with 'regulatory_compliance.' Should regulations with supply-disruption potential (CRMA's strategic stockpiling, UFLPA via EUR-Lex if we ever ingest it that way) also get 'operational' category tagging?</w:t>
      </w:r>
    </w:p>
    <w:p>
      <w:pPr>
        <w:pStyle w:val="Heading2"/>
        <w:spacing w:after="160" w:before="300"/>
      </w:pPr>
      <w:r>
        <w:t xml:space="preserve">Supply Chain Propagation pillar</w:t>
      </w:r>
    </w:p>
    <w:p>
      <w:pPr>
        <w:pStyle w:val="ListParagraph"/>
        <w:numPr>
          <w:ilvl w:val="0"/>
          <w:numId w:val="3"/>
        </w:numPr>
        <w:spacing w:after="80"/>
      </w:pPr>
      <w:r>
        <w:t xml:space="preserve">Tier 2 weighted at 40% of Tier 1 is a reasonable mid-point but unscientific. What's your view — Tier 2 at 50-60% ("the supplier-of-your-supplier shock IS the shock that hits you, just delayed") or 20-30% ("your direct supplier already builds tier-2 risk into pricing and dual-sourcing")?</w:t>
      </w:r>
    </w:p>
    <w:p>
      <w:pPr>
        <w:pStyle w:val="Heading2"/>
        <w:spacing w:after="160" w:before="300"/>
      </w:pPr>
      <w:r>
        <w:t xml:space="preserve">Operational pillar</w:t>
      </w:r>
    </w:p>
    <w:p>
      <w:pPr>
        <w:pStyle w:val="ListParagraph"/>
        <w:numPr>
          <w:ilvl w:val="0"/>
          <w:numId w:val="3"/>
        </w:numPr>
        <w:spacing w:after="80"/>
      </w:pPr>
      <w:r>
        <w:t xml:space="preserve">Event-impact rollup at 60% means recent disruption events dominate over structural dependency. Is that right, or should structural fragility (single-source, capacity constraints) dominate?</w:t>
      </w:r>
    </w:p>
    <w:p>
      <w:pPr>
        <w:pStyle w:val="Heading2"/>
        <w:spacing w:after="160" w:before="300"/>
      </w:pPr>
      <w:r>
        <w:t xml:space="preserve">Recency decay</w:t>
      </w:r>
    </w:p>
    <w:p>
      <w:pPr>
        <w:pStyle w:val="ListParagraph"/>
        <w:numPr>
          <w:ilvl w:val="0"/>
          <w:numId w:val="3"/>
        </w:numPr>
        <w:spacing w:after="80"/>
      </w:pPr>
      <w:r>
        <w:t xml:space="preserve">Operational events use a 90-day half-life — a 6-month-old shock contributes ~25% of its weight. Is that right? An automotive plant fire might affect supply for 18+ months; a port strike resolves in weeks.</w:t>
      </w:r>
    </w:p>
    <w:p>
      <w:pPr>
        <w:pStyle w:val="ListParagraph"/>
        <w:numPr>
          <w:ilvl w:val="0"/>
          <w:numId w:val="3"/>
        </w:numPr>
        <w:spacing w:after="80"/>
      </w:pPr>
      <w:r>
        <w:t xml:space="preserve">Geopolitical events floor at 60% of their original weight after two years. Section 301 China tariffs have stuck around for years. But narrower interventions may have resolved enough that 60% is too high.</w:t>
      </w:r>
    </w:p>
    <w:p>
      <w:pPr>
        <w:pStyle w:val="Heading2"/>
        <w:spacing w:after="160" w:before="300"/>
      </w:pPr>
      <w:r>
        <w:t xml:space="preserve">GTA-specific</w:t>
      </w:r>
    </w:p>
    <w:p>
      <w:pPr>
        <w:pStyle w:val="ListParagraph"/>
        <w:numPr>
          <w:ilvl w:val="0"/>
          <w:numId w:val="3"/>
        </w:numPr>
        <w:spacing w:after="80"/>
      </w:pPr>
      <w:r>
        <w:t xml:space="preserve">'Export ban' base severity 0.90 vs 'other Red intervention' 0.70 is a 28% premium. Is that right? Classification depends on title text containing 'ban' AND 'export'; an unlimited export quota that's de-facto a ban won't hit the threshold.</w:t>
      </w:r>
    </w:p>
    <w:p>
      <w:pPr>
        <w:pStyle w:val="ListParagraph"/>
        <w:numPr>
          <w:ilvl w:val="0"/>
          <w:numId w:val="3"/>
        </w:numPr>
        <w:spacing w:after="80"/>
      </w:pPr>
      <w:r>
        <w:t xml:space="preserve">The horizontal multiplier (× 0.65) discounts cross-product policies. Is this dampening right, or do large horizontal policies still meaningfully hit battery manufacturing?</w:t>
      </w:r>
    </w:p>
    <w:p>
      <w:pPr>
        <w:pStyle w:val="ListParagraph"/>
        <w:numPr>
          <w:ilvl w:val="0"/>
          <w:numId w:val="3"/>
        </w:numPr>
        <w:spacing w:after="80"/>
      </w:pPr>
      <w:r>
        <w:t xml:space="preserve">GTA's NFI/IFI multiplier currently × 1.00. Should IFI grants (World Bank, IADB) be discounted to 0.5-0.7?</w:t>
      </w:r>
    </w:p>
    <w:p>
      <w:pPr>
        <w:pStyle w:val="Heading2"/>
        <w:spacing w:after="160" w:before="300"/>
      </w:pPr>
      <w:r>
        <w:t xml:space="preserve">IEA-specific</w:t>
      </w:r>
    </w:p>
    <w:p>
      <w:pPr>
        <w:pStyle w:val="ListParagraph"/>
        <w:numPr>
          <w:ilvl w:val="0"/>
          <w:numId w:val="3"/>
        </w:numPr>
        <w:spacing w:after="80"/>
      </w:pPr>
      <w:r>
        <w:t xml:space="preserve">The 0.20 severity ceiling for IEA events means even major regulatory developments like the EU CRMA carry less than 1/4 the weight of a single OFAC sanctions notice via IEA's path. Calibration right, or should structural policy events like CRMA carry more weight through this path?</w:t>
      </w:r>
    </w:p>
    <w:p>
      <w:pPr>
        <w:pStyle w:val="Heading2"/>
        <w:spacing w:after="160" w:before="300"/>
      </w:pPr>
      <w:r>
        <w:t xml:space="preserve">Federal Register-specific</w:t>
      </w:r>
    </w:p>
    <w:p>
      <w:pPr>
        <w:pStyle w:val="ListParagraph"/>
        <w:numPr>
          <w:ilvl w:val="0"/>
          <w:numId w:val="3"/>
        </w:numPr>
        <w:spacing w:after="80"/>
      </w:pPr>
      <w:r>
        <w:t xml:space="preserve">Query-level boosts vary from 0.00 to +0.20. Presidential_critical_mineral and mining_minerals queries get 0.00 boost. Should presidential actions on critical minerals get a non-zero boost since they're high-authority?</w:t>
      </w:r>
    </w:p>
    <w:p>
      <w:pPr>
        <w:pStyle w:val="ListParagraph"/>
        <w:numPr>
          <w:ilvl w:val="0"/>
          <w:numId w:val="3"/>
        </w:numPr>
        <w:spacing w:after="80"/>
      </w:pPr>
      <w:r>
        <w:t xml:space="preserve">Keyword boost cap of +0.22 means documents with 3+ high-signal keywords don't get additional credit. Should documents matching 3+ keywords (suggesting genuine focus) get more boost?</w:t>
      </w:r>
    </w:p>
    <w:p>
      <w:pPr>
        <w:pStyle w:val="Heading2"/>
        <w:spacing w:after="160" w:before="300"/>
      </w:pPr>
      <w:r>
        <w:t xml:space="preserve">OpenSanctions-specific</w:t>
      </w:r>
    </w:p>
    <w:p>
      <w:pPr>
        <w:pStyle w:val="ListParagraph"/>
        <w:numPr>
          <w:ilvl w:val="0"/>
          <w:numId w:val="3"/>
        </w:numPr>
        <w:spacing w:after="80"/>
      </w:pPr>
      <w:r>
        <w:t xml:space="preserve">Geography_sanctions_exposure severity formula: min(1.0, count / 500). Is 500 the right denominator? Smaller-but-significant sanctioned countries (Iran, North Korea) might warrant denominator 250 to fire at higher severity.</w:t>
      </w:r>
    </w:p>
    <w:p>
      <w:pPr>
        <w:pStyle w:val="ListParagraph"/>
        <w:numPr>
          <w:ilvl w:val="0"/>
          <w:numId w:val="3"/>
        </w:numPr>
        <w:spacing w:after="80"/>
      </w:pPr>
      <w:r>
        <w:t xml:space="preserve">The 5% production-share threshold for geography_sanctions_exposure material attribution. China's cobalt holding (~4%) just misses the cutoff. Should the floor be lower (3%) so we capture meaningful-but-not-dominant exposures?</w:t>
      </w:r>
    </w:p>
    <w:p>
      <w:pPr>
        <w:pStyle w:val="Heading2"/>
        <w:spacing w:after="160" w:before="300"/>
      </w:pPr>
      <w:r>
        <w:t xml:space="preserve">EUR-Lex-specific (NEW)</w:t>
      </w:r>
    </w:p>
    <w:p>
      <w:pPr>
        <w:pStyle w:val="ListParagraph"/>
        <w:numPr>
          <w:ilvl w:val="0"/>
          <w:numId w:val="3"/>
        </w:numPr>
        <w:spacing w:after="80"/>
      </w:pPr>
      <w:r>
        <w:t xml:space="preserve">Conditional scope downweight: 0.30× when a company has no overlap with regulation's targeted countries. Is 30% the right residual weight, or should it be lower (15-20% to express "barely matters") or higher (40-50% to express "tier-2 exposure is meaningful")?</w:t>
      </w:r>
    </w:p>
    <w:p>
      <w:pPr>
        <w:pStyle w:val="ListParagraph"/>
        <w:numPr>
          <w:ilvl w:val="0"/>
          <w:numId w:val="3"/>
        </w:numPr>
        <w:spacing w:after="80"/>
      </w:pPr>
      <w:r>
        <w:t xml:space="preserve">Geography role relevances (jurisdiction 0.70, origin_country 0.85, targeted_country 1.00) — are these right? Should jurisdiction carry less weight (because EU-wide laws apply broadly) and targeted_country more (because it's the most specific bite)?</w:t>
      </w:r>
    </w:p>
    <w:p>
      <w:pPr>
        <w:pStyle w:val="ListParagraph"/>
        <w:numPr>
          <w:ilvl w:val="0"/>
          <w:numId w:val="3"/>
        </w:numPr>
        <w:spacing w:after="80"/>
      </w:pPr>
      <w:r>
        <w:t xml:space="preserve">Status detection auto-applies a `status_review_pending` flag — should there ever be a path where partner explicitly enables auto-mutation of status (after a partner-confirmed schema for what counts as a high-confidence change)?</w:t>
      </w:r>
    </w:p>
    <w:p>
      <w:pPr>
        <w:pStyle w:val="ListParagraph"/>
        <w:numPr>
          <w:ilvl w:val="0"/>
          <w:numId w:val="3"/>
        </w:numPr>
        <w:spacing w:after="80"/>
      </w:pPr>
      <w:r>
        <w:t xml:space="preserve">Regulation summary length — currently 2500 characters captures preamble + first 1-3 operative articles. Is that the right read-length for the UI's regulation-detail view? Should we bump higher (5000+) when we build a dedicated regulation-detail page?</w:t>
      </w:r>
    </w:p>
    <w:p>
      <w:r>
        <w:br w:type="page"/>
      </w:r>
    </w:p>
    <w:p>
      <w:pPr>
        <w:pStyle w:val="Heading1"/>
        <w:spacing w:after="240" w:before="400"/>
      </w:pPr>
      <w:r>
        <w:t xml:space="preserve">Appendix A — All Numeric Weights in One Place</w:t>
      </w:r>
    </w:p>
    <w:p>
      <w:pPr>
        <w:spacing w:after="120"/>
      </w:pPr>
      <w:r>
        <w:t xml:space="preserve">Reference list of every numeric constant in the scoring engine. Use this to look up any specific weight referenced elsewhere in the document.</w:t>
      </w:r>
    </w:p>
    <w:p>
      <w:pPr>
        <w:pStyle w:val="Heading2"/>
        <w:spacing w:after="160" w:before="300"/>
      </w:pPr>
      <w:r>
        <w:t xml:space="preserve">Pillar combination weights (company-level)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Pillar</w:t>
            </w:r>
          </w:p>
        </w:tc>
        <w:tc>
          <w:tcPr>
            <w:tcW w:type="dxa" w:w="47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Concentration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Geopolitical / Trade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Regulatory &amp; Compliance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Supply Chain Propagation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Operational</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Financial Pressure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w:t>
            </w:r>
          </w:p>
        </w:tc>
      </w:tr>
    </w:tbl>
    <w:p>
      <w:pPr>
        <w:spacing w:after="120"/>
      </w:pPr>
      <w:r>
        <w:t xml:space="preserve"/>
      </w:r>
    </w:p>
    <w:p>
      <w:pPr>
        <w:pStyle w:val="Heading2"/>
        <w:spacing w:after="160" w:before="300"/>
      </w:pPr>
      <w:r>
        <w:t xml:space="preserve">Material Concentration sub-inputs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47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Criticality</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Concentration (HCG share)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Trade volatility (event-driven)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0.30</w:t>
            </w:r>
          </w:p>
        </w:tc>
      </w:tr>
    </w:tbl>
    <w:p>
      <w:pPr>
        <w:spacing w:after="120"/>
      </w:pPr>
      <w:r>
        <w:t xml:space="preserve"/>
      </w:r>
    </w:p>
    <w:p>
      <w:pPr>
        <w:pStyle w:val="Heading2"/>
        <w:spacing w:after="160" w:before="300"/>
      </w:pPr>
      <w:r>
        <w:t xml:space="preserve">Geopolitical sub-inputs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3-comp</w:t>
            </w:r>
          </w:p>
        </w:tc>
        <w:tc>
          <w:tcPr>
            <w:tcW w:type="dxa" w:w="2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4-comp</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Country concentration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c>
          <w:tcPr>
            <w:tcW w:type="dxa" w:w="24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Export restriction exposure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0.35</w:t>
            </w:r>
          </w:p>
        </w:tc>
        <w:tc>
          <w:tcPr>
            <w:tcW w:type="dxa" w:w="24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Tariff exposure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0.25</w:t>
            </w:r>
          </w:p>
        </w:tc>
        <w:tc>
          <w:tcPr>
            <w:tcW w:type="dxa" w:w="24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Production subsidy distortion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w:t>
            </w:r>
          </w:p>
        </w:tc>
        <w:tc>
          <w:tcPr>
            <w:tcW w:type="dxa" w:w="24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w:t>
            </w:r>
          </w:p>
        </w:tc>
      </w:tr>
    </w:tbl>
    <w:p>
      <w:pPr>
        <w:spacing w:after="120"/>
      </w:pPr>
      <w:r>
        <w:t xml:space="preserve"/>
      </w:r>
    </w:p>
    <w:p>
      <w:pPr>
        <w:pStyle w:val="Heading2"/>
        <w:spacing w:after="160" w:before="300"/>
      </w:pPr>
      <w:r>
        <w:t xml:space="preserve">Regulatory pillar</w:t>
      </w:r>
    </w:p>
    <w:p>
      <w:pPr>
        <w:spacing w:after="120"/>
      </w:pPr>
      <w:r>
        <w:rPr>
          <w:b/>
          <w:bCs/>
        </w:rPr>
        <w:t xml:space="preserve">Structure: </w:t>
      </w:r>
      <w:r>
        <w:t xml:space="preserve">event_score (0-60) + obligation_uplift (0-40), capped at 100.</w:t>
      </w:r>
    </w:p>
    <w:p>
      <w:pPr>
        <w:spacing w:after="120"/>
      </w:pPr>
      <w:r>
        <w:rPr>
          <w:b/>
          <w:bCs/>
        </w:rPr>
        <w:t xml:space="preserve">Policy proximity adjustment: </w:t>
      </w:r>
      <w:r>
        <w:t xml:space="preserve">× 1.15 when any contributing event has effective_date within ±90 days of scoring run, else × 1.00.</w:t>
      </w:r>
    </w:p>
    <w:p>
      <w:pPr>
        <w:spacing w:after="120"/>
      </w:pPr>
      <w:r>
        <w:rPr>
          <w:b/>
          <w:bCs/>
        </w:rPr>
        <w:t xml:space="preserve">Obligation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Obligation</w:t>
            </w:r>
          </w:p>
        </w:tc>
        <w:tc>
          <w:tcPr>
            <w:tcW w:type="dxa" w:w="37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 (max)</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UFLPA (US)</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Battery Regulation 2023</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20</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Critical Raw Materials Act</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IRA Domestic Content</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CSDDD</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REACH (Cobalt)</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8</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CBAM</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5</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Conflict Minerals</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w:t>
            </w:r>
          </w:p>
        </w:tc>
      </w:tr>
    </w:tbl>
    <w:p>
      <w:pPr>
        <w:spacing w:after="120"/>
      </w:pPr>
      <w:r>
        <w:t xml:space="preserve"/>
      </w:r>
    </w:p>
    <w:p>
      <w:pPr>
        <w:spacing w:after="120"/>
      </w:pPr>
      <w:r>
        <w:rPr>
          <w:b/>
          <w:bCs/>
        </w:rPr>
        <w:t xml:space="preserve">Status multipliers: </w:t>
      </w:r>
      <w:r>
        <w:t xml:space="preserve">non_compliant × 1.00; unknown × 0.50; partial × 0.40; compliant × 0.00</w:t>
      </w:r>
    </w:p>
    <w:p>
      <w:pPr>
        <w:pStyle w:val="Heading2"/>
        <w:spacing w:after="160" w:before="300"/>
      </w:pPr>
      <w:r>
        <w:t xml:space="preserve">EUR-Lex regulation parser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Constant</w:t>
            </w:r>
          </w:p>
        </w:tc>
        <w:tc>
          <w:tcPr>
            <w:tcW w:type="dxa" w:w="47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Value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Severity — effective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 (was 0.55 pre-v2)</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Severity — enacted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Severity — proposed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0.15 (was 0.25 pre-v2)</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Severity — superseded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0.00 (was 0.05 pre-v2)</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Confidence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 (was 1.0 pre-v2)</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Scope severity multiplier — banned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1.50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Scope severity multiplier — restricted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1.10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Scope severity multiplier — strategic_raw_material</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1.00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Scope severity multiplier — covered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0.80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Scope severity multiplier — disclosure_required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0.50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scope relevance — banned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scope relevance — restricted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scope relevance — strategic_raw_material</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scope relevance — covered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scope relevance — disclosure_required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Geography scope relevance — targeted_country</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Geography scope relevance — origin_country</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Geography scope relevance — jurisdiction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Conditional scope downweight (no overlap)</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0.30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Summary text length cap</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2500 chars (was 800 pre-v2)</w:t>
            </w:r>
          </w:p>
        </w:tc>
      </w:tr>
    </w:tbl>
    <w:p>
      <w:pPr>
        <w:spacing w:after="120"/>
      </w:pPr>
      <w:r>
        <w:t xml:space="preserve"/>
      </w:r>
    </w:p>
    <w:p>
      <w:pPr>
        <w:pStyle w:val="Heading2"/>
        <w:spacing w:after="160" w:before="300"/>
      </w:pPr>
      <w:r>
        <w:t xml:space="preserve">Per-source severity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c>
          <w:tcPr>
            <w:tcW w:type="dxa" w:w="2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Source</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Confidence</w:t>
            </w:r>
          </w:p>
        </w:tc>
        <w:tc>
          <w:tcPr>
            <w:tcW w:type="dxa" w:w="4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Severity range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GTA</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0.0 – 1.0 (most 0.30 – 0.90)</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IEA Policy Tracker</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0.65</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0.10 – 0.20</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Federal Register</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0.30 – 0.92 (clamped)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OpenSanctions (listings)</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1.00</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1.00 (hardcoded)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OpenSanctions (geo exposure)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min(1.0, count/500)</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EUR-Lex regulations (v2)</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0.00 – 0.70 by status, per-regulation overridable</w:t>
            </w:r>
          </w:p>
        </w:tc>
      </w:tr>
    </w:tbl>
    <w:p>
      <w:pPr>
        <w:spacing w:after="120"/>
      </w:pPr>
      <w:r>
        <w:t xml:space="preserve"/>
      </w:r>
    </w:p>
    <w:p>
      <w:pPr>
        <w:pStyle w:val="Heading2"/>
        <w:spacing w:after="160" w:before="300"/>
      </w:pPr>
      <w:r>
        <w:t xml:space="preserve">Recency decay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060"/>
      </w:tblGrid>
      <w:tr>
        <w:tc>
          <w:tcPr>
            <w:tcW w:type="dxa" w:w="30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Category</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Window/half-life</w:t>
            </w:r>
          </w:p>
        </w:tc>
        <w:tc>
          <w:tcPr>
            <w:tcW w:type="dxa" w:w="40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Behavior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Geopolitical / Trade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730 days</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1.00→0.70, floor 0.60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Regulatory / Compliance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365 days</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1.00→0.60; step-up to 1.10-1.20 when within ±90d of effective_date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Operational</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90-day half-life (exponential)</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Clamped [0.60, 1.20]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Concentration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365 days</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1.00→0.60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Financial Pressure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Always 1.00 (caller-controlled)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EUR-Lex regulations</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None (standing)</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event_date=None — always at full weight; ±90d effective-date step-up via standard regulatory category</w:t>
            </w:r>
          </w:p>
        </w:tc>
      </w:tr>
    </w:tbl>
    <w:p>
      <w:pPr>
        <w:spacing w:after="120"/>
      </w:pPr>
      <w:r>
        <w:t xml:space="preserve"/>
      </w:r>
    </w:p>
    <w:p>
      <w:pPr>
        <w:pStyle w:val="Heading2"/>
        <w:spacing w:after="160" w:before="300"/>
      </w:pPr>
      <w:r>
        <w:t xml:space="preserve">Other notable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Constant</w:t>
            </w:r>
          </w:p>
        </w:tc>
        <w:tc>
          <w:tcPr>
            <w:tcW w:type="dxa" w:w="47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Value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HCG country set</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{CN, CD, RU}</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Facility-presence floor (market-level)</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0.02</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Theoretical max event_impact</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1.56 = 1.00 × 1.00 × 1.20 × 1.30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Relevance multiplier range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 – 1.30 (mapped from 0-1)</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Confidence floor (only when severity ≥ 0.80)</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0.60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Tier 1 supplier weight (Propagation)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Tier 2 supplier weight (Propagation)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Default volume share when NULL</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Engine scoring version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3.0</w:t>
            </w:r>
          </w:p>
        </w:tc>
      </w:tr>
    </w:tbl>
    <w:p>
      <w:r>
        <w:br w:type="page"/>
      </w:r>
    </w:p>
    <w:p>
      <w:pPr>
        <w:pStyle w:val="Heading1"/>
        <w:spacing w:after="240" w:before="400"/>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Term</w:t>
            </w:r>
          </w:p>
        </w:tc>
        <w:tc>
          <w:tcPr>
            <w:tcW w:type="dxa" w:w="69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Meaning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CELEX</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EU's permanent identifier for legal documents. Format: year + sector letter + number (e.g., 32023R1542 for EU Battery Regulation 2023).</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Confidence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much we trust the source's classification of an event. Per source: 0.65 (IEA) – 1.00 (OpenSanctions). Floors at 0.60 only when severity ≥ 0.80.</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Conditional scope downweight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0.30× factor applied to a regulation event's impact when the company has no supply-chain exposure to the regulation's targeted countries. NEW in v2.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CRMA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Critical Raw Materials Act (2024). Sets supply-chain diversification targets for strategic minerals: 10% domestic extraction, 40% processing, 25% recycling, max 65% from single third country.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Event impact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The final multiplicative product severity × confidence × recency × relevance. Theoretical max = 1.56. Normalised to [0,1] by dividing by 1.56.</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Facility-presence floor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Baseline 0.02 applied at market-level scoring when no formal production-share data exists but USGS MRDS shows at least one facility. NEW in v2.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FR / Federal Register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daily publication record of federal regulatory action. Auto-discovered via 10 targeted query streams.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GTA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Global Trade Alert (University of St. Gallen). Authoritative public observatory of government trade-policy interventions worldwide.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HCG</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High-Concentration Geography. Current set: China (CN), Democratic Republic of Congo (CD), Russia (RU). Applied uniformly across all materials.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HS code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Harmonized System trade classification code. 4, 6, 8, or 10 digits — increasing specificity. First 6 digits are international by treaty.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IEA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International Energy Agency. The IEA Critical Minerals Policy Tracker (a partner-curated database) is one of our event sources.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IRA Domestic Content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Inflation Reduction Act critical-mineral / battery-component domestic-content thresholds for EV tax credit eligibility.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MaterialCache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The engine's DB-driven keyword scanner for free-text material attribution. Single source of truth for keyword → material mapping with inverse-frequency relevance weighting.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OFAC</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Treasury Office of Foreign Assets Control — administers US economic sanctions designations.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OpenSanctions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Free consolidated sanctions database. Aggregates designations from OFAC, EU, UN, UK, and ~100 other regimes.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Pillar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One of six dimensions of risk: Material Concentration, Geopolitical/Trade, Regulatory &amp; Compliance, Supply Chain Propagation, Operational, Financial Pressure.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Recency multiplier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Decay factor applied to older events. Geopolitical 2-year linear; Operational 90-day exponential; Regulatory 1-year linear with effective-date step-up.</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Relevance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confidently an event applies to a specific (material, country, or company). 0.0-1.0 on the junction row, mapped to 0.70-1.30 multiplier.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Review queue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Events ingested but not scored, flagged needs_material_review=true. Surfaced for analyst triage.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Scope type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Partner-curated intensity classification per (regulation, material): banned / restricted / strategic_raw_material / covered / disclosure_required. Drives a severity multiplier at scoring time.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Severity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serious the event is, by itself. 0.0-1.0. Calibrated per source.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UFLPA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Uyghur Forced Labor Prevention Act (US). Strict liability for goods with Xinjiang nexus. Heaviest obligation weight (25) in the engine.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USGS MCS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Geological Survey Mineral Commodity Summaries. Annual publication of production volumes by country and material.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USGS MRDS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Geological Survey Mineral Resources Data System. Facility-level production data — used for the facility-presence floor.</w:t>
            </w:r>
          </w:p>
        </w:tc>
      </w:tr>
    </w:tbl>
    <w:p>
      <w:r>
        <w:br w:type="page"/>
      </w:r>
    </w:p>
    <w:p>
      <w:pPr>
        <w:pStyle w:val="Heading1"/>
        <w:spacing w:after="240" w:before="400"/>
      </w:pPr>
      <w:r>
        <w:t xml:space="preserve">Appendix C — Version Log</w:t>
      </w:r>
    </w:p>
    <w:p>
      <w:pPr>
        <w:spacing w:after="120"/>
      </w:pPr>
      <w:r>
        <w:rPr>
          <w:b/>
          <w:bCs/>
        </w:rPr>
        <w:t xml:space="preserve">v3.0 — May 19, 2026. </w:t>
      </w:r>
      <w:r>
        <w:t xml:space="preserve">Substantial partner-curation round. (1) Corrected regulation roster from 8 to 9 (added SEC_CLIMATE_2024 which was missed in v2). (2) Re-curated scope_type values across the roster per partner judgment: UFLPA materials covered→banned, EU Battery Reg materials disclosure_required→restricted, EU Conflict Minerals fixed to actual 3TG scope (Tin/Tantalum/Tungsten replacing tangential Cobalt), EU CBAM added Iron Ore (LFP Grade), CRMA magnet REEs (Nd/Pr/Dy/Tb) promoted strategic→restricted. (3) Material additions: Phosphate (Battery Grade), Iron Ore (LFP Grade), Aluminum, and bundled Rare Earth Elements added across EU Battery Reg and CRMA. (4) Geography recalibration via Option C (sanctions-style vs universal-application split): CBAM CN/RU removed; CRMA expanded to {EU, CN, ID, CL, CD, RU}; CSDDD CD/CN kept per partner direction. (5) Per-regulation severity override on IRA Domestic Content at 0.85. (6) Two new metadata-driven scoring mechanisms: Idea A (rebuttable_presumption status-multiplier elevation for UFLPA — unknown weight 0.50→0.85, partial 0.40→0.70) and Idea B (single_country_cap synthetic event trigger — CRMA actively fires when company geo concentration exceeds 65% for any strategic material). (7) Auto-staged suggested-regulations queue mechanism: stage_unknown_regulation function, resolve_or_stage resolver method, list-suggested-regulations CLI. (8) FR doc-number discovery script with optional Haiku classification. (9) SEC_CLIMATE_2024 received its two FR doc-number aliases (2024-05137 + 2024-07648). (10) FR ingester wired to use resolve_or_stage for high-authority document types (Rule, IFR, EO) and resolve-only for lower-authority documents (Notice, Proposed Rule). (11) Three cosmetic FR ingester fixes: content_hash now uses regulation_key only, match_reason varies by status, event_type renamed REGULATORY_IMPLEMENTATION → eurlex_regulation.</w:t>
      </w:r>
    </w:p>
    <w:p>
      <w:pPr>
        <w:spacing w:after="120"/>
      </w:pPr>
      <w:r>
        <w:rPr>
          <w:b/>
          <w:bCs/>
        </w:rPr>
        <w:t xml:space="preserve">v2.0 — May 17, 2026. </w:t>
      </w:r>
      <w:r>
        <w:t xml:space="preserve">Full handbook rewrite. Adds Part 2 (engine-level conceptual model), Part 3 (cross-cutting mechanics), and Part 6 (regulations event sources including EUR-Lex deep dive). Recalibrates EUR-Lex severities (effective 0.55→0.70, proposed 0.25→0.15, superseded 0.05→0.00, confidence 1.0→0.9). Adds five new mechanisms: per-regulation severity overrides, scope_type as severity multiplier, conditional regulation scope intersection, regulation status-change detection, regulation geography-scope propagation. Adds strategic_raw_material scope_type at 0.85 to support CRMA-style regulations. Expands gaps section and consolidated partner-input questions.</w:t>
      </w:r>
    </w:p>
    <w:p>
      <w:pPr>
        <w:spacing w:after="120"/>
      </w:pPr>
      <w:r>
        <w:rPr>
          <w:b/>
          <w:bCs/>
        </w:rPr>
        <w:t xml:space="preserve">v1.0 — May 12, 2026. </w:t>
      </w:r>
      <w:r>
        <w:t xml:space="preserve">Initial partner-review version covering policy event sources (GTA, IEA, Federal Register, OpenSanctions) and the six-pillar scoring formula. 24 questions for partner input. Identified EUR-Lex as a 'known gap' (corrected in v2 — the parser was already built, just under-documented).</w:t>
      </w:r>
    </w:p>
    <w:p>
      <w:pPr>
        <w:spacing w:after="120"/>
      </w:pPr>
      <w:r>
        <w:t xml:space="preserve"/>
      </w:r>
    </w:p>
    <w:p>
      <w:pPr>
        <w:spacing w:after="120"/>
      </w:pPr>
      <w:r>
        <w:rPr>
          <w:i/>
          <w:iCs/>
        </w:rPr>
        <w:t xml:space="preserve">Future versions will add: full coverage of structural data sources (USGS MCS, MRDS, Comtrade, Census, World Bank Pink Sheet); SEC EDGAR filing parser detail; Phase 5 company-overlay methodology when implemented; deep-dive on Federal Register parser; consolidation of company-regulation compliance exposure curation when the company foundation lands; ongoing partner curation as new regulations surface via the suggested-regulations queue.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Risk Scoring Methodology Handbook v3.0</w:t>
    </w:r>
    <w:r>
      <w:rPr>
        <w:color w:val="888888"/>
        <w:sz w:val="18"/>
        <w:szCs w:val="18"/>
      </w:rPr>
      <w:t xml:space="preserve">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F3A5F"/>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B87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Scoring Methodology Handbook v3</dc:title>
  <dc:creator>Mineral Risk Analytics</dc:creator>
  <dc:description>Comprehensive handbook explaining how the scoring engine works in the critical minerals and EV battery industry: what contributes to scoring, how it's weighted, where partner judgment is needed.</dc:description>
  <cp:lastModifiedBy>Un-named</cp:lastModifiedBy>
  <cp:revision>1</cp:revision>
  <dcterms:created xsi:type="dcterms:W3CDTF">2026-05-19T23:38:33.310Z</dcterms:created>
  <dcterms:modified xsi:type="dcterms:W3CDTF">2026-05-19T23:38:33.314Z</dcterms:modified>
</cp:coreProperties>
</file>

<file path=docProps/custom.xml><?xml version="1.0" encoding="utf-8"?>
<Properties xmlns="http://schemas.openxmlformats.org/officeDocument/2006/custom-properties" xmlns:vt="http://schemas.openxmlformats.org/officeDocument/2006/docPropsVTypes"/>
</file>