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t>Technical Architecture Deep Dive</w:t>
      </w:r>
    </w:p>
    <w:p>
      <w:pPr>
        <w:pStyle w:val="SubtitleCustom"/>
        <w:jc w:val="center"/>
      </w:pPr>
      <w:r>
        <w:t>True sequence diagrams, scoring framework, and implementation notes for the EV battery supply-chain intelligence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5472"/>
      </w:tblGrid>
      <w:tr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1FB"/>
          </w:tcPr>
          <w:p>
            <w:pPr>
              <w:spacing w:after="0"/>
            </w:pPr>
            <w:r>
              <w:rPr>
                <w:b/>
                <w:color w:val="15365D"/>
              </w:rPr>
              <w:t>Context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9FBFD"/>
          </w:tcPr>
          <w:p>
            <w:pPr>
              <w:spacing w:after="0"/>
            </w:pPr>
            <w:r>
              <w:rPr>
                <w:sz w:val="20"/>
              </w:rPr>
              <w:t>Backend-first ingestion platform using FastAPI, workers, Postgres, and scheduled jobs.</w:t>
            </w:r>
          </w:p>
        </w:tc>
      </w:tr>
      <w:tr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1FB"/>
          </w:tcPr>
          <w:p>
            <w:pPr>
              <w:spacing w:after="0"/>
            </w:pPr>
            <w:r>
              <w:rPr>
                <w:b/>
                <w:color w:val="15365D"/>
              </w:rPr>
              <w:t>Focus of this version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9FBFD"/>
          </w:tcPr>
          <w:p>
            <w:pPr>
              <w:spacing w:after="0"/>
            </w:pPr>
            <w:r>
              <w:rPr>
                <w:sz w:val="20"/>
              </w:rPr>
              <w:t>Operational sequence diagrams, score construction, rollups, failure handling, and report-serving path.</w:t>
            </w:r>
          </w:p>
        </w:tc>
      </w:tr>
    </w:tbl>
    <w:p/>
    <w:p>
      <w:pPr>
        <w:pStyle w:val="SmallCapsNote"/>
      </w:pPr>
      <w:r>
        <w:t>This document is based on the architecture and platform requirements in your Cursor backend build brief: a reports-first ingestion foundation with Phase 1 source ingestion, normalization, rule-based scoring, internal APIs, and future SaaS evolution.</w:t>
      </w:r>
    </w:p>
    <w:p>
      <w:r>
        <w:br w:type="page"/>
      </w:r>
    </w:p>
    <w:p>
      <w:pPr>
        <w:pStyle w:val="H1Custom"/>
      </w:pPr>
      <w:r>
        <w:t>1. Design intent and operating model</w:t>
      </w:r>
    </w:p>
    <w:p>
      <w:pPr/>
      <w:r>
        <w:t>The architecture should stay simple in the request path and deliberately move heavyweight work into workers. The frontend remains thin: it requests report-ready data from FastAPI, while ingestion, parsing, entity resolution, and score refreshes happen asynchronously.</w:t>
      </w:r>
    </w:p>
    <w:p>
      <w:pPr>
        <w:pStyle w:val="ListBullet"/>
      </w:pPr>
      <w:r>
        <w:t>Frontend: Next.js on Vercel for dashboards, reports, and future authenticated SaaS views.</w:t>
      </w:r>
    </w:p>
    <w:p>
      <w:pPr>
        <w:pStyle w:val="ListBullet"/>
      </w:pPr>
      <w:r>
        <w:t>API: FastAPI on Render web service for internal/public endpoints and report-serving.</w:t>
      </w:r>
    </w:p>
    <w:p>
      <w:pPr>
        <w:pStyle w:val="ListBullet"/>
      </w:pPr>
      <w:r>
        <w:t>Execution: Render background worker(s) for ingestion, parsing, normalization, scoring, and report builds.</w:t>
      </w:r>
    </w:p>
    <w:p>
      <w:pPr>
        <w:pStyle w:val="ListBullet"/>
      </w:pPr>
      <w:r>
        <w:t>Scheduling: Render cron jobs for recurring source pulls and nightly recomputation.</w:t>
      </w:r>
    </w:p>
    <w:p>
      <w:pPr>
        <w:pStyle w:val="ListBullet"/>
      </w:pPr>
      <w:r>
        <w:t>Persistence: Neon Postgres for structured state, plus R2 or S3 for raw payloads and evidence artifacts.</w:t>
      </w:r>
    </w:p>
    <w:p>
      <w:pPr>
        <w:pStyle w:val="H2Custom"/>
      </w:pPr>
      <w:r>
        <w:t>Operational principles</w:t>
      </w:r>
    </w:p>
    <w:p>
      <w:pPr>
        <w:pStyle w:val="ListBullet"/>
      </w:pPr>
      <w:r>
        <w:t>Every ingestion run gets a durable run record before network work begins.</w:t>
      </w:r>
    </w:p>
    <w:p>
      <w:pPr>
        <w:pStyle w:val="ListBullet"/>
      </w:pPr>
      <w:r>
        <w:t>Every raw payload is stored before irreversible parsing or normalization.</w:t>
      </w:r>
    </w:p>
    <w:p>
      <w:pPr>
        <w:pStyle w:val="ListBullet"/>
      </w:pPr>
      <w:r>
        <w:t>All downstream writes are idempotent through natural keys and checksums.</w:t>
      </w:r>
    </w:p>
    <w:p>
      <w:pPr>
        <w:pStyle w:val="ListBullet"/>
      </w:pPr>
      <w:r>
        <w:t>Scores are explainable and stored with rationale_json rather than hidden model state.</w:t>
      </w:r>
    </w:p>
    <w:p>
      <w:pPr>
        <w:pStyle w:val="ListBullet"/>
      </w:pPr>
      <w:r>
        <w:t>The frontend never talks directly to Neon; it only consumes the API layer.</w:t>
      </w:r>
    </w:p>
    <w:p>
      <w:pPr>
        <w:pStyle w:val="H1Custom"/>
      </w:pPr>
      <w:r>
        <w:t>2. Core service topology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456"/>
        <w:gridCol w:w="3312"/>
      </w:tblGrid>
      <w:tr>
        <w:tc>
          <w:tcPr>
            <w:tcW w:type="dxa" w:w="3360"/>
            <w:shd w:fill="DCE8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5365D"/>
              </w:rPr>
              <w:t>Layer</w:t>
            </w:r>
          </w:p>
        </w:tc>
        <w:tc>
          <w:tcPr>
            <w:tcW w:type="dxa" w:w="3360"/>
            <w:shd w:fill="DCE8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5365D"/>
              </w:rPr>
              <w:t>Primary service</w:t>
            </w:r>
          </w:p>
        </w:tc>
        <w:tc>
          <w:tcPr>
            <w:tcW w:type="dxa" w:w="3360"/>
            <w:shd w:fill="DCE8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5365D"/>
              </w:rPr>
              <w:t>Reason it belongs there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shd w:fill="EEF4FB"/>
            <w:vAlign w:val="center"/>
          </w:tcPr>
          <w:p>
            <w:r>
              <w:t>Presentation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r>
              <w:t>Vercel / Next.js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r>
              <w:t>Best fit for UI, previews, SSR, and future auth-driven dashboards.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shd w:fill="EEF4FB"/>
            <w:vAlign w:val="center"/>
          </w:tcPr>
          <w:p>
            <w:r>
              <w:t>Application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r>
              <w:t>Render / FastAPI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r>
              <w:t>Holds endpoints, orchestration triggers, response composition, and internal admin APIs.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shd w:fill="EEF4FB"/>
            <w:vAlign w:val="center"/>
          </w:tcPr>
          <w:p>
            <w:r>
              <w:t>Execution + storage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r>
              <w:t>Render workers + cron, Neon, R2/S3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  <w:vAlign w:val="center"/>
          </w:tcPr>
          <w:p>
            <w:r>
              <w:t>Matches asynchronous ingestion, durable relational state, and cheap raw evidence retention.</w:t>
            </w:r>
          </w:p>
        </w:tc>
      </w:tr>
    </w:tbl>
    <w:p>
      <w:pPr>
        <w:pStyle w:val="H1Custom"/>
      </w:pPr>
      <w:r>
        <w:t>3. True sequence diagrams</w:t>
      </w:r>
    </w:p>
    <w:p>
      <w:pPr/>
      <w:r>
        <w:t>The diagrams below represent the main execution paths that matter once the frontend is added and the platform begins operating continuously.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97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api_inges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9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CapsNote"/>
        <w:jc w:val="center"/>
      </w:pPr>
      <w:r>
        <w:t>Figure 1. API-triggered ingestion run</w:t>
      </w:r>
    </w:p>
    <w:p>
      <w:pPr>
        <w:pStyle w:val="H2Custom"/>
      </w:pPr>
      <w:r>
        <w:t>What matters in this path</w:t>
      </w:r>
    </w:p>
    <w:p>
      <w:pPr>
        <w:pStyle w:val="ListBullet"/>
      </w:pPr>
      <w:r>
        <w:t>The API returns immediately after queueing work, which keeps request latency predictable.</w:t>
      </w:r>
    </w:p>
    <w:p>
      <w:pPr>
        <w:pStyle w:val="ListBullet"/>
      </w:pPr>
      <w:r>
        <w:t>The worker owns the expensive part: pagination, blob storage, parsing, and normalized writes.</w:t>
      </w:r>
    </w:p>
    <w:p>
      <w:pPr>
        <w:pStyle w:val="ListBullet"/>
      </w:pPr>
      <w:r>
        <w:t>The run row in Neon becomes the source of truth for dashboards and troubleshooting.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97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scheduled_ret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9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CapsNote"/>
        <w:jc w:val="center"/>
      </w:pPr>
      <w:r>
        <w:t>Figure 2. Scheduled ingestion with retry and alerting</w:t>
      </w:r>
    </w:p>
    <w:p>
      <w:pPr>
        <w:pStyle w:val="H2Custom"/>
      </w:pPr>
      <w:r>
        <w:t>Recommended retry policy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880"/>
        <w:gridCol w:w="3024"/>
      </w:tblGrid>
      <w:tr>
        <w:tc>
          <w:tcPr>
            <w:tcW w:type="dxa" w:w="2520"/>
            <w:shd w:fill="DCE8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Failure class</w:t>
            </w:r>
          </w:p>
        </w:tc>
        <w:tc>
          <w:tcPr>
            <w:tcW w:type="dxa" w:w="2520"/>
            <w:shd w:fill="DCE8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2520"/>
            <w:shd w:fill="DCE8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Treatment</w:t>
            </w:r>
          </w:p>
        </w:tc>
        <w:tc>
          <w:tcPr>
            <w:tcW w:type="dxa" w:w="2520"/>
            <w:shd w:fill="DCE8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Escalate?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Transient I/O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429, 5xx, timeout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Retry 3-5x with exponential backoff and jitter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Only after max attempts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Source drift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field renamed, schema shape break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Mark failed, retain payload, emit parser alert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Yes, immediately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Duplicate replay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same page, same accession, same checksum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No alert; idempotent upsert or skip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No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Partial batch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one page bad, others fine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Commit partial results and mark partial_success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Yes, low urgency</w:t>
            </w:r>
          </w:p>
        </w:tc>
      </w:tr>
    </w:tbl>
    <w:p>
      <w:pPr/>
    </w:p>
    <w:p>
      <w:r>
        <w:br w:type="page"/>
      </w:r>
    </w:p>
    <w:p>
      <w:pPr>
        <w:pStyle w:val="H1Custom"/>
      </w:pPr>
      <w:r>
        <w:t>4. Sequence details by path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113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scoring_refre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11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CapsNote"/>
        <w:jc w:val="center"/>
      </w:pPr>
      <w:r>
        <w:t>Figure 3. Score refresh and report insight generation</w:t>
      </w:r>
    </w:p>
    <w:p>
      <w:pPr>
        <w:pStyle w:val="H2Custom"/>
      </w:pPr>
      <w:r>
        <w:t>Scoring refresh contract</w:t>
      </w:r>
    </w:p>
    <w:p>
      <w:pPr>
        <w:pStyle w:val="ListBullet"/>
      </w:pPr>
      <w:r>
        <w:t>Any supplier touched by a new event, exposure change, filing update, or trade-flow shock is eligible for refresh.</w:t>
      </w:r>
    </w:p>
    <w:p>
      <w:pPr>
        <w:pStyle w:val="ListBullet"/>
      </w:pPr>
      <w:r>
        <w:t>The scoring engine should load only the evidence window it needs, not the entire document history.</w:t>
      </w:r>
    </w:p>
    <w:p>
      <w:pPr>
        <w:pStyle w:val="ListBullet"/>
      </w:pPr>
      <w:r>
        <w:t>A score refresh writes both numeric components and rationale_json so the UI can explain deltas without recomputing them live.</w:t>
      </w:r>
    </w:p>
    <w:p>
      <w:pPr>
        <w:pStyle w:val="ListBullet"/>
      </w:pPr>
      <w:r>
        <w:t>Report insights are generated after score persistence so every insight can reference a stable score snapshot.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8230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frontend_qu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23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CapsNote"/>
        <w:jc w:val="center"/>
      </w:pPr>
      <w:r>
        <w:t>Figure 4. Frontend report query path</w:t>
      </w:r>
    </w:p>
    <w:p>
      <w:pPr>
        <w:pStyle w:val="H2Custom"/>
      </w:pPr>
      <w:r>
        <w:t>Frontend response composition</w:t>
      </w:r>
    </w:p>
    <w:p>
      <w:pPr>
        <w:pStyle w:val="ListBullet"/>
      </w:pPr>
      <w:r>
        <w:t>The API should aggregate charts, summary text, and evidence links into one response model per page.</w:t>
      </w:r>
    </w:p>
    <w:p>
      <w:pPr>
        <w:pStyle w:val="ListBullet"/>
      </w:pPr>
      <w:r>
        <w:t>Signed file URLs should be short-lived and created on demand rather than stored directly in the DB.</w:t>
      </w:r>
    </w:p>
    <w:p>
      <w:pPr>
        <w:pStyle w:val="ListBullet"/>
      </w:pPr>
      <w:r>
        <w:t>Where possible, high-cost evidence joins should be precomputed into report_insights for fast page loads.</w:t>
      </w:r>
    </w:p>
    <w:p>
      <w:pPr>
        <w:pStyle w:val="H1Custom"/>
      </w:pPr>
      <w:r>
        <w:t>5. Scoring philosophy</w:t>
      </w:r>
    </w:p>
    <w:p>
      <w:pPr/>
      <w:r>
        <w:t>The scoring system should be transparent, explainable, and deliberately conservative. The goal is not to predict an exact future outage; it is to rank suppliers and exposures by combined evidence strength so analysts and report consumers can see where attention is most justified.</w:t>
      </w:r>
    </w:p>
    <w:p>
      <w:pPr>
        <w:pStyle w:val="ListBullet"/>
      </w:pPr>
      <w:r>
        <w:t>Use stable 0-100 scales for each component.</w:t>
      </w:r>
    </w:p>
    <w:p>
      <w:pPr>
        <w:pStyle w:val="ListBullet"/>
      </w:pPr>
      <w:r>
        <w:t>Keep the first version rule-based and auditable.</w:t>
      </w:r>
    </w:p>
    <w:p>
      <w:pPr>
        <w:pStyle w:val="ListBullet"/>
      </w:pPr>
      <w:r>
        <w:t>Store both the final score and the evidence that produced it.</w:t>
      </w:r>
    </w:p>
    <w:p>
      <w:pPr>
        <w:pStyle w:val="ListBullet"/>
      </w:pPr>
      <w:r>
        <w:t>Separate event scoring from supplier-level rollup logic.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210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sta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CapsNote"/>
        <w:jc w:val="center"/>
      </w:pPr>
      <w:r>
        <w:t>Figure 5. Component score stack and weighted rollup</w:t>
      </w:r>
    </w:p>
    <w:p>
      <w:pPr>
        <w:pStyle w:val="H1Custom"/>
      </w:pPr>
      <w:r>
        <w:t>6. Event scoring mechanics</w:t>
      </w:r>
    </w:p>
    <w:p>
      <w:pPr/>
      <w:r>
        <w:t>Before rolling up to a supplier score, individual risk events should be normalized into a comparable event impact value. This lets you mix regulations, news, filing-derived distress signals, and market disruptions in one evidence stream.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6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15365D"/>
                <w:sz w:val="26"/>
              </w:rPr>
              <w:t>event_impact = severity × confidence × recency_multiplier × relevance_multiplier</w:t>
            </w:r>
          </w:p>
        </w:tc>
      </w:tr>
    </w:tbl>
    <w:p>
      <w:pPr/>
    </w:p>
    <w:p>
      <w:pPr>
        <w:pStyle w:val="H2Custom"/>
      </w:pPr>
      <w:r>
        <w:t>Suggested component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016"/>
        <w:gridCol w:w="2016"/>
        <w:gridCol w:w="4176"/>
      </w:tblGrid>
      <w:tr>
        <w:tc>
          <w:tcPr>
            <w:tcW w:type="dxa" w:w="2520"/>
            <w:shd w:fill="DCE8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520"/>
            <w:shd w:fill="DCE8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Range</w:t>
            </w:r>
          </w:p>
        </w:tc>
        <w:tc>
          <w:tcPr>
            <w:tcW w:type="dxa" w:w="2520"/>
            <w:shd w:fill="DCE8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Example default</w:t>
            </w:r>
          </w:p>
        </w:tc>
        <w:tc>
          <w:tcPr>
            <w:tcW w:type="dxa" w:w="2520"/>
            <w:shd w:fill="DCE8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severity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0-1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0.85</w:t>
            </w:r>
          </w:p>
        </w:tc>
        <w:tc>
          <w:tcPr>
            <w:tcW w:type="dxa" w:w="4176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How materially disruptive the event is if true.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confidence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0-1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0.70</w:t>
            </w:r>
          </w:p>
        </w:tc>
        <w:tc>
          <w:tcPr>
            <w:tcW w:type="dxa" w:w="4176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Strength of evidence and parser certainty.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recency multiplier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0.60-1.20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1.00</w:t>
            </w:r>
          </w:p>
        </w:tc>
        <w:tc>
          <w:tcPr>
            <w:tcW w:type="dxa" w:w="4176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Recent items retain more weight; old items decay.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relevance multiplier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0.70-1.30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1.10</w:t>
            </w:r>
          </w:p>
        </w:tc>
        <w:tc>
          <w:tcPr>
            <w:tcW w:type="dxa" w:w="4176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Higher when event geography, material, or supplier match is direct.</w:t>
            </w:r>
          </w:p>
        </w:tc>
      </w:tr>
    </w:tbl>
    <w:p>
      <w:pPr>
        <w:pStyle w:val="H2Custom"/>
      </w:pPr>
      <w:r>
        <w:t>Example event impacts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440"/>
        <w:gridCol w:w="1440"/>
        <w:gridCol w:w="1584"/>
        <w:gridCol w:w="3312"/>
      </w:tblGrid>
      <w:tr>
        <w:tc>
          <w:tcPr>
            <w:tcW w:type="dxa" w:w="2016"/>
            <w:shd w:fill="DCE8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Event type</w:t>
            </w:r>
          </w:p>
        </w:tc>
        <w:tc>
          <w:tcPr>
            <w:tcW w:type="dxa" w:w="2016"/>
            <w:shd w:fill="DCE8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016"/>
            <w:shd w:fill="DCE8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2016"/>
            <w:shd w:fill="DCE8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016"/>
            <w:shd w:fill="DCE8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Critical mineral export restriction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0.90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0.85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0.92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Strong policy shock with direct supply relevance.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Supplier warns of margin pressure in 10-Q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0.60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0.80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0.58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Important but indirect operational stress.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Trade-flow decline in relevant HS code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0.70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0.65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0.61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Useful macro signal; confidence depends on mapping quality.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Generic industry news mention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0.30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0.45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0.23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Evidence exists, but low directness and lower signal strength.</w:t>
            </w:r>
          </w:p>
        </w:tc>
      </w:tr>
    </w:tbl>
    <w:p>
      <w:r>
        <w:br w:type="page"/>
      </w:r>
    </w:p>
    <w:p>
      <w:pPr>
        <w:pStyle w:val="H1Custom"/>
      </w:pPr>
      <w:r>
        <w:t>7. Supplier-level component scores</w:t>
      </w:r>
    </w:p>
    <w:p>
      <w:pPr/>
      <w:r>
        <w:t>Supplier scores should be computed from evidence windows rather than single events. Each category score consumes a different subset of the evidence graph.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152"/>
        <w:gridCol w:w="2232"/>
        <w:gridCol w:w="4320"/>
      </w:tblGrid>
      <w:tr>
        <w:tc>
          <w:tcPr>
            <w:tcW w:type="dxa" w:w="2520"/>
            <w:shd w:fill="DCE8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520"/>
            <w:shd w:fill="DCE8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520"/>
            <w:shd w:fill="DCE8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Primary inputs</w:t>
            </w:r>
          </w:p>
        </w:tc>
        <w:tc>
          <w:tcPr>
            <w:tcW w:type="dxa" w:w="2520"/>
            <w:shd w:fill="DCE8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Rollup logic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Material risk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35%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Material exposures, criticality, trade volatility, concentration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Weighted average by supplier_material_exposure and material criticality.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Regulatory risk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25%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Regulations, effective dates, policy geography, issuing body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Top-k event impacts with an uplift for near-term effective dates.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Operational risk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25%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Supplier-specific disruptions, news, filing language, production interruptions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Blend of recent supplier events with decay and duplicate clustering.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Financial pressure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15%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Public filings, liquidity language, capex cuts, covenant stress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Low-frequency but high-importance signals; cap the score when evidence is weak.</w:t>
            </w:r>
          </w:p>
        </w:tc>
      </w:tr>
    </w:tbl>
    <w:p>
      <w:pPr>
        <w:pStyle w:val="H2Custom"/>
      </w:pPr>
      <w:r>
        <w:t>Recommended first-pass formulas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shd w:fill="EEF4FB"/>
            <w:vAlign w:val="center"/>
          </w:tcPr>
          <w:p>
            <w:r>
              <w:rPr>
                <w:b/>
              </w:rPr>
              <w:t>Material risk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shd w:fill="F9FBFD"/>
            <w:vAlign w:val="center"/>
          </w:tcPr>
          <w:p>
            <w:r>
              <w:t>score = min(100, 45*criticality + 30*trade_volatility + 25*concentration)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shd w:fill="EEF4FB"/>
            <w:vAlign w:val="center"/>
          </w:tcPr>
          <w:p>
            <w:r>
              <w:rPr>
                <w:b/>
              </w:rPr>
              <w:t>Regulatory risk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shd w:fill="F9FBFD"/>
            <w:vAlign w:val="center"/>
          </w:tcPr>
          <w:p>
            <w:r>
              <w:t>score = min(100, sum(top_3 regulatory event impacts * policy_proximity_adjustment))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shd w:fill="EEF4FB"/>
            <w:vAlign w:val="center"/>
          </w:tcPr>
          <w:p>
            <w:r>
              <w:rPr>
                <w:b/>
              </w:rPr>
              <w:t>Operational risk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shd w:fill="F9FBFD"/>
            <w:vAlign w:val="center"/>
          </w:tcPr>
          <w:p>
            <w:r>
              <w:t>score = min(100, weighted_sum(recent supplier event impacts with 90-day half-life))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shd w:fill="EEF4FB"/>
            <w:vAlign w:val="center"/>
          </w:tcPr>
          <w:p>
            <w:r>
              <w:rPr>
                <w:b/>
              </w:rPr>
              <w:t>Financial pressure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shd w:fill="F9FBFD"/>
            <w:vAlign w:val="center"/>
          </w:tcPr>
          <w:p>
            <w:r>
              <w:t>score = min(100, base_filing_signal + leverage_warning_bonus + liquidity_stress_bonus)</w:t>
            </w:r>
          </w:p>
        </w:tc>
      </w:tr>
    </w:tbl>
    <w:p>
      <w:pPr>
        <w:pStyle w:val="H2Custom"/>
      </w:pPr>
      <w:r>
        <w:t>Overall score rollup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6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2C5C3A"/>
                <w:sz w:val="25"/>
              </w:rPr>
              <w:t>overall_risk_score = 0.35*material + 0.25*regulatory + 0.25*operational + 0.15*financial</w:t>
            </w:r>
          </w:p>
        </w:tc>
      </w:tr>
    </w:tbl>
    <w:p>
      <w:pPr/>
      <w:r>
        <w:t>Practical note: keep the raw unrounded component values in rationale_json and round only for presentation. That prevents drift when the UI shows score deltas over time.</w:t>
      </w:r>
    </w:p>
    <w:p>
      <w:pPr>
        <w:pStyle w:val="H1Custom"/>
      </w:pPr>
      <w:r>
        <w:t>8. Recency decay and evidence windows</w:t>
      </w:r>
    </w:p>
    <w:p>
      <w:pPr/>
      <w:r>
        <w:t>A clean scoring system becomes much more believable when old evidence fades gracefully instead of disappearing abruptly. Use category-specific evidence windows and simple decay functions.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160"/>
        <w:gridCol w:w="2016"/>
        <w:gridCol w:w="3312"/>
      </w:tblGrid>
      <w:tr>
        <w:tc>
          <w:tcPr>
            <w:tcW w:type="dxa" w:w="2520"/>
            <w:shd w:fill="DCE8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Evidence family</w:t>
            </w:r>
          </w:p>
        </w:tc>
        <w:tc>
          <w:tcPr>
            <w:tcW w:type="dxa" w:w="2520"/>
            <w:shd w:fill="DCE8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Window</w:t>
            </w:r>
          </w:p>
        </w:tc>
        <w:tc>
          <w:tcPr>
            <w:tcW w:type="dxa" w:w="2520"/>
            <w:shd w:fill="DCE8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Decay suggestion</w:t>
            </w:r>
          </w:p>
        </w:tc>
        <w:tc>
          <w:tcPr>
            <w:tcW w:type="dxa" w:w="2520"/>
            <w:shd w:fill="DCE8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Regulations</w:t>
            </w:r>
          </w:p>
        </w:tc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365 days before and after effectivity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Step-up inside 90 days before effective date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A policy becomes more actionable as enforcement approaches.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Trade flows</w:t>
            </w:r>
          </w:p>
        </w:tc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12 months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Monthly smoothing, then compare latest 3 months vs prior baseline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Trade shocks are noisy and need baseline context.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Supplier events</w:t>
            </w:r>
          </w:p>
        </w:tc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180 days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90-day half-life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Operational incidents go stale, but not instantly.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Financial filing signals</w:t>
            </w:r>
          </w:p>
        </w:tc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4 most recent quarters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Hold until superseded by a newer filing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AFCFE"/>
          </w:tcPr>
          <w:p>
            <w:r>
              <w:t>Public filings are sparse but important.</w:t>
            </w:r>
          </w:p>
        </w:tc>
      </w:tr>
    </w:tbl>
    <w:p>
      <w:r>
        <w:br w:type="page"/>
      </w:r>
    </w:p>
    <w:p>
      <w:pPr>
        <w:pStyle w:val="H1Custom"/>
      </w:pPr>
      <w:r>
        <w:t>9. Worked scoring example</w:t>
      </w:r>
    </w:p>
    <w:p>
      <w:pPr/>
      <w:r>
        <w:t>Example supplier: a cathode active material producer with high nickel exposure, new regulatory pressure on a source geography, and mild financial stress language in its latest filing.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584"/>
        <w:gridCol w:w="1440"/>
        <w:gridCol w:w="1440"/>
        <w:gridCol w:w="2880"/>
      </w:tblGrid>
      <w:tr>
        <w:tc>
          <w:tcPr>
            <w:tcW w:type="dxa" w:w="2016"/>
            <w:shd w:fill="DCE8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016"/>
            <w:shd w:fill="DCE8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Raw inputs</w:t>
            </w:r>
          </w:p>
        </w:tc>
        <w:tc>
          <w:tcPr>
            <w:tcW w:type="dxa" w:w="2016"/>
            <w:shd w:fill="DCE8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Score</w:t>
            </w:r>
          </w:p>
        </w:tc>
        <w:tc>
          <w:tcPr>
            <w:tcW w:type="dxa" w:w="2016"/>
            <w:shd w:fill="DCE8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016"/>
            <w:shd w:fill="DCE8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Weighted contribution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Material risk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criticality .90; trade vol .70; concentration .80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81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0.35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28.35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Regulatory risk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two direct regulations; one effective in 45 days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73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0.25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18.25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Operational risk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recent disruption article; no production halt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58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0.25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14.50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Financial pressure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cautious capex language in 10-Q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42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0.15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shd w:fill="F9FBFD"/>
          </w:tcPr>
          <w:p>
            <w:r>
              <w:t>6.30</w:t>
            </w:r>
          </w:p>
        </w:tc>
      </w:tr>
    </w:tbl>
    <w:p>
      <w:pPr/>
      <w:r>
        <w:t>Result: overall risk score = 67.4, which is high enough to surface in reports but not yet in the most severe watchlist tier.</w:t>
      </w:r>
    </w:p>
    <w:p>
      <w:pPr>
        <w:pStyle w:val="H2Custom"/>
      </w:pPr>
      <w:r>
        <w:t>Suggested severity bands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728"/>
        <w:gridCol w:w="6192"/>
      </w:tblGrid>
      <w:tr>
        <w:tc>
          <w:tcPr>
            <w:tcW w:type="dxa" w:w="3360"/>
            <w:shd w:fill="DCE8F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rPr>
                <w:b/>
              </w:rPr>
              <w:t>Band</w:t>
            </w:r>
          </w:p>
        </w:tc>
        <w:tc>
          <w:tcPr>
            <w:tcW w:type="dxa" w:w="3360"/>
            <w:shd w:fill="DCE8F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rPr>
                <w:b/>
              </w:rPr>
              <w:t>Range</w:t>
            </w:r>
          </w:p>
        </w:tc>
        <w:tc>
          <w:tcPr>
            <w:tcW w:type="dxa" w:w="3360"/>
            <w:shd w:fill="DCE8F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1872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Low</w:t>
            </w:r>
          </w:p>
        </w:tc>
        <w:tc>
          <w:tcPr>
            <w:tcW w:type="dxa" w:w="1728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0-34</w:t>
            </w:r>
          </w:p>
        </w:tc>
        <w:tc>
          <w:tcPr>
            <w:tcW w:type="dxa" w:w="6192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Monitor only; not a headline report topic.</w:t>
            </w:r>
          </w:p>
        </w:tc>
      </w:tr>
      <w:tr>
        <w:tc>
          <w:tcPr>
            <w:tcW w:type="dxa" w:w="1872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Moderate</w:t>
            </w:r>
          </w:p>
        </w:tc>
        <w:tc>
          <w:tcPr>
            <w:tcW w:type="dxa" w:w="1728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35-54</w:t>
            </w:r>
          </w:p>
        </w:tc>
        <w:tc>
          <w:tcPr>
            <w:tcW w:type="dxa" w:w="6192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Worth noting where exposure is material or trend is worsening.</w:t>
            </w:r>
          </w:p>
        </w:tc>
      </w:tr>
      <w:tr>
        <w:tc>
          <w:tcPr>
            <w:tcW w:type="dxa" w:w="1872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High</w:t>
            </w:r>
          </w:p>
        </w:tc>
        <w:tc>
          <w:tcPr>
            <w:tcW w:type="dxa" w:w="1728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55-74</w:t>
            </w:r>
          </w:p>
        </w:tc>
        <w:tc>
          <w:tcPr>
            <w:tcW w:type="dxa" w:w="6192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Should appear in supplier and investor reports with rationale.</w:t>
            </w:r>
          </w:p>
        </w:tc>
      </w:tr>
      <w:tr>
        <w:tc>
          <w:tcPr>
            <w:tcW w:type="dxa" w:w="1872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Critical</w:t>
            </w:r>
          </w:p>
        </w:tc>
        <w:tc>
          <w:tcPr>
            <w:tcW w:type="dxa" w:w="1728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75-100</w:t>
            </w:r>
          </w:p>
        </w:tc>
        <w:tc>
          <w:tcPr>
            <w:tcW w:type="dxa" w:w="6192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Escalate to priority watchlist and lead with supporting evidence.</w:t>
            </w:r>
          </w:p>
        </w:tc>
      </w:tr>
    </w:tbl>
    <w:p>
      <w:pPr>
        <w:pStyle w:val="H1Custom"/>
      </w:pPr>
      <w:r>
        <w:t>10. What to persist in the database</w:t>
      </w:r>
    </w:p>
    <w:p>
      <w:pPr>
        <w:pStyle w:val="ListBullet"/>
      </w:pPr>
      <w:r>
        <w:t>risk_events: normalized event record, category tags, geography_json, severity_score, confidence_score, evidence metadata.</w:t>
      </w:r>
    </w:p>
    <w:p>
      <w:pPr>
        <w:pStyle w:val="ListBullet"/>
      </w:pPr>
      <w:r>
        <w:t>supplier_material_exposure: persistent exposure links and exposure_score so material risk can be computed without re-deriving the graph on every read.</w:t>
      </w:r>
    </w:p>
    <w:p>
      <w:pPr>
        <w:pStyle w:val="ListBullet"/>
      </w:pPr>
      <w:r>
        <w:t>supplier_scores: one row per supplier and as_of_date, containing component scores, overall score, and rationale_json.</w:t>
      </w:r>
    </w:p>
    <w:p>
      <w:pPr>
        <w:pStyle w:val="ListBullet"/>
      </w:pPr>
      <w:r>
        <w:t>report_runs and report_insights: report-ready denormalization so the frontend can render insight cards quickly.</w:t>
      </w:r>
    </w:p>
    <w:p>
      <w:pPr>
        <w:pStyle w:val="H2Custom"/>
      </w:pPr>
      <w:r>
        <w:t>Recommended rationale_json shape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624"/>
      </w:tblGrid>
      <w:tr>
        <w:tc>
          <w:tcPr>
            <w:tcW w:type="dxa" w:w="5040"/>
            <w:shd w:fill="DCE8F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rPr>
                <w:b/>
              </w:rPr>
              <w:t>Key</w:t>
            </w:r>
          </w:p>
        </w:tc>
        <w:tc>
          <w:tcPr>
            <w:tcW w:type="dxa" w:w="5040"/>
            <w:shd w:fill="DCE8F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shd w:fill="F9FBFD"/>
          </w:tcPr>
          <w:p>
            <w:r>
              <w:t>inputs</w:t>
            </w:r>
          </w:p>
        </w:tc>
        <w:tc>
          <w:tcPr>
            <w:tcW w:type="dxa" w:w="6624"/>
            <w:tcMar>
              <w:top w:w="95" w:type="dxa"/>
              <w:start w:w="95" w:type="dxa"/>
              <w:bottom w:w="95" w:type="dxa"/>
              <w:end w:w="95" w:type="dxa"/>
            </w:tcMar>
            <w:shd w:fill="F9FBFD"/>
          </w:tcPr>
          <w:p>
            <w:r>
              <w:t>Supplier id, evidence window, scoring version, run id</w:t>
            </w:r>
          </w:p>
        </w:tc>
      </w:tr>
      <w:tr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shd w:fill="F9FBFD"/>
          </w:tcPr>
          <w:p>
            <w:r>
              <w:t>components</w:t>
            </w:r>
          </w:p>
        </w:tc>
        <w:tc>
          <w:tcPr>
            <w:tcW w:type="dxa" w:w="6624"/>
            <w:tcMar>
              <w:top w:w="95" w:type="dxa"/>
              <w:start w:w="95" w:type="dxa"/>
              <w:bottom w:w="95" w:type="dxa"/>
              <w:end w:w="95" w:type="dxa"/>
            </w:tcMar>
            <w:shd w:fill="F9FBFD"/>
          </w:tcPr>
          <w:p>
            <w:r>
              <w:t>Exact raw values and final component scores</w:t>
            </w:r>
          </w:p>
        </w:tc>
      </w:tr>
      <w:tr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shd w:fill="F9FBFD"/>
          </w:tcPr>
          <w:p>
            <w:r>
              <w:t>top_evidence</w:t>
            </w:r>
          </w:p>
        </w:tc>
        <w:tc>
          <w:tcPr>
            <w:tcW w:type="dxa" w:w="6624"/>
            <w:tcMar>
              <w:top w:w="95" w:type="dxa"/>
              <w:start w:w="95" w:type="dxa"/>
              <w:bottom w:w="95" w:type="dxa"/>
              <w:end w:w="95" w:type="dxa"/>
            </w:tcMar>
            <w:shd w:fill="F9FBFD"/>
          </w:tcPr>
          <w:p>
            <w:r>
              <w:t>Top event ids or document ids that moved the score</w:t>
            </w:r>
          </w:p>
        </w:tc>
      </w:tr>
      <w:tr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shd w:fill="F9FBFD"/>
          </w:tcPr>
          <w:p>
            <w:r>
              <w:t>decay</w:t>
            </w:r>
          </w:p>
        </w:tc>
        <w:tc>
          <w:tcPr>
            <w:tcW w:type="dxa" w:w="6624"/>
            <w:tcMar>
              <w:top w:w="95" w:type="dxa"/>
              <w:start w:w="95" w:type="dxa"/>
              <w:bottom w:w="95" w:type="dxa"/>
              <w:end w:w="95" w:type="dxa"/>
            </w:tcMar>
            <w:shd w:fill="F9FBFD"/>
          </w:tcPr>
          <w:p>
            <w:r>
              <w:t>Applied recency parameters and evaluation date</w:t>
            </w:r>
          </w:p>
        </w:tc>
      </w:tr>
      <w:tr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shd w:fill="F9FBFD"/>
          </w:tcPr>
          <w:p>
            <w:r>
              <w:t>notes</w:t>
            </w:r>
          </w:p>
        </w:tc>
        <w:tc>
          <w:tcPr>
            <w:tcW w:type="dxa" w:w="6624"/>
            <w:tcMar>
              <w:top w:w="95" w:type="dxa"/>
              <w:start w:w="95" w:type="dxa"/>
              <w:bottom w:w="95" w:type="dxa"/>
              <w:end w:w="95" w:type="dxa"/>
            </w:tcMar>
            <w:shd w:fill="F9FBFD"/>
          </w:tcPr>
          <w:p>
            <w:r>
              <w:t>Human-readable explanation string for UI or analysts</w:t>
            </w:r>
          </w:p>
        </w:tc>
      </w:tr>
    </w:tbl>
    <w:p>
      <w:pPr>
        <w:pStyle w:val="H1Custom"/>
      </w:pPr>
      <w:r>
        <w:t>11. Implementation guidance</w:t>
      </w:r>
    </w:p>
    <w:p>
      <w:pPr>
        <w:pStyle w:val="ListBullet"/>
      </w:pPr>
      <w:r>
        <w:t>Keep scoring as a pure service layer: inputs in, score package out. Persist after computation, not during it.</w:t>
      </w:r>
    </w:p>
    <w:p>
      <w:pPr>
        <w:pStyle w:val="ListBullet"/>
      </w:pPr>
      <w:r>
        <w:t>Version the scoring logic. A simple scoring_version string in supplier_scores and rationale_json is enough to start.</w:t>
      </w:r>
    </w:p>
    <w:p>
      <w:pPr>
        <w:pStyle w:val="ListBullet"/>
      </w:pPr>
      <w:r>
        <w:t>Avoid recomputing every supplier every run. Refresh only suppliers touched by new evidence or changed exposures.</w:t>
      </w:r>
    </w:p>
    <w:p>
      <w:pPr>
        <w:pStyle w:val="ListBullet"/>
      </w:pPr>
      <w:r>
        <w:t>Cluster near-duplicate events before operational rollup so one article syndicated across many outlets does not overwhelm the score.</w:t>
      </w:r>
    </w:p>
    <w:p>
      <w:pPr>
        <w:pStyle w:val="ListBullet"/>
      </w:pPr>
      <w:r>
        <w:t>Write deterministic tests around formulas, decay, and threshold behavior before adding AI summarization on top.</w:t>
      </w:r>
    </w:p>
    <w:p>
      <w:pPr>
        <w:pStyle w:val="H1Custom"/>
      </w:pPr>
      <w:r>
        <w:t>12. Recommended next build steps</w:t>
      </w:r>
    </w:p>
    <w:p>
      <w:pPr>
        <w:pStyle w:val="ListBullet"/>
      </w:pPr>
      <w:r>
        <w:t>Add explicit endpoints for /ingestion-runs/{id}, /suppliers/{id}/risk-profile, and /reports/{type}/{run_id}.</w:t>
      </w:r>
    </w:p>
    <w:p>
      <w:pPr>
        <w:pStyle w:val="ListBullet"/>
      </w:pPr>
      <w:r>
        <w:t>Persist attempt_count, started_at, completed_at, and checkpoint metadata on ingestion_runs for cleaner operational dashboards.</w:t>
      </w:r>
    </w:p>
    <w:p>
      <w:pPr>
        <w:pStyle w:val="ListBullet"/>
      </w:pPr>
      <w:r>
        <w:t>Store one compact score breakdown object per supplier page so the frontend can render chart segments without extra joins.</w:t>
      </w:r>
    </w:p>
    <w:p>
      <w:pPr>
        <w:pStyle w:val="ListBullet"/>
      </w:pPr>
      <w:r>
        <w:t>Introduce Redis only after you need distributed locks, short-term caching, or more coordinated queue behavior.</w:t>
      </w:r>
    </w:p>
    <w:p>
      <w:pPr>
        <w:pStyle w:val="H1Custom"/>
      </w:pPr>
      <w:r>
        <w:t>Appendix A. Sequence implementation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888"/>
        <w:gridCol w:w="2880"/>
      </w:tblGrid>
      <w:tr>
        <w:tc>
          <w:tcPr>
            <w:tcW w:type="dxa" w:w="3360"/>
            <w:shd w:fill="DCE8F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rPr>
                <w:b/>
              </w:rPr>
              <w:t>Area</w:t>
            </w:r>
          </w:p>
        </w:tc>
        <w:tc>
          <w:tcPr>
            <w:tcW w:type="dxa" w:w="3360"/>
            <w:shd w:fill="DCE8F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rPr>
                <w:b/>
              </w:rPr>
              <w:t>Must-have behavior</w:t>
            </w:r>
          </w:p>
        </w:tc>
        <w:tc>
          <w:tcPr>
            <w:tcW w:type="dxa" w:w="3360"/>
            <w:shd w:fill="DCE8F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API queueing</w:t>
            </w:r>
          </w:p>
        </w:tc>
        <w:tc>
          <w:tcPr>
            <w:tcW w:type="dxa" w:w="3888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Return 202 after creating run row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Makes UI responsive and stateful</w:t>
            </w:r>
          </w:p>
        </w:tc>
      </w:tr>
      <w:tr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Raw storage</w:t>
            </w:r>
          </w:p>
        </w:tc>
        <w:tc>
          <w:tcPr>
            <w:tcW w:type="dxa" w:w="3888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Store payload before parse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Supports replay and parser debugging</w:t>
            </w:r>
          </w:p>
        </w:tc>
      </w:tr>
      <w:tr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Idempotency</w:t>
            </w:r>
          </w:p>
        </w:tc>
        <w:tc>
          <w:tcPr>
            <w:tcW w:type="dxa" w:w="3888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Upsert using source natural keys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Prevents duplicate events and documents</w:t>
            </w:r>
          </w:p>
        </w:tc>
      </w:tr>
      <w:tr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Retries</w:t>
            </w:r>
          </w:p>
        </w:tc>
        <w:tc>
          <w:tcPr>
            <w:tcW w:type="dxa" w:w="3888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Retry only transient failures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Keeps noise low and runs understandable</w:t>
            </w:r>
          </w:p>
        </w:tc>
      </w:tr>
      <w:tr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Scoring refresh</w:t>
            </w:r>
          </w:p>
        </w:tc>
        <w:tc>
          <w:tcPr>
            <w:tcW w:type="dxa" w:w="3888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Recompute touched suppliers only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Limits cost and runtime</w:t>
            </w:r>
          </w:p>
        </w:tc>
      </w:tr>
      <w:tr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Report serving</w:t>
            </w:r>
          </w:p>
        </w:tc>
        <w:tc>
          <w:tcPr>
            <w:tcW w:type="dxa" w:w="3888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Use report-ready view models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shd w:fill="FAFCFE"/>
          </w:tcPr>
          <w:p>
            <w:r>
              <w:t>Keeps frontend simple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7882"/>
        <w:sz w:val="16"/>
      </w:rPr>
      <w:t>Battery supply chain platform - technical architecture deep dive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keepNext/>
      <w:spacing w:before="0" w:after="120"/>
    </w:pPr>
    <w:rPr>
      <w:rFonts w:ascii="Aptos" w:hAnsi="Aptos"/>
      <w:b/>
      <w:color w:val="15365D"/>
      <w:sz w:val="48"/>
    </w:rPr>
  </w:style>
  <w:style w:type="paragraph" w:customStyle="1" w:styleId="SubtitleCustom">
    <w:name w:val="SubtitleCustom"/>
    <w:basedOn w:val="Normal"/>
    <w:pPr>
      <w:spacing w:before="0" w:after="280"/>
    </w:pPr>
    <w:rPr>
      <w:rFonts w:ascii="Aptos" w:hAnsi="Aptos"/>
      <w:b w:val="0"/>
      <w:color w:val="53606D"/>
      <w:sz w:val="22"/>
    </w:rPr>
  </w:style>
  <w:style w:type="paragraph" w:customStyle="1" w:styleId="H1Custom">
    <w:name w:val="H1Custom"/>
    <w:basedOn w:val="Normal"/>
    <w:pPr>
      <w:spacing w:before="280" w:after="120"/>
    </w:pPr>
    <w:rPr>
      <w:rFonts w:ascii="Aptos" w:hAnsi="Aptos"/>
      <w:b/>
      <w:color w:val="15365D"/>
      <w:sz w:val="32"/>
    </w:rPr>
  </w:style>
  <w:style w:type="paragraph" w:customStyle="1" w:styleId="H2Custom">
    <w:name w:val="H2Custom"/>
    <w:basedOn w:val="Normal"/>
    <w:pPr>
      <w:spacing w:before="200" w:after="80"/>
    </w:pPr>
    <w:rPr>
      <w:rFonts w:ascii="Aptos" w:hAnsi="Aptos"/>
      <w:b/>
      <w:color w:val="234B77"/>
      <w:sz w:val="25"/>
    </w:rPr>
  </w:style>
  <w:style w:type="paragraph" w:customStyle="1" w:styleId="SmallCapsNote">
    <w:name w:val="SmallCapsNote"/>
    <w:basedOn w:val="Normal"/>
    <w:pPr>
      <w:spacing w:before="0" w:after="120"/>
    </w:pPr>
    <w:rPr>
      <w:rFonts w:ascii="Aptos" w:hAnsi="Aptos"/>
      <w:b w:val="0"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