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left"/>
      </w:pPr>
      <w:r>
        <w:rPr>
          <w:rFonts w:ascii="Arial" w:cs="Arial" w:eastAsia="Arial" w:hAnsi="Arial"/>
          <w:b/>
          <w:bCs/>
          <w:color w:val="1F4E79"/>
          <w:sz w:val="44"/>
          <w:szCs w:val="44"/>
        </w:rPr>
        <w:t xml:space="preserve">Technical Architecture &amp; Scoring Framework</w:t>
      </w:r>
    </w:p>
    <w:p>
      <w:pPr>
        <w:spacing w:after="80" w:before="0"/>
      </w:pPr>
      <w:r>
        <w:rPr>
          <w:rFonts w:ascii="Arial" w:cs="Arial" w:eastAsia="Arial" w:hAnsi="Arial"/>
          <w:color w:val="2E75B6"/>
          <w:sz w:val="28"/>
          <w:szCs w:val="28"/>
        </w:rPr>
        <w:t xml:space="preserve">EV Battery Supply Chain Intelligence Platform — Revised v2</w:t>
      </w:r>
    </w:p>
    <w:p>
      <w:pPr>
        <w:spacing w:after="320" w:before="0"/>
      </w:pPr>
      <w:r>
        <w:rPr>
          <w:rFonts w:ascii="Arial" w:cs="Arial" w:eastAsia="Arial" w:hAnsi="Arial"/>
          <w:i/>
          <w:iCs/>
          <w:color w:val="595959"/>
          <w:sz w:val="22"/>
          <w:szCs w:val="22"/>
        </w:rPr>
        <w:t xml:space="preserve">Automotive Data Solutions  |  April 2026</w:t>
      </w:r>
    </w:p>
    <w:p>
      <w:pPr>
        <w:pBdr>
          <w:bottom w:val="single" w:color="2E75B6" w:sz="6" w:space="1"/>
        </w:pBdr>
        <w:spacing w:after="120" w:before="60"/>
      </w:pPr>
      <w:r>
        <w:t xml:space="preserve"/>
      </w:r>
    </w:p>
    <w:p>
      <w:pPr>
        <w:spacing w:after="8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F4E79"/>
          <w:sz w:val="32"/>
          <w:szCs w:val="32"/>
        </w:rPr>
        <w:t xml:space="preserve">1. Context and Purpose</w:t>
      </w:r>
    </w:p>
    <w:p>
      <w:pPr>
        <w:spacing w:after="80" w:before="80"/>
      </w:pPr>
      <w:r>
        <w:rPr>
          <w:rFonts w:ascii="Arial" w:cs="Arial" w:eastAsia="Arial" w:hAnsi="Arial"/>
          <w:sz w:val="22"/>
          <w:szCs w:val="22"/>
        </w:rPr>
        <w:t xml:space="preserve">This document defines the technical architecture, service topology, data ingestion design, and scoring framework for the EV Battery Supply Chain Intelligence Platform. It reflects the current partial build state and prescribes the recommended changes needed to reduce cost, add missing infrastructure, and establish a clear path from report generation to SaaS product.</w:t>
      </w:r>
    </w:p>
    <w:p>
      <w:pPr>
        <w:spacing w:after="120" w:before="0"/>
      </w:pPr>
      <w:r>
        <w:t xml:space="preserve"/>
      </w:r>
    </w:p>
    <w:p>
      <w:pPr>
        <w:spacing w:after="80" w:before="80"/>
      </w:pPr>
      <w:r>
        <w:rPr>
          <w:rFonts w:ascii="Arial" w:cs="Arial" w:eastAsia="Arial" w:hAnsi="Arial"/>
          <w:sz w:val="22"/>
          <w:szCs w:val="22"/>
        </w:rPr>
        <w:t xml:space="preserve">The platform ingests data from a mix of commercial APIs and public scraping sources, normalizes regulatory, geopolitical, supplier, and financial signals, and produces explainable risk scores at the supplier and event level. The scoring output feeds custom reports in the near term and a live SaaS dashboard in the medium term.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22"/>
                <w:szCs w:val="22"/>
              </w:rPr>
              <w:t xml:space="preserve">Design Constraints</w:t>
            </w:r>
          </w:p>
          <w:p>
            <w:r>
              <w:rPr>
                <w:rFonts w:ascii="Arial" w:cs="Arial" w:eastAsia="Arial" w:hAnsi="Arial"/>
                <w:i/>
                <w:iCs/>
                <w:sz w:val="20"/>
                <w:szCs w:val="20"/>
              </w:rPr>
              <w:t xml:space="preserve">Keep the operational cost floor low during the report-generation phase. No service should idle at full cost between infrequent ingestion runs. Every architectural decision should be revisable — avoid lock-in to any single vendor before SaaS demand is validated.</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2. Design Intent and Operating Model</w:t>
      </w:r>
    </w:p>
    <w:p>
      <w:pPr>
        <w:spacing w:after="80" w:before="80"/>
      </w:pPr>
      <w:r>
        <w:rPr>
          <w:rFonts w:ascii="Arial" w:cs="Arial" w:eastAsia="Arial" w:hAnsi="Arial"/>
          <w:sz w:val="22"/>
          <w:szCs w:val="22"/>
        </w:rPr>
        <w:t xml:space="preserve">The architecture separates concerns across three layers: a thin presentation layer, a lightweight API layer that handles orchestration and serving, and an asynchronous execution layer that does all heavyweight work. The frontend never talks directly to the database — it only consumes the API. All ingestion, parsing, scoring, and report generation happens asynchronously so the API response path stays fast and predictable.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Operational Principles</w:t>
      </w:r>
    </w:p>
    <w:p>
      <w:pPr>
        <w:pStyle w:val="ListParagraph"/>
        <w:numPr>
          <w:ilvl w:val="0"/>
          <w:numId w:val="2"/>
        </w:numPr>
        <w:spacing w:after="60" w:before="60"/>
      </w:pPr>
      <w:r>
        <w:rPr>
          <w:rFonts w:ascii="Arial" w:cs="Arial" w:eastAsia="Arial" w:hAnsi="Arial"/>
          <w:sz w:val="22"/>
          <w:szCs w:val="22"/>
        </w:rPr>
        <w:t xml:space="preserve">Every ingestion run gets a durable run record in Neon before any network work begins. If the worker crashes, the run record is the source of truth for recovery.</w:t>
      </w:r>
    </w:p>
    <w:p>
      <w:pPr>
        <w:pStyle w:val="ListParagraph"/>
        <w:numPr>
          <w:ilvl w:val="0"/>
          <w:numId w:val="2"/>
        </w:numPr>
        <w:spacing w:after="60" w:before="60"/>
      </w:pPr>
      <w:r>
        <w:rPr>
          <w:rFonts w:ascii="Arial" w:cs="Arial" w:eastAsia="Arial" w:hAnsi="Arial"/>
          <w:sz w:val="22"/>
          <w:szCs w:val="22"/>
        </w:rPr>
        <w:t xml:space="preserve">Every raw payload is stored in R2 before parsing or normalization. This is non-negotiable — raw storage enables replay and makes parser bugs recoverable.</w:t>
      </w:r>
    </w:p>
    <w:p>
      <w:pPr>
        <w:pStyle w:val="ListParagraph"/>
        <w:numPr>
          <w:ilvl w:val="0"/>
          <w:numId w:val="2"/>
        </w:numPr>
        <w:spacing w:after="60" w:before="60"/>
      </w:pPr>
      <w:r>
        <w:rPr>
          <w:rFonts w:ascii="Arial" w:cs="Arial" w:eastAsia="Arial" w:hAnsi="Arial"/>
          <w:sz w:val="22"/>
          <w:szCs w:val="22"/>
        </w:rPr>
        <w:t xml:space="preserve">All downstream writes are idempotent through natural keys and checksums. Duplicate events from syndicated news must not inflate scores.</w:t>
      </w:r>
    </w:p>
    <w:p>
      <w:pPr>
        <w:pStyle w:val="ListParagraph"/>
        <w:numPr>
          <w:ilvl w:val="0"/>
          <w:numId w:val="2"/>
        </w:numPr>
        <w:spacing w:after="60" w:before="60"/>
      </w:pPr>
      <w:r>
        <w:rPr>
          <w:rFonts w:ascii="Arial" w:cs="Arial" w:eastAsia="Arial" w:hAnsi="Arial"/>
          <w:sz w:val="22"/>
          <w:szCs w:val="22"/>
        </w:rPr>
        <w:t xml:space="preserve">Scores are explainable. Every supplier score row includes rationale_json with component values, top evidence IDs, decay parameters, and a human-readable notes string.</w:t>
      </w:r>
    </w:p>
    <w:p>
      <w:pPr>
        <w:pStyle w:val="ListParagraph"/>
        <w:numPr>
          <w:ilvl w:val="0"/>
          <w:numId w:val="2"/>
        </w:numPr>
        <w:spacing w:after="60" w:before="60"/>
      </w:pPr>
      <w:r>
        <w:rPr>
          <w:rFonts w:ascii="Arial" w:cs="Arial" w:eastAsia="Arial" w:hAnsi="Arial"/>
          <w:sz w:val="22"/>
          <w:szCs w:val="22"/>
        </w:rPr>
        <w:t xml:space="preserve">The scoring layer is stateless and versioned. Inputs in, score package out. Persist after computation, not during it. A scoring_version string enables score comparisons across formula updates.</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3. Revised Service Topology</w:t>
      </w:r>
    </w:p>
    <w:p>
      <w:pPr>
        <w:spacing w:after="80" w:before="80"/>
      </w:pPr>
      <w:r>
        <w:rPr>
          <w:rFonts w:ascii="Arial" w:cs="Arial" w:eastAsia="Arial" w:hAnsi="Arial"/>
          <w:sz w:val="22"/>
          <w:szCs w:val="22"/>
        </w:rPr>
        <w:t xml:space="preserve">The table below reflects the recommended stack. Green rows in the Action column are new additions. Amber rows are swaps from the original design. The rationale for each change is described in Section 4.</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Vercel / Next.js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Keep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tier; SSR + edge; natural auth.js integration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Railway / FastAPI</w:t>
            </w:r>
          </w:p>
        </w:tc>
        <w:tc>
          <w:tcPr>
            <w:tcW w:type="dxa" w:w="22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Swap from Render</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Usage-based billing (~$3-5/mo), no cold starts on paid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 Workers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Modal.com</w:t>
            </w:r>
          </w:p>
        </w:tc>
        <w:tc>
          <w:tcPr>
            <w:tcW w:type="dxa" w:w="22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 Render worker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Serverless Python; pay-per-second; $0 at low volume; GPU-ready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 Queue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Inngest</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 add now</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Replaces cron + Redis + queue; native retry + observability;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Neon Postgres + pgvector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Keep, add pgvector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Serverless billing; free tier; pgvector enables semantic search at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 Storage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Cloudflare R2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Commit (drop S3)</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egress cost vs. $0.09/GB on S3; S3-compatible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Clerk</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 add now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Next.js native; org/team support for SaaS; free to 10k MAU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Tracking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Sentry</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 add now</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tier sufficient; critical for silent pipeline failures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Axiom</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 add now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GB/mo free; structured log queries without Datadog cost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OpenAI / Anthropic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strategy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prompt caching + batch API; reduces inference cost 50-80%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Neon pgvector + tsvector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built-in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separate search service needed until SaaS scale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 (later)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Stripe + Lago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schema now</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Meter usage per tenant; Lago is open-source and self-hostable</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4. Architecture Changes and Rationale</w:t>
      </w:r>
    </w:p>
    <w:p>
      <w:pPr>
        <w:pStyle w:val="Heading2"/>
        <w:spacing w:after="120" w:before="280"/>
      </w:pPr>
      <w:r>
        <w:rPr>
          <w:rFonts w:ascii="Arial" w:cs="Arial" w:eastAsia="Arial" w:hAnsi="Arial"/>
          <w:b/>
          <w:bCs/>
          <w:color w:val="2E75B6"/>
          <w:sz w:val="26"/>
          <w:szCs w:val="26"/>
        </w:rPr>
        <w:t xml:space="preserve">4.1 Workers: Render to Modal.com</w:t>
      </w:r>
    </w:p>
    <w:p>
      <w:pPr>
        <w:spacing w:after="80" w:before="80"/>
      </w:pPr>
      <w:r>
        <w:rPr>
          <w:rFonts w:ascii="Arial" w:cs="Arial" w:eastAsia="Arial" w:hAnsi="Arial"/>
          <w:sz w:val="22"/>
          <w:szCs w:val="22"/>
        </w:rPr>
        <w:t xml:space="preserve">Render background workers are always-on services that bill by the month regardless of utilization. At the report-generation stage, ingestion runs are infrequent and workers sit idle most of the time. Modal.com runs Python functions serverlessly — they spin up on demand and bill per compute second. An ingestion run that takes 3 minutes costs approximately $0.003. The free tier provides $30/month in credits, which covers the entire early stage at near-zero cost.</w:t>
      </w:r>
    </w:p>
    <w:p>
      <w:pPr>
        <w:spacing w:after="120" w:before="0"/>
      </w:pPr>
      <w:r>
        <w:t xml:space="preserve"/>
      </w:r>
    </w:p>
    <w:p>
      <w:pPr>
        <w:spacing w:after="80" w:before="80"/>
      </w:pPr>
      <w:r>
        <w:rPr>
          <w:rFonts w:ascii="Arial" w:cs="Arial" w:eastAsia="Arial" w:hAnsi="Arial"/>
          <w:sz w:val="22"/>
          <w:szCs w:val="22"/>
        </w:rPr>
        <w:t xml:space="preserve">Modal also handles scheduling natively, eliminating the need for a separate Render cron service. As data volume grows and runs become more frequent, Modal scales continuously without re-architecture. If scoring models later require GPU compute, Modal supports that on the same platform.</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4.2 Workflow Orchestration: Inngest</w:t>
      </w:r>
    </w:p>
    <w:p>
      <w:pPr>
        <w:spacing w:after="80" w:before="80"/>
      </w:pPr>
      <w:r>
        <w:rPr>
          <w:rFonts w:ascii="Arial" w:cs="Arial" w:eastAsia="Arial" w:hAnsi="Arial"/>
          <w:sz w:val="22"/>
          <w:szCs w:val="22"/>
        </w:rPr>
        <w:t xml:space="preserve">The original design implies a queue (Render workers need something to pull from) but does not specify one. Adding Redis + Celery would be the conventional approach, at approximately $10-15/month for a managed Redis instance. Inngest replaces this entire pattern. It provides a durable queue, native retry with backoff, cron scheduling, fan-out for parallel ingestion, and a built-in execution dashboard — without a separate broker service.</w:t>
      </w:r>
    </w:p>
    <w:p>
      <w:pPr>
        <w:spacing w:after="120" w:before="0"/>
      </w:pPr>
      <w:r>
        <w:t xml:space="preserve"/>
      </w:r>
    </w:p>
    <w:p>
      <w:pPr>
        <w:spacing w:after="80" w:before="80"/>
      </w:pPr>
      <w:r>
        <w:rPr>
          <w:rFonts w:ascii="Arial" w:cs="Arial" w:eastAsia="Arial" w:hAnsi="Arial"/>
          <w:sz w:val="22"/>
          <w:szCs w:val="22"/>
        </w:rPr>
        <w:t xml:space="preserve">Inngest integrates directly with Next.js and FastAPI. The API layer creates an Inngest event; Inngest delivers it to the worker function with guaranteed at-least-once delivery. The execution dashboard provides visibility into every workflow step, which is essential for debugging silent ingestion failures.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4.3 API Host: Render vs. Railway</w:t>
      </w:r>
    </w:p>
    <w:p>
      <w:pPr>
        <w:spacing w:after="80" w:before="80"/>
      </w:pPr>
      <w:r>
        <w:rPr>
          <w:rFonts w:ascii="Arial" w:cs="Arial" w:eastAsia="Arial" w:hAnsi="Arial"/>
          <w:sz w:val="22"/>
          <w:szCs w:val="22"/>
        </w:rPr>
        <w:t xml:space="preserve">Render's starter tier sleeps services after inactivity, producing cold starts of 30 or more seconds. For a reporting platform where analysts may check in periodically, this is a poor experience. Render's paid tier ($7/month) prevents sleep, making the true cost $7/month regardless of traffic volume. Railway uses usage-based billing and runs approximately $3-5/month at low traffic with no cold start problem on paid plans. The FastAPI migration between the two platforms is low-effort.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4.4 Storage: Commit to Cloudflare R2</w:t>
      </w:r>
    </w:p>
    <w:p>
      <w:pPr>
        <w:spacing w:after="80" w:before="80"/>
      </w:pPr>
      <w:r>
        <w:rPr>
          <w:rFonts w:ascii="Arial" w:cs="Arial" w:eastAsia="Arial" w:hAnsi="Arial"/>
          <w:sz w:val="22"/>
          <w:szCs w:val="22"/>
        </w:rPr>
        <w:t xml:space="preserve">The original document says 'R2 or S3' without committing. R2 is the correct choice. Amazon S3 charges $0.09/GB for data egress. When the platform serves report files, evidence artifacts, and raw payloads to browser clients or downstream consumers at scale, egress cost compounds. R2 has zero egress cost with a fully S3-compatible API. The only practical difference is that R2 lacks some advanced S3 features (lifecycle policies, replication) that are not needed at this stage.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4.5 Missing Infrastructure — Add Now</w:t>
      </w:r>
    </w:p>
    <w:p>
      <w:pPr>
        <w:spacing w:after="80" w:before="80"/>
      </w:pPr>
      <w:r>
        <w:rPr>
          <w:rFonts w:ascii="Arial" w:cs="Arial" w:eastAsia="Arial" w:hAnsi="Arial"/>
          <w:sz w:val="22"/>
          <w:szCs w:val="22"/>
        </w:rPr>
        <w:t xml:space="preserve">The following services are absent from the current architecture and should be added before any production ingestion runs.</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Clerk (Auth): </w:t>
      </w:r>
      <w:r>
        <w:rPr>
          <w:rFonts w:ascii="Arial" w:cs="Arial" w:eastAsia="Arial" w:hAnsi="Arial"/>
          <w:sz w:val="22"/>
          <w:szCs w:val="22"/>
        </w:rPr>
        <w:t xml:space="preserve">Clerk provides authentication with native Next.js integration and built-in Organization support. Organizations map directly to SaaS customers. Installing Clerk now and designing the tenant concept into the database schema prevents a painful retrofit before the SaaS launch. The free tier supports up to 10,000 monthly active users.</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Sentry (Error Tracking): </w:t>
      </w:r>
      <w:r>
        <w:rPr>
          <w:rFonts w:ascii="Arial" w:cs="Arial" w:eastAsia="Arial" w:hAnsi="Arial"/>
          <w:sz w:val="22"/>
          <w:szCs w:val="22"/>
        </w:rPr>
        <w:t xml:space="preserve">For a data ingestion pipeline, silent failures are the most dangerous kind of failure. An ingestion run that errors out and returns stale scores can go unnoticed for days, directly undermining report credibility. Sentry's free tier is sufficient for early stage and takes under an hour to integrate with FastAPI and Next.js.</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Axiom (Structured Logging): </w:t>
      </w:r>
      <w:r>
        <w:rPr>
          <w:rFonts w:ascii="Arial" w:cs="Arial" w:eastAsia="Arial" w:hAnsi="Arial"/>
          <w:sz w:val="22"/>
          <w:szCs w:val="22"/>
        </w:rPr>
        <w:t xml:space="preserve">Structured log queries are essential for debugging ingestion workers. Axiom's free tier provides 500 GB/month of log retention. Unlike plain stdout logs on Render, Axiom enables queries like 'show all ingestion runs for this supplier in the last 7 days that had partial_success status'.</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pgvector on Neon: </w:t>
      </w:r>
      <w:r>
        <w:rPr>
          <w:rFonts w:ascii="Arial" w:cs="Arial" w:eastAsia="Arial" w:hAnsi="Arial"/>
          <w:sz w:val="22"/>
          <w:szCs w:val="22"/>
        </w:rPr>
        <w:t xml:space="preserve">Neon supports pgvector natively at no additional cost. Adding a vector column to risk_events and regulatory documents enables semantic search over the intelligence layer — a core feature of the long-term vision — without adding a separate search service. Full-text search via Postgres tsvector handles keyword search. Both are sufficient well into the SaaS phase.</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5. Cost Comparison</w:t>
      </w:r>
    </w:p>
    <w:p>
      <w:pPr>
        <w:spacing w:after="80" w:before="80"/>
      </w:pPr>
      <w:r>
        <w:rPr>
          <w:rFonts w:ascii="Arial" w:cs="Arial" w:eastAsia="Arial" w:hAnsi="Arial"/>
          <w:sz w:val="22"/>
          <w:szCs w:val="22"/>
        </w:rPr>
        <w:t xml:space="preserve">The table below compares the current Render-based stack against the recommended stack at early-stage volume. The current stack costs more while leaving auth, observability, and queue infrastructure unaddressed. The recommended stack is cheaper and more complete.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Current Render Stack</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Recommended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host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 ~$7/mo (always-on)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Railway ~$3-5/mo (usage-based)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 workers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 ~$7/mo per worker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Modal.com ~$0-2/mo (serverless)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Cron scheduling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 ~$7/mo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Inngest $0 (free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Queue / broker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~$10-15/mo (implicit need)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Inngest $0 (built-in)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Clerk $0 (to 10k MAU)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Observability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Sentry + Axiom $0 (free tiers)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Neon $0 (free tier)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Neon $0 (unchanged)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R2/S3 ~$0-1/mo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~$0-1/mo (commit to R2)</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(early stage)</w:t>
            </w:r>
          </w:p>
        </w:tc>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~$31-37/mo (incomplete stack)</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~$5-8/mo (complete stack)</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6. Data Ingestion Architecture</w:t>
      </w:r>
    </w:p>
    <w:p>
      <w:pPr>
        <w:spacing w:after="80" w:before="80"/>
      </w:pPr>
      <w:r>
        <w:rPr>
          <w:rFonts w:ascii="Arial" w:cs="Arial" w:eastAsia="Arial" w:hAnsi="Arial"/>
          <w:sz w:val="22"/>
          <w:szCs w:val="22"/>
        </w:rPr>
        <w:t xml:space="preserve">The platform ingests from a mix of commercial data APIs and public scraping sources. These two source types have fundamentally different characteristics and must not be handled by the same generic ingestion loop. Each source requires its own adapter class with source-specific rate limiting, authentication handling, retry policy, and natural key definition.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6.1 Source Adapter Pattern</w:t>
      </w:r>
    </w:p>
    <w:p>
      <w:pPr>
        <w:spacing w:after="80" w:before="80"/>
      </w:pPr>
      <w:r>
        <w:rPr>
          <w:rFonts w:ascii="Arial" w:cs="Arial" w:eastAsia="Arial" w:hAnsi="Arial"/>
          <w:sz w:val="22"/>
          <w:szCs w:val="22"/>
        </w:rPr>
        <w:t xml:space="preserve">Each data source is represented by an adapter class that implements a standard interface: fetch_raw(), parse(), get_natural_key(record), and get_checksum(record). The ingestion worker calls these methods in sequence, storing the raw payload in R2 before any parsing occurs. This pattern allows parser bugs to be fixed and replayed against stored payloads without re-fetching.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400"/>
        <w:gridCol w:w="2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Protocol</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Auth</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 EDGAR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Commercial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(public)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Accession number as natural key. Check CIK-to-supplier map freshness.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Regulatory bodies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HTML/XML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(public)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NHTSA, CARB, EU Official Journal. Checksum on document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News / 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RSS + scraping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NewsAPI key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Cluster near-duplicates before scoring. High syndication noise.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Trade flow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Commercial API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REST/CSV</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HS code to supplier mapping is the hard part. Validate mapping on each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Geopolitical signals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 scraping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Various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GDELT (free), premium feeds (paid). Requires geography resolution layer.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filings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 scraping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D&amp;B, Creditsafe, or direct scraping for private suppliers. Rate limits vary.</w:t>
            </w:r>
          </w:p>
        </w:tc>
      </w:tr>
    </w:tbl>
    <w:p>
      <w:pPr>
        <w:spacing w:after="120" w:before="0"/>
      </w:pPr>
      <w:r>
        <w:t xml:space="preserve"/>
      </w:r>
    </w:p>
    <w:p>
      <w:pPr>
        <w:spacing w:after="60" w:before="60"/>
      </w:pPr>
      <w:r>
        <w:rPr>
          <w:rFonts w:ascii="Arial" w:cs="Arial" w:eastAsia="Arial" w:hAnsi="Arial"/>
          <w:i/>
          <w:iCs/>
          <w:color w:val="595959"/>
          <w:sz w:val="20"/>
          <w:szCs w:val="20"/>
        </w:rPr>
        <w:t xml:space="preserve">Note: HS code to supplier mapping quality is the primary accuracy risk in trade flow ingestion. Build and maintain a validation step that checks mapping coverage on each run and alerts when it falls below a defined threshold.</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6.2 Ingestion Run Lifecycle</w:t>
      </w:r>
    </w:p>
    <w:p>
      <w:pPr>
        <w:spacing w:after="80" w:before="80"/>
      </w:pPr>
      <w:r>
        <w:rPr>
          <w:rFonts w:ascii="Arial" w:cs="Arial" w:eastAsia="Arial" w:hAnsi="Arial"/>
          <w:sz w:val="22"/>
          <w:szCs w:val="22"/>
        </w:rPr>
        <w:t xml:space="preserve">The recommended flow for an API-triggered or scheduled ingestion run:</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API receives trigger (manual or Inngest cron). Returns 202 immediately after creating a run record in Neon with status=queued.</w:t>
      </w:r>
    </w:p>
    <w:p>
      <w:pPr>
        <w:pStyle w:val="ListParagraph"/>
        <w:numPr>
          <w:ilvl w:val="0"/>
          <w:numId w:val="2"/>
        </w:numPr>
        <w:spacing w:after="60" w:before="60"/>
      </w:pPr>
      <w:r>
        <w:rPr>
          <w:rFonts w:ascii="Arial" w:cs="Arial" w:eastAsia="Arial" w:hAnsi="Arial"/>
          <w:sz w:val="22"/>
          <w:szCs w:val="22"/>
        </w:rPr>
        <w:t xml:space="preserve">Inngest picks up the event and dispatches the worker function to Modal.com.</w:t>
      </w:r>
    </w:p>
    <w:p>
      <w:pPr>
        <w:pStyle w:val="ListParagraph"/>
        <w:numPr>
          <w:ilvl w:val="0"/>
          <w:numId w:val="2"/>
        </w:numPr>
        <w:spacing w:after="60" w:before="60"/>
      </w:pPr>
      <w:r>
        <w:rPr>
          <w:rFonts w:ascii="Arial" w:cs="Arial" w:eastAsia="Arial" w:hAnsi="Arial"/>
          <w:sz w:val="22"/>
          <w:szCs w:val="22"/>
        </w:rPr>
        <w:t xml:space="preserve">Worker creates the source adapter for the target source. Fetches raw payload. Stores in R2 before parsing.</w:t>
      </w:r>
    </w:p>
    <w:p>
      <w:pPr>
        <w:pStyle w:val="ListParagraph"/>
        <w:numPr>
          <w:ilvl w:val="0"/>
          <w:numId w:val="2"/>
        </w:numPr>
        <w:spacing w:after="60" w:before="60"/>
      </w:pPr>
      <w:r>
        <w:rPr>
          <w:rFonts w:ascii="Arial" w:cs="Arial" w:eastAsia="Arial" w:hAnsi="Arial"/>
          <w:sz w:val="22"/>
          <w:szCs w:val="22"/>
        </w:rPr>
        <w:t xml:space="preserve">Worker parses and normalizes the payload. Writes idempotent upserts to Neon using natural keys and checksums.</w:t>
      </w:r>
    </w:p>
    <w:p>
      <w:pPr>
        <w:pStyle w:val="ListParagraph"/>
        <w:numPr>
          <w:ilvl w:val="0"/>
          <w:numId w:val="2"/>
        </w:numPr>
        <w:spacing w:after="60" w:before="60"/>
      </w:pPr>
      <w:r>
        <w:rPr>
          <w:rFonts w:ascii="Arial" w:cs="Arial" w:eastAsia="Arial" w:hAnsi="Arial"/>
          <w:sz w:val="22"/>
          <w:szCs w:val="22"/>
        </w:rPr>
        <w:t xml:space="preserve">Worker marks run as complete or partial_success. Score refresh is triggered for all suppliers touched by new evidence.</w:t>
      </w:r>
    </w:p>
    <w:p>
      <w:pPr>
        <w:pStyle w:val="ListParagraph"/>
        <w:numPr>
          <w:ilvl w:val="0"/>
          <w:numId w:val="2"/>
        </w:numPr>
        <w:spacing w:after="60" w:before="60"/>
      </w:pPr>
      <w:r>
        <w:rPr>
          <w:rFonts w:ascii="Arial" w:cs="Arial" w:eastAsia="Arial" w:hAnsi="Arial"/>
          <w:sz w:val="22"/>
          <w:szCs w:val="22"/>
        </w:rPr>
        <w:t xml:space="preserve">Score refresh writes component scores and rationale_json to supplier_scores. Report insights are generated after score persistence so every insight references a stable score snapshot.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6.3 Failure Handling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Failure Class</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Examples</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Treatment</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Escalate?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Transient I/O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429, 5xx, timeout from commercial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Retry 3-5x with exponential backoff and jitter. Respect Retry-After header.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after max attempts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Transient I/O (scraping)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timeout, rendering failure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Retry 2-3x. If persistent, mark source_unavailable for that run.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after max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schema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Field renamed, response shape changed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failed, retain raw payload, emit parser alert immediately.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immediately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 exceeded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Commercial API 429 with long Retry-After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Suspend that source adapter for the window; continue other sources.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 expected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Duplicate replay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natural key, same checksum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Idempotent upsert or skip. No alert.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 batch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page bad, others fine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Commit partial results; mark partial_success on run record.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low urgency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401/403 from commercial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Halt that source adapter. Emit critical alert — credentials may have expired.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immediately</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7. Key Execution Paths</w:t>
      </w:r>
    </w:p>
    <w:p>
      <w:pPr>
        <w:pStyle w:val="Heading2"/>
        <w:spacing w:after="120" w:before="280"/>
      </w:pPr>
      <w:r>
        <w:rPr>
          <w:rFonts w:ascii="Arial" w:cs="Arial" w:eastAsia="Arial" w:hAnsi="Arial"/>
          <w:b/>
          <w:bCs/>
          <w:color w:val="2E75B6"/>
          <w:sz w:val="26"/>
          <w:szCs w:val="26"/>
        </w:rPr>
        <w:t xml:space="preserve">7.1 API-Triggered Ingestion</w:t>
      </w:r>
    </w:p>
    <w:p>
      <w:pPr>
        <w:spacing w:after="80" w:before="80"/>
      </w:pPr>
      <w:r>
        <w:rPr>
          <w:rFonts w:ascii="Arial" w:cs="Arial" w:eastAsia="Arial" w:hAnsi="Arial"/>
          <w:sz w:val="22"/>
          <w:szCs w:val="22"/>
        </w:rPr>
        <w:t xml:space="preserve">The API layer creates an ingestion run record and an Inngest event. It returns 202 immediately — the request path is complete. Inngest delivers the event to a Modal worker function. The worker handles pagination, raw storage in R2, parsing, entity resolution, and normalized writes to Neon. The run record is updated at each state transition and becomes the source of truth for dashboards and troubleshooting.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22"/>
                <w:szCs w:val="22"/>
              </w:rPr>
              <w:t xml:space="preserve">Key Invariant</w:t>
            </w:r>
          </w:p>
          <w:p>
            <w:r>
              <w:rPr>
                <w:rFonts w:ascii="Arial" w:cs="Arial" w:eastAsia="Arial" w:hAnsi="Arial"/>
                <w:i/>
                <w:iCs/>
                <w:sz w:val="20"/>
                <w:szCs w:val="20"/>
              </w:rPr>
              <w:t xml:space="preserve">The API must return before any expensive work begins. The run record must exist in Neon before any network calls are made by the worker. If Modal or Inngest is unavailable, the run record records the failure state.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7.2 Scheduled Ingestion</w:t>
      </w:r>
    </w:p>
    <w:p>
      <w:pPr>
        <w:spacing w:after="80" w:before="80"/>
      </w:pPr>
      <w:r>
        <w:rPr>
          <w:rFonts w:ascii="Arial" w:cs="Arial" w:eastAsia="Arial" w:hAnsi="Arial"/>
          <w:sz w:val="22"/>
          <w:szCs w:val="22"/>
        </w:rPr>
        <w:t xml:space="preserve">Inngest cron jobs replace Render cron jobs. Inngest triggers the same ingestion worker function on a defined schedule. Failed runs are automatically retried by Inngest according to the retry policy defined per source adapter. The Inngest dashboard provides a complete execution history for each scheduled run.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7.3 Score Refresh</w:t>
      </w:r>
    </w:p>
    <w:p>
      <w:pPr>
        <w:spacing w:after="80" w:before="80"/>
      </w:pPr>
      <w:r>
        <w:rPr>
          <w:rFonts w:ascii="Arial" w:cs="Arial" w:eastAsia="Arial" w:hAnsi="Arial"/>
          <w:sz w:val="22"/>
          <w:szCs w:val="22"/>
        </w:rPr>
        <w:t xml:space="preserve">Score refresh is triggered after any ingestion run that produces new or updated evidence. Only suppliers touched by new events, exposure changes, filing updates, or trade-flow shocks are eligible for refresh — not all suppliers on every run. The scoring engine loads only the relevant evidence window for each supplier, not the full document history. After writing the new supplier_scores row, report insights are generated against the stable score snapshot.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7.4 Frontend Report Query</w:t>
      </w:r>
    </w:p>
    <w:p>
      <w:pPr>
        <w:spacing w:after="80" w:before="80"/>
      </w:pPr>
      <w:r>
        <w:rPr>
          <w:rFonts w:ascii="Arial" w:cs="Arial" w:eastAsia="Arial" w:hAnsi="Arial"/>
          <w:sz w:val="22"/>
          <w:szCs w:val="22"/>
        </w:rPr>
        <w:t xml:space="preserve">The FastAPI layer composes report responses from precomputed report_insights rows. High-cost evidence joins are precomputed at insight generation time so the frontend page load requires no heavy joins. Signed URLs for R2 evidence files are generated on demand with short TTLs — they are not stored in the database. The frontend receives a single response model per report page containing charts, summary text, evidence links, and score breakdowns.</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8. Scoring Philosophy</w:t>
      </w:r>
    </w:p>
    <w:p>
      <w:pPr>
        <w:spacing w:after="80" w:before="80"/>
      </w:pPr>
      <w:r>
        <w:rPr>
          <w:rFonts w:ascii="Arial" w:cs="Arial" w:eastAsia="Arial" w:hAnsi="Arial"/>
          <w:sz w:val="22"/>
          <w:szCs w:val="22"/>
        </w:rPr>
        <w:t xml:space="preserve">The scoring system is transparent, explainable, and deliberately conservative. The goal is not to predict an exact future supply disruption; it is to rank suppliers and exposures by combined evidence strength so analysts and report consumers can see where attention is most justified. A score that is unexplainable is worse than a lower-confidence score with clear rationale.</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Use stable 0-100 scales for each component and the overall score.</w:t>
      </w:r>
    </w:p>
    <w:p>
      <w:pPr>
        <w:pStyle w:val="ListParagraph"/>
        <w:numPr>
          <w:ilvl w:val="0"/>
          <w:numId w:val="2"/>
        </w:numPr>
        <w:spacing w:after="60" w:before="60"/>
      </w:pPr>
      <w:r>
        <w:rPr>
          <w:rFonts w:ascii="Arial" w:cs="Arial" w:eastAsia="Arial" w:hAnsi="Arial"/>
          <w:sz w:val="22"/>
          <w:szCs w:val="22"/>
        </w:rPr>
        <w:t xml:space="preserve">Keep the first version rule-based and auditable. Do not introduce model-based scoring until the rule-based layer is validated and stable.</w:t>
      </w:r>
    </w:p>
    <w:p>
      <w:pPr>
        <w:pStyle w:val="ListParagraph"/>
        <w:numPr>
          <w:ilvl w:val="0"/>
          <w:numId w:val="2"/>
        </w:numPr>
        <w:spacing w:after="60" w:before="60"/>
      </w:pPr>
      <w:r>
        <w:rPr>
          <w:rFonts w:ascii="Arial" w:cs="Arial" w:eastAsia="Arial" w:hAnsi="Arial"/>
          <w:sz w:val="22"/>
          <w:szCs w:val="22"/>
        </w:rPr>
        <w:t xml:space="preserve">Store both the final score and the evidence that produced it. The rationale_json is not optional — it is the primary product for report consumers.</w:t>
      </w:r>
    </w:p>
    <w:p>
      <w:pPr>
        <w:pStyle w:val="ListParagraph"/>
        <w:numPr>
          <w:ilvl w:val="0"/>
          <w:numId w:val="2"/>
        </w:numPr>
        <w:spacing w:after="60" w:before="60"/>
      </w:pPr>
      <w:r>
        <w:rPr>
          <w:rFonts w:ascii="Arial" w:cs="Arial" w:eastAsia="Arial" w:hAnsi="Arial"/>
          <w:sz w:val="22"/>
          <w:szCs w:val="22"/>
        </w:rPr>
        <w:t xml:space="preserve">Separate event scoring from supplier-level rollup logic. Events are scored individually before being aggregated into category scores.</w:t>
      </w:r>
    </w:p>
    <w:p>
      <w:pPr>
        <w:pStyle w:val="ListParagraph"/>
        <w:numPr>
          <w:ilvl w:val="0"/>
          <w:numId w:val="2"/>
        </w:numPr>
        <w:spacing w:after="60" w:before="60"/>
      </w:pPr>
      <w:r>
        <w:rPr>
          <w:rFonts w:ascii="Arial" w:cs="Arial" w:eastAsia="Arial" w:hAnsi="Arial"/>
          <w:sz w:val="22"/>
          <w:szCs w:val="22"/>
        </w:rPr>
        <w:t xml:space="preserve">Version every scoring run. A scoring_version change must be visible in score delta displays so consumers know whether a score change reflects new evidence or a formula change.</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9. Event Scoring Mechanics</w:t>
      </w:r>
    </w:p>
    <w:p>
      <w:pPr>
        <w:spacing w:after="80" w:before="80"/>
      </w:pPr>
      <w:r>
        <w:rPr>
          <w:rFonts w:ascii="Arial" w:cs="Arial" w:eastAsia="Arial" w:hAnsi="Arial"/>
          <w:sz w:val="22"/>
          <w:szCs w:val="22"/>
        </w:rPr>
        <w:t xml:space="preserve">Before rolling up to a supplier score, individual risk events are normalized into a comparable event impact value. This allows the platform to mix regulatory filings, geopolitical signals, news items, and financial distress indicators in a single evidence stream.</w:t>
      </w:r>
    </w:p>
    <w:p>
      <w:pPr>
        <w:spacing w:after="120" w:before="0"/>
      </w:pPr>
      <w:r>
        <w:t xml:space="preserve"/>
      </w:r>
    </w:p>
    <w:p>
      <w:pPr>
        <w:spacing w:after="80" w:before="120"/>
      </w:pPr>
      <w:r>
        <w:rPr>
          <w:rFonts w:ascii="Courier New" w:cs="Courier New" w:eastAsia="Courier New" w:hAnsi="Courier New"/>
          <w:b/>
          <w:bCs/>
          <w:color w:val="1F4E79"/>
          <w:sz w:val="22"/>
          <w:szCs w:val="22"/>
        </w:rPr>
        <w:t xml:space="preserve">event_impact = severity × effective_confidence × recency_multiplier × relevance_multiplier</w:t>
      </w:r>
    </w:p>
    <w:p>
      <w:pPr>
        <w:spacing w:after="160" w:before="0"/>
      </w:pPr>
      <w:r>
        <w:rPr>
          <w:rFonts w:ascii="Courier New" w:cs="Courier New" w:eastAsia="Courier New" w:hAnsi="Courier New"/>
          <w:b w:val="false"/>
          <w:bCs w:val="false"/>
          <w:color w:val="595959"/>
          <w:sz w:val="20"/>
          <w:szCs w:val="20"/>
        </w:rPr>
        <w:t xml:space="preserve">effective_confidence = max(confidence, 0.60) if severity ≥ 0.80 else confidence</w:t>
      </w:r>
    </w:p>
    <w:p>
      <w:pPr>
        <w:spacing w:after="60" w:before="60"/>
      </w:pPr>
      <w:r>
        <w:rPr>
          <w:rFonts w:ascii="Arial" w:cs="Arial" w:eastAsia="Arial" w:hAnsi="Arial"/>
          <w:i/>
          <w:iCs/>
          <w:color w:val="595959"/>
          <w:sz w:val="20"/>
          <w:szCs w:val="20"/>
        </w:rPr>
        <w:t xml:space="preserve">The confidence floor for high-severity events prevents genuine critical signals from being over-discounted due to parser uncertainty. A 0.90 severity event with only 0.45 raw confidence should not score below a 0.60 severity event with 0.80 confidence. The floor only applies when severity is 0.80 or above.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51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Factor</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Range</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severity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How materially disruptive the event is if true.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Strength of evidence and parser certainty. When severity &gt;= 0.80, confidence is floored at 0.60 to prevent genuine high-risk signals from being over-discounted due to parsing noise.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recency_multiplier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Recent events retain more weight. Geopolitical structural facts (country concentration, export restriction history) use a slower decay schedule — see Evidence Windows.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relevance_multiplier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0.7–1.3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Higher when event geography, material, or supplier match is direct. Indirect signals (industry-level news with no named supplier) stay closer to 0.70.</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Event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900"/>
        <w:gridCol w:w="1300"/>
        <w:gridCol w:w="26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Event Type</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Confidence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26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mineral export restriction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Geopolitical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Structural policy shock. Geopolitical path — slower decay applies.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UFLPA enforcement action on source region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Regulatory/Compliance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0.98</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legal compliance risk with named enforcement.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going concern note in 10-Q</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floor triggered (severity &gt;= 0.80). High-urgency signal.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warns margin pressure in 10-Q</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0.58</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Important stress signal; below severity threshold, no floor applied.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Trade-flow decline in relevant HS 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Geopolitical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Useful macro signal; confidence limited by HS-to-supplier mapping quality.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Generic industry news mention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directness; no confidence floor; correct to keep score low.</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10. Supplier-Level Component Scores</w:t>
      </w:r>
    </w:p>
    <w:p>
      <w:pPr>
        <w:spacing w:after="80" w:before="80"/>
      </w:pPr>
      <w:r>
        <w:rPr>
          <w:rFonts w:ascii="Arial" w:cs="Arial" w:eastAsia="Arial" w:hAnsi="Arial"/>
          <w:sz w:val="22"/>
          <w:szCs w:val="22"/>
        </w:rPr>
        <w:t xml:space="preserve">The original four-category framework has been revised to five categories. The key change is elevating geopolitical and trade risk to a standalone category rather than embedding it within material risk. For EV battery supply chains specifically, China's control of critical mineral refining, battery cell production, and component manufacturing is a structural fact that requires independent visibility. Embedding it in general material risk understates it.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360"/>
        <w:gridCol w:w="290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Primary Inputs</w:t>
            </w:r>
          </w:p>
        </w:tc>
        <w:tc>
          <w:tcPr>
            <w:tcW w:type="dxa" w:w="2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Material Concentration 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Material exposures, criticality, geographic concentration of supply, single-source dependency rate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weight: geographic and supplier concentration is the root cause of most EV battery disruptions. Subsumes sub-supply concentration (DRC cobalt, Chinese graphite refining).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Geopolitical / Trade Risk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Country-of-origin concentration, export restriction history, tariff exposure, bilateral trade policy signals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standalone category. China controls ~70-80% of battery cell production and critical mineral refining. This is a structural fact, not an event — it must score independently of commodity volatility.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Regulatory &amp; Compliance 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changes, effective dates, IRA domestic content rules, EU Battery Regulation, UFLPA enforcement, CBAM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Combines policy-change risk with hard compliance obligations. Near-term effective dates receive an uplift. UFLPA and EU Battery Reg are legally binding with enforcement teeth — not optional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Risk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Single-source rate, capacity buffer, geographic manufacturing concentration, production disruptions, supplier events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Reduced from 25% and restructured. Structural dependency indicators added. News-driven event inputs remain but are no longer the majority of this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Pressure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Filing language distress signals, leverage warnings, liquidity stress, capex-to-revenue trend, going concern notes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Weight held but formula defined explicitly (see below). Financial distress is a leading indicator of operational failure — especially for Tier 2/3 battery material suppliers under current margin pressure.</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Component Score Formulas</w:t>
      </w:r>
    </w:p>
    <w:p>
      <w:pPr>
        <w:spacing w:after="60" w:before="160"/>
      </w:pPr>
      <w:r>
        <w:rPr>
          <w:rFonts w:ascii="Arial" w:cs="Arial" w:eastAsia="Arial" w:hAnsi="Arial"/>
          <w:b/>
          <w:bCs/>
          <w:color w:val="2E75B6"/>
          <w:sz w:val="22"/>
          <w:szCs w:val="22"/>
        </w:rPr>
        <w:t xml:space="preserve">Material Concentration Risk (30%)</w:t>
      </w:r>
    </w:p>
    <w:p>
      <w:pPr>
        <w:spacing w:after="80" w:before="0"/>
      </w:pPr>
      <w:r>
        <w:rPr>
          <w:rFonts w:ascii="Courier New" w:cs="Courier New" w:eastAsia="Courier New" w:hAnsi="Courier New"/>
          <w:color w:val="595959"/>
          <w:sz w:val="20"/>
          <w:szCs w:val="20"/>
        </w:rPr>
        <w:t xml:space="preserve">score = min(100, 35*criticality + 35*concentration + 30*trade_volatility)</w:t>
      </w:r>
    </w:p>
    <w:p>
      <w:pPr>
        <w:spacing w:after="60" w:before="60"/>
      </w:pPr>
      <w:r>
        <w:rPr>
          <w:rFonts w:ascii="Arial" w:cs="Arial" w:eastAsia="Arial" w:hAnsi="Arial"/>
          <w:i/>
          <w:iCs/>
          <w:color w:val="595959"/>
          <w:sz w:val="20"/>
          <w:szCs w:val="20"/>
        </w:rPr>
        <w:t xml:space="preserve">Concentration weight raised to match criticality. A material with 80% refining in one country is as critical a risk as the material's inherent supply criticality.</w:t>
      </w:r>
    </w:p>
    <w:p>
      <w:pPr>
        <w:spacing w:after="120" w:before="0"/>
      </w:pPr>
      <w:r>
        <w:t xml:space="preserve"/>
      </w:r>
    </w:p>
    <w:p>
      <w:pPr>
        <w:spacing w:after="60" w:before="120"/>
      </w:pPr>
      <w:r>
        <w:rPr>
          <w:rFonts w:ascii="Arial" w:cs="Arial" w:eastAsia="Arial" w:hAnsi="Arial"/>
          <w:b/>
          <w:bCs/>
          <w:color w:val="2E75B6"/>
          <w:sz w:val="22"/>
          <w:szCs w:val="22"/>
        </w:rPr>
        <w:t xml:space="preserve">Geopolitical / Trade Risk (20%)</w:t>
      </w:r>
    </w:p>
    <w:p>
      <w:pPr>
        <w:spacing w:after="80" w:before="0"/>
      </w:pPr>
      <w:r>
        <w:rPr>
          <w:rFonts w:ascii="Courier New" w:cs="Courier New" w:eastAsia="Courier New" w:hAnsi="Courier New"/>
          <w:color w:val="595959"/>
          <w:sz w:val="20"/>
          <w:szCs w:val="20"/>
        </w:rPr>
        <w:t xml:space="preserve">score = min(100, 40*country_concentration + 35*export_restriction_exposure + 25*tariff_exposure)</w:t>
      </w:r>
    </w:p>
    <w:p>
      <w:pPr>
        <w:spacing w:after="60" w:before="60"/>
      </w:pPr>
      <w:r>
        <w:rPr>
          <w:rFonts w:ascii="Arial" w:cs="Arial" w:eastAsia="Arial" w:hAnsi="Arial"/>
          <w:i/>
          <w:iCs/>
          <w:color w:val="595959"/>
          <w:sz w:val="20"/>
          <w:szCs w:val="20"/>
        </w:rPr>
        <w:t xml:space="preserve">Country concentration: share of supply chain nodes in high-risk geographies. Export restriction exposure: historical restriction events on source countries, scored with slow decay (see Evidence Windows). Tariff exposure: current tariff burden on relevant HS codes plus pending policy signals.</w:t>
      </w:r>
    </w:p>
    <w:p>
      <w:pPr>
        <w:spacing w:after="120" w:before="0"/>
      </w:pPr>
      <w:r>
        <w:t xml:space="preserve"/>
      </w:r>
    </w:p>
    <w:p>
      <w:pPr>
        <w:spacing w:after="60" w:before="120"/>
      </w:pPr>
      <w:r>
        <w:rPr>
          <w:rFonts w:ascii="Arial" w:cs="Arial" w:eastAsia="Arial" w:hAnsi="Arial"/>
          <w:b/>
          <w:bCs/>
          <w:color w:val="2E75B6"/>
          <w:sz w:val="22"/>
          <w:szCs w:val="22"/>
        </w:rPr>
        <w:t xml:space="preserve">Regulatory &amp; Compliance Risk (20%)</w:t>
      </w:r>
    </w:p>
    <w:p>
      <w:pPr>
        <w:spacing w:after="80" w:before="0"/>
      </w:pPr>
      <w:r>
        <w:rPr>
          <w:rFonts w:ascii="Courier New" w:cs="Courier New" w:eastAsia="Courier New" w:hAnsi="Courier New"/>
          <w:color w:val="595959"/>
          <w:sz w:val="20"/>
          <w:szCs w:val="20"/>
        </w:rPr>
        <w:t xml:space="preserve">score = min(100, sum(top_3 regulatory event impacts * policy_proximity_adjustment) + compliance_obligation_uplift)</w:t>
      </w:r>
    </w:p>
    <w:p>
      <w:pPr>
        <w:spacing w:after="60" w:before="60"/>
      </w:pPr>
      <w:r>
        <w:rPr>
          <w:rFonts w:ascii="Arial" w:cs="Arial" w:eastAsia="Arial" w:hAnsi="Arial"/>
          <w:i/>
          <w:iCs/>
          <w:color w:val="595959"/>
          <w:sz w:val="20"/>
          <w:szCs w:val="20"/>
        </w:rPr>
        <w:t xml:space="preserve">compliance_obligation_uplift: a fixed addition for active hard compliance requirements (UFLPA, EU Battery Regulation, IRA domestic content). These are not 'risk signals' — they are legal obligations with enforcement deadlines. Score them with an uplift that activates when a supplier has known exposure to an obligation.</w:t>
      </w:r>
    </w:p>
    <w:p>
      <w:pPr>
        <w:spacing w:after="120" w:before="0"/>
      </w:pPr>
      <w:r>
        <w:t xml:space="preserve"/>
      </w:r>
    </w:p>
    <w:p>
      <w:pPr>
        <w:spacing w:after="60" w:before="120"/>
      </w:pPr>
      <w:r>
        <w:rPr>
          <w:rFonts w:ascii="Arial" w:cs="Arial" w:eastAsia="Arial" w:hAnsi="Arial"/>
          <w:b/>
          <w:bCs/>
          <w:color w:val="2E75B6"/>
          <w:sz w:val="22"/>
          <w:szCs w:val="22"/>
        </w:rPr>
        <w:t xml:space="preserve">Operational Risk (15%)</w:t>
      </w:r>
    </w:p>
    <w:p>
      <w:pPr>
        <w:spacing w:after="80" w:before="0"/>
      </w:pPr>
      <w:r>
        <w:rPr>
          <w:rFonts w:ascii="Courier New" w:cs="Courier New" w:eastAsia="Courier New" w:hAnsi="Courier New"/>
          <w:color w:val="595959"/>
          <w:sz w:val="20"/>
          <w:szCs w:val="20"/>
        </w:rPr>
        <w:t xml:space="preserve">score = min(100, 40*structural_dependency + 35*weighted_sum(recent events, 90-day half-life) + 25*geographic_manufacturing_concentration)</w:t>
      </w:r>
    </w:p>
    <w:p>
      <w:pPr>
        <w:spacing w:after="60" w:before="60"/>
      </w:pPr>
      <w:r>
        <w:rPr>
          <w:rFonts w:ascii="Arial" w:cs="Arial" w:eastAsia="Arial" w:hAnsi="Arial"/>
          <w:i/>
          <w:iCs/>
          <w:color w:val="595959"/>
          <w:sz w:val="20"/>
          <w:szCs w:val="20"/>
        </w:rPr>
        <w:t xml:space="preserve">structural_dependency: derived from single-source rate and capacity buffer metrics. This is a leading indicator, not an event. Geographic manufacturing concentration is separate from material concentration — it captures where production facilities sit, not where raw materials originate.</w:t>
      </w:r>
    </w:p>
    <w:p>
      <w:pPr>
        <w:spacing w:after="120" w:before="0"/>
      </w:pPr>
      <w:r>
        <w:t xml:space="preserve"/>
      </w:r>
    </w:p>
    <w:p>
      <w:pPr>
        <w:spacing w:after="60" w:before="120"/>
      </w:pPr>
      <w:r>
        <w:rPr>
          <w:rFonts w:ascii="Arial" w:cs="Arial" w:eastAsia="Arial" w:hAnsi="Arial"/>
          <w:b/>
          <w:bCs/>
          <w:color w:val="2E75B6"/>
          <w:sz w:val="22"/>
          <w:szCs w:val="22"/>
        </w:rPr>
        <w:t xml:space="preserve">Financial Pressure (15%)</w:t>
      </w:r>
    </w:p>
    <w:p>
      <w:pPr>
        <w:spacing w:after="60" w:before="0"/>
      </w:pPr>
      <w:r>
        <w:rPr>
          <w:rFonts w:ascii="Courier New" w:cs="Courier New" w:eastAsia="Courier New" w:hAnsi="Courier New"/>
          <w:color w:val="595959"/>
          <w:sz w:val="20"/>
          <w:szCs w:val="20"/>
        </w:rPr>
        <w:t xml:space="preserve">score = min(100, base_filing_signal + leverage_warning_bonus + liquidity_stress_bonus)</w:t>
      </w:r>
    </w:p>
    <w:p>
      <w:pPr>
        <w:spacing w:after="80" w:before="80"/>
      </w:pPr>
      <w:r>
        <w:rPr>
          <w:rFonts w:ascii="Arial" w:cs="Arial" w:eastAsia="Arial" w:hAnsi="Arial"/>
          <w:sz w:val="22"/>
          <w:szCs w:val="22"/>
        </w:rPr>
        <w:t xml:space="preserve">Component ranges:</w:t>
      </w:r>
    </w:p>
    <w:p>
      <w:pPr>
        <w:pStyle w:val="ListParagraph"/>
        <w:numPr>
          <w:ilvl w:val="1"/>
          <w:numId w:val="2"/>
        </w:numPr>
        <w:spacing w:after="60" w:before="60"/>
      </w:pPr>
      <w:r>
        <w:rPr>
          <w:rFonts w:ascii="Arial" w:cs="Arial" w:eastAsia="Arial" w:hAnsi="Arial"/>
          <w:sz w:val="22"/>
          <w:szCs w:val="22"/>
        </w:rPr>
        <w:t xml:space="preserve">base_filing_signal: 0-40, derived from normalized distress keyword frequency in filing language (e.g., restructuring, headcount reduction, cost reduction program, market uncertainty)</w:t>
      </w:r>
    </w:p>
    <w:p>
      <w:pPr>
        <w:pStyle w:val="ListParagraph"/>
        <w:numPr>
          <w:ilvl w:val="1"/>
          <w:numId w:val="2"/>
        </w:numPr>
        <w:spacing w:after="60" w:before="60"/>
      </w:pPr>
      <w:r>
        <w:rPr>
          <w:rFonts w:ascii="Arial" w:cs="Arial" w:eastAsia="Arial" w:hAnsi="Arial"/>
          <w:sz w:val="22"/>
          <w:szCs w:val="22"/>
        </w:rPr>
        <w:t xml:space="preserve">leverage_warning_bonus: 0-30, triggered by high debt-to-EBITDA language, covenant references, or credit facility drawdown mentions</w:t>
      </w:r>
    </w:p>
    <w:p>
      <w:pPr>
        <w:pStyle w:val="ListParagraph"/>
        <w:numPr>
          <w:ilvl w:val="1"/>
          <w:numId w:val="2"/>
        </w:numPr>
        <w:spacing w:after="60" w:before="60"/>
      </w:pPr>
      <w:r>
        <w:rPr>
          <w:rFonts w:ascii="Arial" w:cs="Arial" w:eastAsia="Arial" w:hAnsi="Arial"/>
          <w:sz w:val="22"/>
          <w:szCs w:val="22"/>
        </w:rPr>
        <w:t xml:space="preserve">liquidity_stress_bonus: 0-30, triggered by going concern notes, reduced cash runway language, suspended capex, or dividend cuts</w:t>
      </w:r>
    </w:p>
    <w:p>
      <w:pPr>
        <w:spacing w:after="60" w:before="60"/>
      </w:pPr>
      <w:r>
        <w:rPr>
          <w:rFonts w:ascii="Arial" w:cs="Arial" w:eastAsia="Arial" w:hAnsi="Arial"/>
          <w:i/>
          <w:iCs/>
          <w:color w:val="595959"/>
          <w:sz w:val="20"/>
          <w:szCs w:val="20"/>
        </w:rPr>
        <w:t xml:space="preserve">Cap the financial pressure score when evidence is weak — fewer than 2 recent filings available should reduce the maximum achievable score proportionally to avoid false precision.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Overall Score Rollup</w:t>
      </w:r>
    </w:p>
    <w:p>
      <w:pPr>
        <w:spacing w:after="120" w:before="120"/>
      </w:pPr>
      <w:r>
        <w:rPr>
          <w:rFonts w:ascii="Courier New" w:cs="Courier New" w:eastAsia="Courier New" w:hAnsi="Courier New"/>
          <w:b/>
          <w:bCs/>
          <w:color w:val="1F4E79"/>
          <w:sz w:val="22"/>
          <w:szCs w:val="22"/>
        </w:rPr>
        <w:t xml:space="preserve">overall_risk_score = 0.30*material + 0.20*geopolitical + 0.20*regulatory + 0.15*operational + 0.15*financial</w:t>
      </w:r>
    </w:p>
    <w:p>
      <w:pPr>
        <w:spacing w:after="60" w:before="60"/>
      </w:pPr>
      <w:r>
        <w:rPr>
          <w:rFonts w:ascii="Arial" w:cs="Arial" w:eastAsia="Arial" w:hAnsi="Arial"/>
          <w:i/>
          <w:iCs/>
          <w:color w:val="595959"/>
          <w:sz w:val="20"/>
          <w:szCs w:val="20"/>
        </w:rPr>
        <w:t xml:space="preserve">Store raw unrounded component values in rationale_json. Round only for UI presentation. This prevents drift in displayed score deltas when rounding is applied at different points.</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11. Recency Decay and Evidence Windows</w:t>
      </w:r>
    </w:p>
    <w:p>
      <w:pPr>
        <w:spacing w:after="80" w:before="80"/>
      </w:pPr>
      <w:r>
        <w:rPr>
          <w:rFonts w:ascii="Arial" w:cs="Arial" w:eastAsia="Arial" w:hAnsi="Arial"/>
          <w:sz w:val="22"/>
          <w:szCs w:val="22"/>
        </w:rPr>
        <w:t xml:space="preserve">A scoring system becomes more credible when old evidence fades gracefully rather than disappearing abruptly. Use category-specific evidence windows and decay functions. The key revision from the prior framework is a distinct, slower decay schedule for geopolitical structural facts.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Family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Window</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Decay</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365 days before/after effectivity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Step-up inside 90 days before effective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becomes more actionable as enforcement approaches. EU Battery Reg and IRA deadlines use this logic.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Geopolitical signals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months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slow decay; country concentration facts held at full weight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Structural facts (China's refining share) do not go stale in 90 days. Discrete events (export bans) decay normally.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Trade 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months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smoothing; compare latest 3 months vs. prior baseline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Trade shocks are noisy. Baseline comparison more reliable than absolute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events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180 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90-day half-life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incidents go stale but not instantly. Duplicate clustering applied before rollup.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filing signals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most recent quarters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Hold until superseded by newer filing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but high-importance. Going concern and leverage language held at full weight until next filing replaces it.</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12. Worked Scoring Example</w:t>
      </w:r>
    </w:p>
    <w:p>
      <w:pPr>
        <w:spacing w:after="80" w:before="80"/>
      </w:pPr>
      <w:r>
        <w:rPr>
          <w:rFonts w:ascii="Arial" w:cs="Arial" w:eastAsia="Arial" w:hAnsi="Arial"/>
          <w:sz w:val="22"/>
          <w:szCs w:val="22"/>
        </w:rPr>
        <w:t xml:space="preserve">Example supplier: a cathode active material producer with high nickel exposure, significant China-based refining concentration, new regulatory pressure on source geography, and mild financial stress language in its latest 10-Q filing.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900"/>
        <w:gridCol w:w="900"/>
        <w:gridCol w:w="24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Inputs</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Weighted Contribution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Material Concentration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criticality 0.90; conc. 0.80; trade vol 0.70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24.90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Geopolitical / Trade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China processing share; no recent export ban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Regulatory &amp; Compliance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direct regulations; one effective in 45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14.60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recent disruption article; no production halt; single-source = 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cautious capex language in 10-Q; no going concern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6.30</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OVERALL SCORE</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68.9</w:t>
            </w:r>
          </w:p>
        </w:tc>
      </w:tr>
    </w:tbl>
    <w:p>
      <w:pPr>
        <w:spacing w:after="160" w:before="0"/>
      </w:pPr>
      <w:r>
        <w:t xml:space="preserve"/>
      </w:r>
    </w:p>
    <w:p>
      <w:pPr>
        <w:spacing w:after="80" w:before="80"/>
      </w:pPr>
      <w:r>
        <w:rPr>
          <w:rFonts w:ascii="Arial" w:cs="Arial" w:eastAsia="Arial" w:hAnsi="Arial"/>
          <w:sz w:val="22"/>
          <w:szCs w:val="22"/>
        </w:rPr>
        <w:t xml:space="preserve">Result: overall risk score = 68.9 — High band. Should appear in supplier and investor reports with full rationale. Not yet critical-tier, but the combination of high geopolitical concentration and near-term regulatory deadline warrants active monitoring.</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Severity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Band</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Range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0–34</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 only. Not a headline report topic unless trend is consistently worsening.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35–54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Worth noting where material exposure is high or score trajectory is upward.</w:t>
            </w:r>
          </w:p>
        </w:tc>
      </w:tr>
      <w:tr>
        <w:tc>
          <w:tcPr>
            <w:tcW w:type="dxa" w:w="18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55–74</w:t>
            </w:r>
          </w:p>
        </w:tc>
        <w:tc>
          <w:tcPr>
            <w:tcW w:type="dxa" w:w="60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Surface in supplier and investor reports with full rationale and top evidence.</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75–100</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Escalate to priority watchlist. Lead report section with supporting evidence. Flag for analyst review.</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13. Search Architecture</w:t>
      </w:r>
    </w:p>
    <w:p>
      <w:pPr>
        <w:spacing w:after="80" w:before="80"/>
      </w:pPr>
      <w:r>
        <w:rPr>
          <w:rFonts w:ascii="Arial" w:cs="Arial" w:eastAsia="Arial" w:hAnsi="Arial"/>
          <w:sz w:val="22"/>
          <w:szCs w:val="22"/>
        </w:rPr>
        <w:t xml:space="preserve">Search is a foundational feature of the long-term intelligence platform vision but requires no additional infrastructure at the current stage. Neon Postgres provides two native search capabilities that are sufficient through the SaaS phase.</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Full-text search (tsvector/tsquery): </w:t>
      </w:r>
      <w:r>
        <w:rPr>
          <w:rFonts w:ascii="Arial" w:cs="Arial" w:eastAsia="Arial" w:hAnsi="Arial"/>
          <w:sz w:val="22"/>
          <w:szCs w:val="22"/>
        </w:rPr>
        <w:t xml:space="preserve">Add tsvector columns to risk_events, regulatory_documents, and supplier records. Supports keyword search across the intelligence corpus. GIN indexing keeps queries fast. Zero additional infrastructure cost.</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Semantic search (pgvector): </w:t>
      </w:r>
      <w:r>
        <w:rPr>
          <w:rFonts w:ascii="Arial" w:cs="Arial" w:eastAsia="Arial" w:hAnsi="Arial"/>
          <w:sz w:val="22"/>
          <w:szCs w:val="22"/>
        </w:rPr>
        <w:t xml:space="preserve">Neon supports pgvector natively. Add a vector column to risk_events and regulatory_documents. Embed regulatory text and supplier filing language using a small embedding model (text-embedding-3-small or equivalent). Enables queries like 'find regulations similar to this UFLPA provision' or 'surface suppliers with similar financial distress language'. Zero additional infrastructure cost.</w:t>
      </w:r>
    </w:p>
    <w:p>
      <w:pPr>
        <w:spacing w:after="120" w:before="0"/>
      </w:pPr>
      <w:r>
        <w:t xml:space="preserve"/>
      </w:r>
    </w:p>
    <w:p>
      <w:pPr>
        <w:spacing w:after="80" w:before="80"/>
      </w:pPr>
      <w:r>
        <w:rPr>
          <w:rFonts w:ascii="Arial" w:cs="Arial" w:eastAsia="Arial" w:hAnsi="Arial"/>
          <w:sz w:val="22"/>
          <w:szCs w:val="22"/>
        </w:rPr>
        <w:t xml:space="preserve">A dedicated search service (Typesense, Meilisearch, Elasticsearch) should only be evaluated when Postgres search performance becomes a bottleneck, which is unlikely before significant SaaS scale.</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14. LLM Cost Strategy</w:t>
      </w:r>
    </w:p>
    <w:p>
      <w:pPr>
        <w:spacing w:after="80" w:before="80"/>
      </w:pPr>
      <w:r>
        <w:rPr>
          <w:rFonts w:ascii="Arial" w:cs="Arial" w:eastAsia="Arial" w:hAnsi="Arial"/>
          <w:sz w:val="22"/>
          <w:szCs w:val="22"/>
        </w:rPr>
        <w:t xml:space="preserve">LLM calls for summarization and insight generation are an ongoing variable cost that must be controlled from the start. Without a cost strategy, LLM spend can become the largest operational line item as ingestion volume grows.</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Prompt caching: </w:t>
      </w:r>
      <w:r>
        <w:rPr>
          <w:rFonts w:ascii="Arial" w:cs="Arial" w:eastAsia="Arial" w:hAnsi="Arial"/>
          <w:sz w:val="22"/>
          <w:szCs w:val="22"/>
        </w:rPr>
        <w:t xml:space="preserve">Both OpenAI and Anthropic support prompt caching. If your system prompt carries scoring context, regulatory framework definitions, or supplier entity data, caching that prefix reduces cost 50-80% on repeated calls. Enable this from day one.</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Batch API for non-real-time processing: </w:t>
      </w:r>
      <w:r>
        <w:rPr>
          <w:rFonts w:ascii="Arial" w:cs="Arial" w:eastAsia="Arial" w:hAnsi="Arial"/>
          <w:sz w:val="22"/>
          <w:szCs w:val="22"/>
        </w:rPr>
        <w:t xml:space="preserve">Report generation and nightly score narrative generation do not require real-time responses. OpenAI's Batch API and Anthropic's Message Batches API both offer 50% cost reduction for asynchronous processing. Batch report insight generation runs can be submitted after the score refresh completes and results collected within the processing window.</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Call scope discipline: </w:t>
      </w:r>
      <w:r>
        <w:rPr>
          <w:rFonts w:ascii="Arial" w:cs="Arial" w:eastAsia="Arial" w:hAnsi="Arial"/>
          <w:sz w:val="22"/>
          <w:szCs w:val="22"/>
        </w:rPr>
        <w:t xml:space="preserve">Define explicitly which operations use LLMs and which do not. Rule-based scoring, data normalization, and entity resolution should not use LLMs. LLMs are for: summarizing top evidence into natural language, generating the rationale_json notes field, and producing report narrative sections. This boundary must be documented and enforced — LLM scope creep is a common cost driver.</w:t>
      </w:r>
    </w:p>
    <w:p>
      <w:pPr>
        <w:spacing w:after="60" w:before="0"/>
      </w:pPr>
      <w:r>
        <w:t xml:space="preserve"/>
      </w:r>
    </w:p>
    <w:p>
      <w:pPr>
        <w:pStyle w:val="ListParagraph"/>
        <w:numPr>
          <w:ilvl w:val="0"/>
          <w:numId w:val="2"/>
        </w:numPr>
        <w:spacing w:after="60" w:before="60"/>
      </w:pPr>
      <w:r>
        <w:rPr>
          <w:rFonts w:ascii="Arial" w:cs="Arial" w:eastAsia="Arial" w:hAnsi="Arial"/>
          <w:b/>
          <w:bCs/>
          <w:sz w:val="22"/>
          <w:szCs w:val="22"/>
        </w:rPr>
        <w:t xml:space="preserve">Cost threshold alerting: </w:t>
      </w:r>
      <w:r>
        <w:rPr>
          <w:rFonts w:ascii="Arial" w:cs="Arial" w:eastAsia="Arial" w:hAnsi="Arial"/>
          <w:sz w:val="22"/>
          <w:szCs w:val="22"/>
        </w:rPr>
        <w:t xml:space="preserve">Set a monthly LLM spend alert at a defined threshold. Unexpected spikes usually indicate a prompt engineering bug (unbounded context) or a runaway loop. Sentry or your logging stack can catch these before they compound.</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15. Multi-Tenancy Design</w:t>
      </w:r>
    </w:p>
    <w:p>
      <w:pPr>
        <w:spacing w:after="80" w:before="80"/>
      </w:pPr>
      <w:r>
        <w:rPr>
          <w:rFonts w:ascii="Arial" w:cs="Arial" w:eastAsia="Arial" w:hAnsi="Arial"/>
          <w:sz w:val="22"/>
          <w:szCs w:val="22"/>
        </w:rPr>
        <w:t xml:space="preserve">The current data model has no concept of organizations, tenants, or users. Retrofitting multi-tenancy into a production database with existing data is significantly more expensive than designing for it upfront. The recommendation is to add the tenant concept to the schema now, even if it is not enforced or exposed to end users until the SaaS phase.</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Add a tenants table: tenant_id, name, created_at, plan_tier, status.</w:t>
      </w:r>
    </w:p>
    <w:p>
      <w:pPr>
        <w:pStyle w:val="ListParagraph"/>
        <w:numPr>
          <w:ilvl w:val="0"/>
          <w:numId w:val="2"/>
        </w:numPr>
        <w:spacing w:after="60" w:before="60"/>
      </w:pPr>
      <w:r>
        <w:rPr>
          <w:rFonts w:ascii="Arial" w:cs="Arial" w:eastAsia="Arial" w:hAnsi="Arial"/>
          <w:sz w:val="22"/>
          <w:szCs w:val="22"/>
        </w:rPr>
        <w:t xml:space="preserve">Add org_id (tenant_id FK) to: suppliers, reports, ingestion_runs, usage_events, and any other entity with per-customer scope.</w:t>
      </w:r>
    </w:p>
    <w:p>
      <w:pPr>
        <w:pStyle w:val="ListParagraph"/>
        <w:numPr>
          <w:ilvl w:val="0"/>
          <w:numId w:val="2"/>
        </w:numPr>
        <w:spacing w:after="60" w:before="60"/>
      </w:pPr>
      <w:r>
        <w:rPr>
          <w:rFonts w:ascii="Arial" w:cs="Arial" w:eastAsia="Arial" w:hAnsi="Arial"/>
          <w:sz w:val="22"/>
          <w:szCs w:val="22"/>
        </w:rPr>
        <w:t xml:space="preserve">Add a usage_events table: org_id, event_type (report_view, api_call, score_refresh_triggered), resource_id, timestamp. Required for usage-based billing later.</w:t>
      </w:r>
    </w:p>
    <w:p>
      <w:pPr>
        <w:pStyle w:val="ListParagraph"/>
        <w:numPr>
          <w:ilvl w:val="0"/>
          <w:numId w:val="2"/>
        </w:numPr>
        <w:spacing w:after="60" w:before="60"/>
      </w:pPr>
      <w:r>
        <w:rPr>
          <w:rFonts w:ascii="Arial" w:cs="Arial" w:eastAsia="Arial" w:hAnsi="Arial"/>
          <w:sz w:val="22"/>
          <w:szCs w:val="22"/>
        </w:rPr>
        <w:t xml:space="preserve">Neon supports row-level security policies. Define RLS policies on org_id-bearing tables early — they are easier to add before data is in production.</w:t>
      </w:r>
    </w:p>
    <w:p>
      <w:pPr>
        <w:spacing w:after="120" w:before="0"/>
      </w:pPr>
      <w:r>
        <w:t xml:space="preserve"/>
      </w:r>
    </w:p>
    <w:p>
      <w:pPr>
        <w:spacing w:after="80" w:before="80"/>
      </w:pPr>
      <w:r>
        <w:rPr>
          <w:rFonts w:ascii="Arial" w:cs="Arial" w:eastAsia="Arial" w:hAnsi="Arial"/>
          <w:sz w:val="22"/>
          <w:szCs w:val="22"/>
        </w:rPr>
        <w:t xml:space="preserve">Clerk's Organization model maps directly to the tenants table. Each Clerk Organization ID can serve as the tenant_id, eliminating the need to sync organization records between Clerk and Neon.</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16. SaaS Transition Readiness</w:t>
      </w:r>
    </w:p>
    <w:p>
      <w:pPr>
        <w:spacing w:after="80" w:before="80"/>
      </w:pPr>
      <w:r>
        <w:rPr>
          <w:rFonts w:ascii="Arial" w:cs="Arial" w:eastAsia="Arial" w:hAnsi="Arial"/>
          <w:sz w:val="22"/>
          <w:szCs w:val="22"/>
        </w:rPr>
        <w:t xml:space="preserve">Green rows below are Phase 1 items that should be addressed in the current build, before any production report generation. They are cheap to add now and expensive to retrofit later. Amber and white rows are Phase 2 and 3 items that can wait until the SaaS transition is actively underway.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 Phase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&amp; organization model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(now)</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Clerk installed; Organization concept in DB schema (tenants table, org_id on report/supplier rows). Enforce later, design now.</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Multi-tenant data isolation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(now)</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org_id to suppliers, reports, ingestion_runs. Index on org_id. Row-level security policies in Neon.</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Usage tracking</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(now)</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a usage_events table: tenant_id, event_type (report_view, api_call), timestamp. Required for metered billing later.</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Observability baseline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(now)</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Sentry error tracking + Axiom logs. Pipeline failures must be visible before they affect report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Per-tenant API keys for programmatic report access. Store hashed keys in DB; expose key management in settings UI.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access controls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Which organizations can see which supplier reports. Clerk org membership + DB-level permission checks.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Stripe for payments + Lago for usage metering. Meter on: reports generated, supplier profiles accessed, API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Per-tenant rate limits on the FastAPI layer. Redis (add at this point) for sliding window counters.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Append-only log of who accessed what score/report and when. Required for enterprise sales.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White-label / custom domains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 (SaaS)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custom domain support. Useful for OEM customers who want reports under their own domain.</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17. What to Persist in the Database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 / Object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Organization/customer record. org_id is the root key for all multi-tenant data. Add now even if only one tenant initially.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risk_events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Normalized event record: category tag, geography_json, severity_score, confidence_score, event_category (material/geo/regulatory/operational/financial), source_id, evidence metadata,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supplier_material_exposure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Persistent exposure links: supplier_id, material_id, exposure_score, geography_json, source_geography. Rebuilt on source drift, not on every run.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supplier_scores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row per (supplier_id, as_of_date): component scores (all 5), overall_score, scoring_version, rationale_json. Never overwrite — append for historical trend.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rationale_json shape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inputs: {supplier_id, evidence_window, scoring_version, run_id}, components: {material, geopolitical, regulatory, operational, financial, overall}, top_evidence: [event_ids], decay: {parameters, eval_date}, notes: 'human-readable string'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ingestion_runs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record with: source_id, status (queued/running/complete/partial_success/failed), attempt_count, started_at, completed_at, checkpoint metadata, error_detail.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report_runs + report_insights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Report-ready denormalization. Insight cards precomputed so frontend renders without joins. Include score_snapshot_id so UI shows the score as it was at report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usage_events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 usage tracking: org_id, event_type, resource_id, timestamp. Required for metered billing. Add now, meter later.</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18. Implementation Guidance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Area</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Must-Have Behavior</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queueing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 202 after creating run row in Neon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Makes UI responsive and stateful. Inngest receives the run_id and takes over.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storage before parse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Store payload in R2 before any parsing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Supports replay and parser debugging. Never skip this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Idempotency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Upsert using source natural keys + checksum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Prevents duplicate events from syndicated news and API replays.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adapter isolation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source has its own adapter class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Allows different rate limits, auth, retry policies per source. Critical for mixed API/scraping ingestion.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Retry only transient failures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Permanent failures halt, transient retry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Keeps noise low. Auth failures must alert immediately.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Scoring refresh scope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Recompute only suppliers touched by new evidence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Limits cost and nightly runtime. Use event-&gt;supplier linkage to determine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Duplicate clustering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Cluster near-duplicate events before operational rollup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article syndicated 30 times must not score as 30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 versioning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scoring_version string in supplier_scores and rationale_json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to explain score changes when the formula is updated. Non-negotiable.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view models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Precompute report_insights after score persistence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renders insight cards without joins. Score snapshot preserves report accuracy.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Deterministic tests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formulas, decay, and threshold behavior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before LLM summarization so the rule-based layer is stable and auditable.</w:t>
            </w:r>
          </w:p>
        </w:tc>
      </w:tr>
    </w:tbl>
    <w:p>
      <w:pPr>
        <w:spacing w:after="200" w:before="0"/>
      </w:pPr>
      <w:r>
        <w:t xml:space="preserve"/>
      </w:r>
    </w:p>
    <w:p>
      <w:pPr>
        <w:pStyle w:val="Heading1"/>
        <w:spacing w:after="160" w:before="360"/>
      </w:pPr>
      <w:r>
        <w:rPr>
          <w:rFonts w:ascii="Arial" w:cs="Arial" w:eastAsia="Arial" w:hAnsi="Arial"/>
          <w:b/>
          <w:bCs/>
          <w:color w:val="1F4E79"/>
          <w:sz w:val="32"/>
          <w:szCs w:val="32"/>
        </w:rPr>
        <w:t xml:space="preserve">19. Recommended Next Build Steps</w:t>
      </w:r>
    </w:p>
    <w:p>
      <w:pPr>
        <w:spacing w:after="80" w:before="80"/>
      </w:pPr>
      <w:r>
        <w:rPr>
          <w:rFonts w:ascii="Arial" w:cs="Arial" w:eastAsia="Arial" w:hAnsi="Arial"/>
          <w:sz w:val="22"/>
          <w:szCs w:val="22"/>
        </w:rPr>
        <w:t xml:space="preserve">Steps 1-5 (green) should be addressed before production ingestion runs. They are low-effort, high-consequence items. Steps 6-12 can proceed in parallel or in sequence depending on current build state.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Commit to R2 over S3</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any S3 references in the backend. R2 SDK is S3-compatible — change is minimal.</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org_id + tenant table to schema</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Multi-tenancy design-in. Even if unused, the schema migration is easier now than after data is in production.</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usage_events table to schema</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for billing later. The table is cheap; retrofitting metering across a live system is not.</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 Sentry + Axiom</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tracking and structured logging before any production ingestion runs. Silent pipeline failures are the biggest credibility risk.</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 Clerk</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 if the only user is you. Sets up the org model and prevents a painful auth retrofit before SaaS launch.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Evaluate Railway vs. Render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cold starts are already an issue in development, move to Railway. The FastAPI migration is straightforward.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Modal.com for one ingestion worker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 one Render worker with a Modal function. Validate cost, latency, and retry behavior before committing fully.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Inngest for one workflow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with the nightly score refresh job. Validate Inngest's retry and observability before replacing all Render cron jobs.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pgvector to Neon 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vector column on risk_events and supplier documents. Begin embedding regulatory text. Zero additional infrastructure.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LLM cost controls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Choose provider, enable prompt caching, document which calls use batch API vs. real-time. Set a monthly cost threshold alert.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Expose /suppliers/{id}/risk-profile endpoint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Returns current scores, component breakdown, top evidence, and score trend. Core endpoint for both reports and future SaaS dashboard.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/ingestion-runs/{id} endpoint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visibility. Required to build any meaningful ingestion monitoring dashboard.</w:t>
            </w:r>
          </w:p>
        </w:tc>
      </w:tr>
    </w:tbl>
    <w:p>
      <w:pPr>
        <w:spacing w:after="200" w:before="0"/>
      </w:pPr>
      <w:r>
        <w:t xml:space="preserve"/>
      </w:r>
    </w:p>
    <w:p>
      <w:pPr>
        <w:pBdr>
          <w:bottom w:val="single" w:color="2E75B6" w:sz="6" w:space="1"/>
        </w:pBdr>
        <w:spacing w:after="120" w:before="60"/>
      </w:pPr>
      <w:r>
        <w:t xml:space="preserve"/>
      </w:r>
    </w:p>
    <w:p>
      <w:pPr>
        <w:spacing w:after="60" w:before="60"/>
      </w:pPr>
      <w:r>
        <w:rPr>
          <w:rFonts w:ascii="Arial" w:cs="Arial" w:eastAsia="Arial" w:hAnsi="Arial"/>
          <w:i/>
          <w:iCs/>
          <w:color w:val="595959"/>
          <w:sz w:val="20"/>
          <w:szCs w:val="20"/>
        </w:rPr>
        <w:t xml:space="preserve">Document version: 2.0  |  Scoring version: 2.0  |  This document should be updated when the scoring formula, service topology, or evidence window parameters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Automotive Data Solutions — 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EV Battery Supply Chain Intelligence Platform</w:t>
    </w:r>
    <w:r>
      <w:rPr>
        <w:rFonts w:ascii="Arial" w:cs="Arial" w:eastAsia="Arial" w:hAnsi="Arial"/>
        <w:color w:val="595959"/>
        <w:sz w:val="18"/>
        <w:szCs w:val="18"/>
      </w:rPr>
      <w:t xml:space="preserve">	Technical Architecture &amp;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2026-04-08T21:33:53.817Z</dcterms:created>
  <dcterms:modified xsi:type="dcterms:W3CDTF">2026-04-08T21:33:53.818Z</dcterms:modified>
</cp:coreProperties>
</file>

<file path=docProps/custom.xml><?xml version="1.0" encoding="utf-8"?>
<Properties xmlns="http://schemas.openxmlformats.org/officeDocument/2006/custom-properties" xmlns:vt="http://schemas.openxmlformats.org/officeDocument/2006/docPropsVTypes"/>
</file>