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44"/>
          <w:szCs w:val="44"/>
        </w:rPr>
        <w:t xml:space="preserve">Database Schema &amp; Data Model</w:t>
      </w:r>
    </w:p>
    <w:p>
      <w:pPr>
        <w:spacing w:after="80"/>
      </w:pPr>
      <w:r>
        <w:rPr>
          <w:rFonts w:ascii="Arial" w:cs="Arial" w:eastAsia="Arial" w:hAnsi="Arial"/>
          <w:color w:val="2E75B6"/>
          <w:sz w:val="28"/>
          <w:szCs w:val="28"/>
        </w:rPr>
        <w:t xml:space="preserve">EV Battery Supply Chain Intelligence Platform — v1.0</w:t>
      </w:r>
    </w:p>
    <w:p>
      <w:pPr>
        <w:spacing w:after="320"/>
      </w:pPr>
      <w:r>
        <w:rPr>
          <w:rFonts w:ascii="Arial" w:cs="Arial" w:eastAsia="Arial" w:hAnsi="Arial"/>
          <w:i/>
          <w:iCs/>
          <w:color w:val="595959"/>
          <w:sz w:val="22"/>
          <w:szCs w:val="22"/>
        </w:rPr>
        <w:t xml:space="preserve">Automotive Data Solutions  |  April 2026</w:t>
      </w:r>
    </w:p>
    <w:p>
      <w:pPr>
        <w:pBdr>
          <w:bottom w:val="single" w:color="2E75B6" w:sz="6" w:space="1"/>
        </w:pBdr>
        <w:spacing w:after="120" w:before="60"/>
      </w:pPr>
      <w:r>
        <w:t xml:space="preserve"/>
      </w:r>
    </w:p>
    <w:p>
      <w:pPr>
        <w:spacing w:after="80" w:before="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1F4E79"/>
          <w:sz w:val="32"/>
          <w:szCs w:val="32"/>
        </w:rPr>
        <w:t xml:space="preserve">1. Design Philosophy</w:t>
      </w:r>
    </w:p>
    <w:p>
      <w:pPr>
        <w:spacing w:after="80" w:before="80"/>
      </w:pPr>
      <w:r>
        <w:rPr>
          <w:rFonts w:ascii="Arial" w:cs="Arial" w:eastAsia="Arial" w:hAnsi="Arial"/>
          <w:sz w:val="22"/>
          <w:szCs w:val="22"/>
        </w:rPr>
        <w:t xml:space="preserve">The platform is fundamentally a relationship graph between four entity types — companies, materials, geographies, and regulations — connected by events. The scoring layer is downstream of that graph. If the graph is thin, scores are thin regardless of how sophisticated the formula is.</w:t>
      </w:r>
    </w:p>
    <w:p>
      <w:pPr>
        <w:spacing w:after="120" w:before="0"/>
      </w:pPr>
      <w:r>
        <w:t xml:space="preserve"/>
      </w:r>
    </w:p>
    <w:p>
      <w:pPr>
        <w:spacing w:after="80" w:before="80"/>
      </w:pPr>
      <w:r>
        <w:rPr>
          <w:rFonts w:ascii="Arial" w:cs="Arial" w:eastAsia="Arial" w:hAnsi="Arial"/>
          <w:sz w:val="22"/>
          <w:szCs w:val="22"/>
        </w:rPr>
        <w:t xml:space="preserve">The current schema is supplier-centric: everything hangs off supplier_id. This works for scoring individual suppliers but cannot support material-level intelligence briefs, geography-level risk aggregation, or regulation impact analysis. The expanded schema models the full graph and makes the entity relationships first-class.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4E79"/>
                <w:sz w:val="22"/>
                <w:szCs w:val="22"/>
              </w:rPr>
              <w:t xml:space="preserve">Core design principle</w:t>
            </w:r>
          </w:p>
          <w:p>
            <w:r>
              <w:rPr>
                <w:rFonts w:ascii="Arial" w:cs="Arial" w:eastAsia="Arial" w:hAnsi="Arial"/>
                <w:i/>
                <w:iCs/>
                <w:sz w:val="20"/>
                <w:szCs w:val="20"/>
              </w:rPr>
              <w:t xml:space="preserve">Every risk_event links to the companies, materials, regulations, and geographies it affects via junction tables. Intelligence is derived by traversing these links — not by re-parsing raw text at query time. The richer the junction table data, the more powerful the scoring and reporting.</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Schema Layers</w:t>
      </w:r>
    </w:p>
    <w:p>
      <w:pPr>
        <w:pStyle w:val="ListParagraph"/>
        <w:numPr>
          <w:ilvl w:val="0"/>
          <w:numId w:val="2"/>
        </w:numPr>
        <w:spacing w:after="60" w:before="60"/>
      </w:pPr>
      <w:r>
        <w:rPr>
          <w:rFonts w:ascii="Arial" w:cs="Arial" w:eastAsia="Arial" w:hAnsi="Arial"/>
          <w:b/>
          <w:bCs/>
          <w:sz w:val="22"/>
          <w:szCs w:val="22"/>
        </w:rPr>
        <w:t xml:space="preserve">Entity layer: </w:t>
      </w:r>
      <w:r>
        <w:rPr>
          <w:rFonts w:ascii="Arial" w:cs="Arial" w:eastAsia="Arial" w:hAnsi="Arial"/>
          <w:sz w:val="22"/>
          <w:szCs w:val="22"/>
        </w:rPr>
        <w:t xml:space="preserve">The four root entity types: companies, materials, regulations, and geographies. These are the nodes of the graph.</w:t>
      </w:r>
    </w:p>
    <w:p>
      <w:pPr>
        <w:pStyle w:val="ListParagraph"/>
        <w:numPr>
          <w:ilvl w:val="0"/>
          <w:numId w:val="2"/>
        </w:numPr>
        <w:spacing w:after="60" w:before="60"/>
      </w:pPr>
      <w:r>
        <w:rPr>
          <w:rFonts w:ascii="Arial" w:cs="Arial" w:eastAsia="Arial" w:hAnsi="Arial"/>
          <w:b/>
          <w:bCs/>
          <w:sz w:val="22"/>
          <w:szCs w:val="22"/>
        </w:rPr>
        <w:t xml:space="preserve">Relationship layer: </w:t>
      </w:r>
      <w:r>
        <w:rPr>
          <w:rFonts w:ascii="Arial" w:cs="Arial" w:eastAsia="Arial" w:hAnsi="Arial"/>
          <w:sz w:val="22"/>
          <w:szCs w:val="22"/>
        </w:rPr>
        <w:t xml:space="preserve">Junction tables connecting entity types to each other: which companies handle which materials, which regulations apply to which materials and geographies, which companies are exposed to which regulations.</w:t>
      </w:r>
    </w:p>
    <w:p>
      <w:pPr>
        <w:pStyle w:val="ListParagraph"/>
        <w:numPr>
          <w:ilvl w:val="0"/>
          <w:numId w:val="2"/>
        </w:numPr>
        <w:spacing w:after="60" w:before="60"/>
      </w:pPr>
      <w:r>
        <w:rPr>
          <w:rFonts w:ascii="Arial" w:cs="Arial" w:eastAsia="Arial" w:hAnsi="Arial"/>
          <w:b/>
          <w:bCs/>
          <w:sz w:val="22"/>
          <w:szCs w:val="22"/>
        </w:rPr>
        <w:t xml:space="preserve">Intelligence layer: </w:t>
      </w:r>
      <w:r>
        <w:rPr>
          <w:rFonts w:ascii="Arial" w:cs="Arial" w:eastAsia="Arial" w:hAnsi="Arial"/>
          <w:sz w:val="22"/>
          <w:szCs w:val="22"/>
        </w:rPr>
        <w:t xml:space="preserve">The event stream: ingestion sources, source documents, risk events, trade flows, and commodity prices. Events link to entities via junction tables.</w:t>
      </w:r>
    </w:p>
    <w:p>
      <w:pPr>
        <w:pStyle w:val="ListParagraph"/>
        <w:numPr>
          <w:ilvl w:val="0"/>
          <w:numId w:val="2"/>
        </w:numPr>
        <w:spacing w:after="60" w:before="60"/>
      </w:pPr>
      <w:r>
        <w:rPr>
          <w:rFonts w:ascii="Arial" w:cs="Arial" w:eastAsia="Arial" w:hAnsi="Arial"/>
          <w:b/>
          <w:bCs/>
          <w:sz w:val="22"/>
          <w:szCs w:val="22"/>
        </w:rPr>
        <w:t xml:space="preserve">Scoring layer: </w:t>
      </w:r>
      <w:r>
        <w:rPr>
          <w:rFonts w:ascii="Arial" w:cs="Arial" w:eastAsia="Arial" w:hAnsi="Arial"/>
          <w:sz w:val="22"/>
          <w:szCs w:val="22"/>
        </w:rPr>
        <w:t xml:space="preserve">Derived scores at company, material, and geography level. Always append-only — historical scores are never overwritten.</w:t>
      </w:r>
    </w:p>
    <w:p>
      <w:pPr>
        <w:pStyle w:val="ListParagraph"/>
        <w:numPr>
          <w:ilvl w:val="0"/>
          <w:numId w:val="2"/>
        </w:numPr>
        <w:spacing w:after="60" w:before="60"/>
      </w:pPr>
      <w:r>
        <w:rPr>
          <w:rFonts w:ascii="Arial" w:cs="Arial" w:eastAsia="Arial" w:hAnsi="Arial"/>
          <w:b/>
          <w:bCs/>
          <w:sz w:val="22"/>
          <w:szCs w:val="22"/>
        </w:rPr>
        <w:t xml:space="preserve">Report layer: </w:t>
      </w:r>
      <w:r>
        <w:rPr>
          <w:rFonts w:ascii="Arial" w:cs="Arial" w:eastAsia="Arial" w:hAnsi="Arial"/>
          <w:sz w:val="22"/>
          <w:szCs w:val="22"/>
        </w:rPr>
        <w:t xml:space="preserve">Report templates, runs, and pre-computed insights. Decoupled from the scoring layer so reports can be regenerated without rescoring.</w:t>
      </w:r>
    </w:p>
    <w:p>
      <w:pPr>
        <w:pStyle w:val="ListParagraph"/>
        <w:numPr>
          <w:ilvl w:val="0"/>
          <w:numId w:val="2"/>
        </w:numPr>
        <w:spacing w:after="60" w:before="60"/>
      </w:pPr>
      <w:r>
        <w:rPr>
          <w:rFonts w:ascii="Arial" w:cs="Arial" w:eastAsia="Arial" w:hAnsi="Arial"/>
          <w:b/>
          <w:bCs/>
          <w:sz w:val="22"/>
          <w:szCs w:val="22"/>
        </w:rPr>
        <w:t xml:space="preserve">Platform layer: </w:t>
      </w:r>
      <w:r>
        <w:rPr>
          <w:rFonts w:ascii="Arial" w:cs="Arial" w:eastAsia="Arial" w:hAnsi="Arial"/>
          <w:sz w:val="22"/>
          <w:szCs w:val="22"/>
        </w:rPr>
        <w:t xml:space="preserve">Multi-tenant infrastructure: tenants, users, usage events.</w:t>
      </w:r>
    </w:p>
    <w:p>
      <w:pPr>
        <w:spacing w:after="200" w:before="0"/>
      </w:pPr>
      <w:r>
        <w:t xml:space="preserve"/>
      </w:r>
    </w:p>
    <w:p>
      <w:pPr>
        <w:pStyle w:val="Heading1"/>
        <w:spacing w:after="160" w:before="360"/>
      </w:pPr>
      <w:r>
        <w:rPr>
          <w:rFonts w:ascii="Arial" w:cs="Arial" w:eastAsia="Arial" w:hAnsi="Arial"/>
          <w:b/>
          <w:bCs/>
          <w:color w:val="1F4E79"/>
          <w:sz w:val="32"/>
          <w:szCs w:val="32"/>
        </w:rPr>
        <w:t xml:space="preserve">2. Entity Layer</w:t>
      </w:r>
    </w:p>
    <w:p>
      <w:pPr>
        <w:spacing w:after="80" w:before="80"/>
      </w:pPr>
      <w:r>
        <w:rPr>
          <w:rFonts w:ascii="Arial" w:cs="Arial" w:eastAsia="Arial" w:hAnsi="Arial"/>
          <w:sz w:val="22"/>
          <w:szCs w:val="22"/>
        </w:rPr>
        <w:t xml:space="preserve">The four root entity types that anchor the intelligence graph. These tables are updated as new information is discovered but are relatively stable — they are not append-only like event and score tables.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2.1 companies</w:t>
      </w:r>
    </w:p>
    <w:p>
      <w:pPr>
        <w:spacing w:after="80" w:before="80"/>
      </w:pPr>
      <w:r>
        <w:rPr>
          <w:rFonts w:ascii="Arial" w:cs="Arial" w:eastAsia="Arial" w:hAnsi="Arial"/>
          <w:sz w:val="22"/>
          <w:szCs w:val="22"/>
        </w:rPr>
        <w:t xml:space="preserve">Every organization in the battery supply chain that the platform tracks, scores, or references. Replaces the existing suppliers table and broadens scope to include all supply chain participants from miners to OEMs. The parent_company_id self-reference allows modeling of corporate families (subsidiaries, joint ventures).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Surrogate primary key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VARCHAR(255)</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Canonical display name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legal_name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VARCHAR(255)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Full legal entity name — may differ from trading name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aliases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List of alternate names, tickers, abbreviations used in entity resolution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ticker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Stock ticker if publicly traded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isin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VARCHAR(12)</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International Securities Identification Number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duns_number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D&amp;B DUNS — links to commercial firmographic data</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lei</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Legal Entity Identifier — ISO 17442 standard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hq_country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CHAR(2)</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ISO 3166-1 alpha-2 country code for headquarters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hq_region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Sub-national region or province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country_of_incorporation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CHAR(2)</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Legal incorporation jurisdiction — may differ from HQ</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parent_company_id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companies(id), 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Self-referential FK for subsidiaries and joint ventures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supply_chain_stage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Primary role: mining, refining, precursor_manufacturing, cell_manufacturing, pack_assembly, tier1_supplier, oem, other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primary_sector</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Industry classification (battery, automotive, mining, chemical)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is_public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false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Whether the company files public financial disclosures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data_confidence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0-1</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Confidence in the accuracy of this record overall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data_source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How this record was created (manual, D&amp;B, SEC EDGAR, etc.)</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Record creation timestamp</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Last update timestamp</w:t>
            </w:r>
          </w:p>
        </w:tc>
      </w:tr>
    </w:tbl>
    <w:p>
      <w:pPr>
        <w:spacing w:after="120" w:before="0"/>
      </w:pPr>
      <w:r>
        <w:t xml:space="preserve"/>
      </w:r>
    </w:p>
    <w:p>
      <w:pPr>
        <w:spacing w:after="100" w:before="60"/>
      </w:pPr>
      <w:r>
        <w:rPr>
          <w:rFonts w:ascii="Arial" w:cs="Arial" w:eastAsia="Arial" w:hAnsi="Arial"/>
          <w:i/>
          <w:iCs/>
          <w:color w:val="595959"/>
          <w:sz w:val="20"/>
          <w:szCs w:val="20"/>
        </w:rPr>
        <w:t xml:space="preserve">The aliases column is critical for entity resolution quality. Every known alternate name (CATL vs. Contemporary Amperex Technology, LG Energy Solution vs. LGES vs. LG Chem) should be stored here and indexed via GIN for fast pattern matching.</w:t>
      </w:r>
    </w:p>
    <w:p>
      <w:pPr>
        <w:spacing w:after="200" w:before="0"/>
      </w:pPr>
      <w:r>
        <w:t xml:space="preserve"/>
      </w:r>
    </w:p>
    <w:p>
      <w:pPr>
        <w:pStyle w:val="Heading2"/>
        <w:spacing w:after="120" w:before="280"/>
      </w:pPr>
      <w:r>
        <w:rPr>
          <w:rFonts w:ascii="Arial" w:cs="Arial" w:eastAsia="Arial" w:hAnsi="Arial"/>
          <w:b/>
          <w:bCs/>
          <w:color w:val="2E75B6"/>
          <w:sz w:val="26"/>
          <w:szCs w:val="26"/>
        </w:rPr>
        <w:t xml:space="preserve">2.2 materials</w:t>
      </w:r>
    </w:p>
    <w:p>
      <w:pPr>
        <w:spacing w:after="80" w:before="80"/>
      </w:pPr>
      <w:r>
        <w:rPr>
          <w:rFonts w:ascii="Arial" w:cs="Arial" w:eastAsia="Arial" w:hAnsi="Arial"/>
          <w:sz w:val="22"/>
          <w:szCs w:val="22"/>
        </w:rPr>
        <w:t xml:space="preserve">The battery-relevant materials and chemical compounds the platform tracks. Materials are the anchor for trade flow analysis, HS code mapping, concentration scoring, and supply chain graph traversal. They are stable reference data — new materials are rarely added.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Surrogate primary key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UNIQUE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Canonical name (e.g., Lithium, Cobalt, Graphite)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common_name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Common trade name if different from chemical name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chemical_formula</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Chemical formula (LiOH, Co, C, NiSO4, etc.)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cas_number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CAS Registry Number for chemical identity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category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critical_mineral, precursor_chemical, electrode_material, electrolyte, separator, structural, other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battery_component_role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Specific role: anode, cathode, electrolyte, separator, current_collector, casing</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baseline_criticality_score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0-1</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Baseline supply criticality from IEA/EU assessment — independent of events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is_ira_critical_mineral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false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Whether designated as critical mineral under IRA Section 45X</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is_eu_crma_strategic</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false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Whether listed as strategic raw material under EU CRMA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is_eu_crma_critical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false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Whether listed as critical raw material under EU CRMA</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hs_codes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List of relevant HS codes — used for trade flow linkage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primary_mining_countries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List of ISO country codes for primary mining jurisdictions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primary_processing_countries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List of ISO country codes for primary processing/refining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price_unit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Standard price unit (per_mt, per_kg) for commodity_prices joins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100" w:before="60"/>
      </w:pPr>
      <w:r>
        <w:rPr>
          <w:rFonts w:ascii="Arial" w:cs="Arial" w:eastAsia="Arial" w:hAnsi="Arial"/>
          <w:i/>
          <w:iCs/>
          <w:color w:val="595959"/>
          <w:sz w:val="20"/>
          <w:szCs w:val="20"/>
        </w:rPr>
        <w:t xml:space="preserve">Seed data: Lithium, Cobalt, Nickel, Manganese, Graphite (natural and synthetic), Phosphate, Aluminum (foil), Copper (foil), NMC precursor (PCAM), LFP precursor. Add rare earths (dysprosium, neodymium) for motor magnet tracking in Phase 2.</w:t>
      </w:r>
    </w:p>
    <w:p>
      <w:pPr>
        <w:spacing w:after="200" w:before="0"/>
      </w:pPr>
      <w:r>
        <w:t xml:space="preserve"/>
      </w:r>
    </w:p>
    <w:p>
      <w:pPr>
        <w:pStyle w:val="Heading2"/>
        <w:spacing w:after="120" w:before="280"/>
      </w:pPr>
      <w:r>
        <w:rPr>
          <w:rFonts w:ascii="Arial" w:cs="Arial" w:eastAsia="Arial" w:hAnsi="Arial"/>
          <w:b/>
          <w:bCs/>
          <w:color w:val="2E75B6"/>
          <w:sz w:val="26"/>
          <w:szCs w:val="26"/>
        </w:rPr>
        <w:t xml:space="preserve">2.3 facilities</w:t>
      </w:r>
    </w:p>
    <w:p>
      <w:pPr>
        <w:spacing w:after="80" w:before="80"/>
      </w:pPr>
      <w:r>
        <w:rPr>
          <w:rFonts w:ascii="Arial" w:cs="Arial" w:eastAsia="Arial" w:hAnsi="Arial"/>
          <w:sz w:val="22"/>
          <w:szCs w:val="22"/>
        </w:rPr>
        <w:t xml:space="preserve">Physical locations where supply chain activity occurs. Linking companies to facilities enables geographic risk analysis beyond the company's headquarters country — a company headquartered in South Korea may have 80% of its production capacity in China. Facility-level data is sparse and often requires manual research or commercial data sources.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company_id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companies(id),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Owning company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VARCHAR(255)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Facility name or location descriptor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facility_type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mine, concentrator, refinery, chemical_processing, precursor_plant, cell_factory, pack_plant, recycling, r_and_d, logistics_hub</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country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CHAR(2)</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ISO 3166-1 alpha-2 country code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region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State, province, or sub-national region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latitude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DECIMAL(9,6)</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For map visualization and proximity analysis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longitude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DECIMAL(9,6)</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annual_capacity_value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DECIMAL(18,4)</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Production capacity in the unit specified below</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annual_capacity_unit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mt (metric tons), GWh, units, etc.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primary_material_id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materials(id), 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Primary material produced or processed at this facility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operational_status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'operating'</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operating, under_construction, planned, suspended, closed, care_and_maintenance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commissioned_date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When the facility began operations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data_confidence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0-1</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Confidence in capacity and status data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data_source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Source of facility record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2.4 regulations</w:t>
      </w:r>
    </w:p>
    <w:p>
      <w:pPr>
        <w:spacing w:after="80" w:before="80"/>
      </w:pPr>
      <w:r>
        <w:rPr>
          <w:rFonts w:ascii="Arial" w:cs="Arial" w:eastAsia="Arial" w:hAnsi="Arial"/>
          <w:sz w:val="22"/>
          <w:szCs w:val="22"/>
        </w:rPr>
        <w:t xml:space="preserve">Regulatory instruments that affect the battery supply chain. A regulation is not an event — it is a persistent entity with its own lifecycle (proposed, enacted, in force). Events reference regulations when they relate to enforcement actions, amendments, or compliance deadlines. The phase_in_schedule JSONB column handles regulations like the EU Battery Regulation that have multiple effective dates for different requirements.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VARCHAR(255)</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Full regulation name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short_name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UNIQUE, 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Canonical short identifier (UFLPA, EU_BATTERY_REG, IRA_FEOC, CBAM)</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issuing_body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US Congress, European Commission, EPA, USTR, etc.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jurisdiction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US, EU, CN, or ISO country code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category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trade, environmental, labor, financial_reporting, safety, supply_chain_due_diligence, tariff, sanctions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proposed, enacted, in_force, partially_in_force, superseded, repealed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compliance_type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mandatory, voluntary, conditional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proposed_date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Date regulation was formally proposed or introduced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enacted_date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Date legislation was signed or directive was issued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effective_date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Primary effective date — used for regulatory score uplift calculations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enforcement_start_date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When enforcement actions can begin — may differ from effective date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phase_in_schedule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For multi-phase regulations: [{requirement, effective_date, description}]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penalty_framework</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TEXT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Summary of penalties for non-compliance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full_text_url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Link to authoritative full text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summary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TEXT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Plain-language summary for report generation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100" w:before="60"/>
      </w:pPr>
      <w:r>
        <w:rPr>
          <w:rFonts w:ascii="Arial" w:cs="Arial" w:eastAsia="Arial" w:hAnsi="Arial"/>
          <w:i/>
          <w:iCs/>
          <w:color w:val="595959"/>
          <w:sz w:val="20"/>
          <w:szCs w:val="20"/>
        </w:rPr>
        <w:t xml:space="preserve">Seed data: UFLPA (US, 2022), EU Battery Regulation 2023/1542 (EU, multiple phase-in dates through 2031), IRA Section 30D FEOC rules (US, phase-in 2024-2026), EU Critical Raw Materials Act (EU, 2024), CBAM (EU, 2026), SEC Climate Disclosure Rule (US, 2024), EU CSRD (EU, 2024).</w:t>
      </w:r>
    </w:p>
    <w:p>
      <w:pPr>
        <w:spacing w:after="200" w:before="0"/>
      </w:pPr>
      <w:r>
        <w:t xml:space="preserve"/>
      </w:r>
    </w:p>
    <w:p>
      <w:r>
        <w:br w:type="page"/>
      </w:r>
    </w:p>
    <w:p>
      <w:pPr>
        <w:pStyle w:val="Heading1"/>
        <w:spacing w:after="160" w:before="360"/>
      </w:pPr>
      <w:r>
        <w:rPr>
          <w:rFonts w:ascii="Arial" w:cs="Arial" w:eastAsia="Arial" w:hAnsi="Arial"/>
          <w:b/>
          <w:bCs/>
          <w:color w:val="1F4E79"/>
          <w:sz w:val="32"/>
          <w:szCs w:val="32"/>
        </w:rPr>
        <w:t xml:space="preserve">3. Relationship Layer</w:t>
      </w:r>
    </w:p>
    <w:p>
      <w:pPr>
        <w:spacing w:after="80" w:before="80"/>
      </w:pPr>
      <w:r>
        <w:rPr>
          <w:rFonts w:ascii="Arial" w:cs="Arial" w:eastAsia="Arial" w:hAnsi="Arial"/>
          <w:sz w:val="22"/>
          <w:szCs w:val="22"/>
        </w:rPr>
        <w:t xml:space="preserve">Junction tables that connect entity types to each other. These tables represent the intelligence graph — the relationships between companies, materials, geographies, and regulations are where scoring inputs are derived. Sparse relationship data is the primary limit on scoring quality.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3.1 company_material_exposures</w:t>
      </w:r>
    </w:p>
    <w:p>
      <w:pPr>
        <w:spacing w:after="80" w:before="80"/>
      </w:pPr>
      <w:r>
        <w:rPr>
          <w:rFonts w:ascii="Arial" w:cs="Arial" w:eastAsia="Arial" w:hAnsi="Arial"/>
          <w:sz w:val="22"/>
          <w:szCs w:val="22"/>
        </w:rPr>
        <w:t xml:space="preserve">Links companies to the materials they handle, at what supply chain stage, and with what geographic sourcing context. This is the primary input for material concentration and geopolitical scoring. The as_of_date allows tracking how exposures change over time as companies diversify or concentrate supply.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company_id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companies(id),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material_id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materials(id), 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supply_chain_stage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mining, refining, precursor_manufacturing, cell_manufacturing — at what stage does this company interact with this material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exposure_level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primary (core business), secondary (significant), minor (incidental)</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exposure_score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0-1</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Normalized exposure intensity — feeds material_concentration scoring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source_geography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CHAR(2)</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Primary sourcing country — critical for concentration and geopolitical scoring</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source_geography_confidence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0-1</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Confidence in the source geography attribution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is_single_source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false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Whether this company relies on a single supplier for this material</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annual_volume_mt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DECIMAL(18,4)</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Estimated annual volume if publicly disclosed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data_source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Source of this exposure record (filing, disclosure, estimated)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data_confidence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0-1</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Overall confidence in this record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as_of_date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Date this record reflects — enables historical tracking</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UNIQUE (company_id, material_id, supply_chain_stage, as_of_date)</w:t>
      </w:r>
    </w:p>
    <w:p>
      <w:pPr>
        <w:spacing w:after="200" w:before="0"/>
      </w:pPr>
      <w:r>
        <w:t xml:space="preserve"/>
      </w:r>
    </w:p>
    <w:p>
      <w:pPr>
        <w:pStyle w:val="Heading2"/>
        <w:spacing w:after="120" w:before="280"/>
      </w:pPr>
      <w:r>
        <w:rPr>
          <w:rFonts w:ascii="Arial" w:cs="Arial" w:eastAsia="Arial" w:hAnsi="Arial"/>
          <w:b/>
          <w:bCs/>
          <w:color w:val="2E75B6"/>
          <w:sz w:val="26"/>
          <w:szCs w:val="26"/>
        </w:rPr>
        <w:t xml:space="preserve">3.2 company_supply_relationships</w:t>
      </w:r>
    </w:p>
    <w:p>
      <w:pPr>
        <w:spacing w:after="80" w:before="80"/>
      </w:pPr>
      <w:r>
        <w:rPr>
          <w:rFonts w:ascii="Arial" w:cs="Arial" w:eastAsia="Arial" w:hAnsi="Arial"/>
          <w:sz w:val="22"/>
          <w:szCs w:val="22"/>
        </w:rPr>
        <w:t xml:space="preserve">Confirmed or estimated supply relationships between companies — who buys from whom, for which material. This table enables Tier 2 and Tier 3 risk propagation: if a Tier 1 cell manufacturer is exposed to a distressed Tier 2 cathode supplier, that risk should flow upward. The data_confidence field is important here because many relationships are estimated from filings and press releases rather than confirmed.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buyer_id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companies(id),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The purchasing entity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supplier_id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companies(id), 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The supplying entity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material_id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materials(id), nullable,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 flowing through this relationship (null = general supplier relationship)</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relationship_type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confirmed (named in filing/disclosure), estimated, reported (press), rumored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contract_type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spot, annual, multi_year, offtake_agreement, joint_venture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estimated_volume_pct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0-1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Estimated share of buyer's needs met by this supplier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start_date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Relationship start date if known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end_date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Relationship end or expiry date if known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data_source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Source of this relationship record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data_confidence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0-1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Confidence in this relationship record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3.3 regulation_material_scope</w:t>
      </w:r>
    </w:p>
    <w:p>
      <w:pPr>
        <w:spacing w:after="80" w:before="80"/>
      </w:pPr>
      <w:r>
        <w:rPr>
          <w:rFonts w:ascii="Arial" w:cs="Arial" w:eastAsia="Arial" w:hAnsi="Arial"/>
          <w:sz w:val="22"/>
          <w:szCs w:val="22"/>
        </w:rPr>
        <w:t xml:space="preserve">Which materials are covered or affected by each regulation. A regulation's material scope determines which company_material_exposures records trigger the compliance_obligation_uplift in regulatory scoring.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regulation_id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regulations(id), 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material_id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materials(id), 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scope_type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directly_covered (named in regulation), indirectly_affected, exempted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notes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TEXT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Specific provisions or thresholds that define scope</w:t>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PRIMARY KEY (regulation_id, material_id)</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3.4 regulation_geography_scope</w:t>
      </w:r>
    </w:p>
    <w:p>
      <w:pPr>
        <w:spacing w:after="80" w:before="80"/>
      </w:pPr>
      <w:r>
        <w:rPr>
          <w:rFonts w:ascii="Arial" w:cs="Arial" w:eastAsia="Arial" w:hAnsi="Arial"/>
          <w:sz w:val="22"/>
          <w:szCs w:val="22"/>
        </w:rPr>
        <w:t xml:space="preserve">Which countries are covered by each regulation — either as the jurisdiction of enforcement, or as the origin of goods subject to the regulation. Drives geopolitical-regulatory interaction scoring.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regulation_id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regulations(id), 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country_code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CHAR(2)</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ISO 3166-1 alpha-2</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scope_type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applies_to_imports_from (e.g., UFLPA applies to goods from Xinjiang), applies_to_exporters_in, applies_to_domestic, applies_globally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notes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TEXT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PRIMARY KEY (regulation_id, country_code)</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3.5 company_regulation_exposure</w:t>
      </w:r>
    </w:p>
    <w:p>
      <w:pPr>
        <w:spacing w:after="80" w:before="80"/>
      </w:pPr>
      <w:r>
        <w:rPr>
          <w:rFonts w:ascii="Arial" w:cs="Arial" w:eastAsia="Arial" w:hAnsi="Arial"/>
          <w:sz w:val="22"/>
          <w:szCs w:val="22"/>
        </w:rPr>
        <w:t xml:space="preserve">Links companies to regulations they are exposed to, with a compliance status assessment. This table is the data source for the compliance_obligation_uplift in regulatory scoring. A company selling into the EU market with cobalt exposure has EU Battery Regulation exposure; a company with Xinjiang-region sourcing has UFLPA exposure.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company_id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companies(id),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regulation_id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regulations(id), 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exposure_type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directly_regulated, supply_chain_exposure, customer_market_exposure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compliance_status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unknown, compliant, partial, non_compliant, under_assessment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exposure_score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0-1</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Intensity of exposure — feeds compliance_obligation_uplift calculation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evidence_summary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TEXT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Brief explanation of why this exposure exists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assessed_at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When this assessment was made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UNIQUE (company_id, regulation_id)</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3.6 hs_code_material_mappings</w:t>
      </w:r>
    </w:p>
    <w:p>
      <w:pPr>
        <w:spacing w:after="80" w:before="80"/>
      </w:pPr>
      <w:r>
        <w:rPr>
          <w:rFonts w:ascii="Arial" w:cs="Arial" w:eastAsia="Arial" w:hAnsi="Arial"/>
          <w:sz w:val="22"/>
          <w:szCs w:val="22"/>
        </w:rPr>
        <w:t xml:space="preserve">Maps HS (Harmonized System) tariff codes to materials. This is the bridge between trade flow data (which uses HS codes) and material-level intelligence. Some HS codes map to a single material; others (like 2836.20 — lithium carbonates) map precisely; others are broader. The mapping_confidence reflects this.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hs_code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HS code (4, 6, or 8 digit)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material_id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materials(id), 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mapping_type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primary (this HS code primarily represents this material), secondary (partial overlap)</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confidence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0-1</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Mapping accuracy — lower for broad codes that cover multiple materials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hs_description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TEXT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Official HS code description for reference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notes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TEXT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Any caveats or specifics about the mapping</w:t>
            </w:r>
          </w:p>
        </w:tc>
      </w:tr>
    </w:tbl>
    <w:p>
      <w:pPr>
        <w:spacing w:after="200" w:before="0"/>
      </w:pPr>
      <w:r>
        <w:t xml:space="preserve"/>
      </w:r>
    </w:p>
    <w:p>
      <w:r>
        <w:br w:type="page"/>
      </w:r>
    </w:p>
    <w:p>
      <w:pPr>
        <w:pStyle w:val="Heading1"/>
        <w:spacing w:after="160" w:before="360"/>
      </w:pPr>
      <w:r>
        <w:rPr>
          <w:rFonts w:ascii="Arial" w:cs="Arial" w:eastAsia="Arial" w:hAnsi="Arial"/>
          <w:b/>
          <w:bCs/>
          <w:color w:val="1F4E79"/>
          <w:sz w:val="32"/>
          <w:szCs w:val="32"/>
        </w:rPr>
        <w:t xml:space="preserve">4. Intelligence Layer</w:t>
      </w:r>
    </w:p>
    <w:p>
      <w:pPr>
        <w:spacing w:after="80" w:before="80"/>
      </w:pPr>
      <w:r>
        <w:rPr>
          <w:rFonts w:ascii="Arial" w:cs="Arial" w:eastAsia="Arial" w:hAnsi="Arial"/>
          <w:sz w:val="22"/>
          <w:szCs w:val="22"/>
        </w:rPr>
        <w:t xml:space="preserve">The event stream: the raw and normalized data that flows in from ingestion, plus the structured events derived from it. This layer is append-only — existing records are never modified, only new records are added. The entity junction tables (risk_event_companies, risk_event_materials, etc.) connect events to the entity graph.</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4.1 ingestion_sources</w:t>
      </w:r>
    </w:p>
    <w:p>
      <w:pPr>
        <w:spacing w:after="80" w:before="80"/>
      </w:pPr>
      <w:r>
        <w:rPr>
          <w:rFonts w:ascii="Arial" w:cs="Arial" w:eastAsia="Arial" w:hAnsi="Arial"/>
          <w:sz w:val="22"/>
          <w:szCs w:val="22"/>
        </w:rPr>
        <w:t xml:space="preserve">A registry of all data sources the platform ingests from. Having a structured registry (rather than hardcoded source names) allows cost tracking, rate limit management, and source-level health monitoring. Each adapter in the ingestion pipeline maps to one record in this table.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UNIQUE, 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Code-level name matching adapter class (federal_register, census_trade, sec_edgar, gdelt)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display_name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Human-readable name for dashboards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source_type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commercial_api, public_api, web_scraping, manual_upload, data_partnership</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base_url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Base URL for this source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auth_type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none, api_key, oauth2, basic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rate_limit_per_minute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Used by adapter for throttling</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rate_limit_per_day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Daily quota if applicable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data_categories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List of RiskCategory values this source can produce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geographic_coverage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List of country codes covered by this source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true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Whether this source is currently being ingested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cost_model</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free, per_call, subscription, usage_based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estimated_monthly_cost_usd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DECIMAL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For cost tracking and budget alerts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notes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TEXT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updated_at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4.2 ingestion_runs</w:t>
      </w:r>
    </w:p>
    <w:p>
      <w:pPr>
        <w:spacing w:after="80" w:before="80"/>
      </w:pPr>
      <w:r>
        <w:rPr>
          <w:rFonts w:ascii="Arial" w:cs="Arial" w:eastAsia="Arial" w:hAnsi="Arial"/>
          <w:sz w:val="22"/>
          <w:szCs w:val="22"/>
        </w:rPr>
        <w:t xml:space="preserve">A durable record of every ingestion run, created before any network work begins. This is the source of truth for pipeline health monitoring, debugging, and retry orchestration. The checkpoint_json allows long runs to resume from a known state rather than restarting from scratch.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source_id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ingestion_sources(id),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org_id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tenants(id), 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 = platform-wide ingestion run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status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queued, running, complete, partial_success, failed, cancelled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started_at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Set when worker picks up the run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completed_at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Set on terminal status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attempt_count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Incremented on each retry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records_fetched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Raw records retrieved from source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events_created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risk_events inserted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events_updated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Existing events updated (score refresh)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events_skipped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Duplicates detected and skipped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entities_resolved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Companies matched via entity resolution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error_detail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Structured error information on failure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checkpoint_json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Resume state for long paginated runs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modal_function_id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Modal.com function call ID for tracking</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inngest_event_id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Inngest event ID for workflow tracking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4.3 source_documents</w:t>
      </w:r>
    </w:p>
    <w:p>
      <w:pPr>
        <w:spacing w:after="80" w:before="80"/>
      </w:pPr>
      <w:r>
        <w:rPr>
          <w:rFonts w:ascii="Arial" w:cs="Arial" w:eastAsia="Arial" w:hAnsi="Arial"/>
          <w:sz w:val="22"/>
          <w:szCs w:val="22"/>
        </w:rPr>
        <w:t xml:space="preserve">Every raw document retrieved by the ingestion pipeline is registered here before parsing. The raw_payload_r2_key stores the object key (not URL) in Cloudflare R2 so payloads can be replayed if parsing logic changes. The natural_key plus source_id unique constraint is the primary idempotency mechanism — re-fetching the same document never creates a duplicate.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ingestion_run_id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ingestion_runs(id),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source_id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ingestion_sources(id), 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document_type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regulatory_filing, sec_filing, news_article, trade_data, press_release, government_report, company_disclosure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Document title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url</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Source URL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published_date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Publication or filing date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author</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Author or filing entity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issuing_body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Regulatory body or company that issued the document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raw_payload_r2_key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Cloudflare R2 object key — never a signed URL; generate on demand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content_checksum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VARCHAR(64)</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SHA-256 of raw payload — primary deduplication key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natural_key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Source-specific unique identifier (FR doc number, SEC accession number, news GUID)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word_count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language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CHAR(5)</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'en'</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BCP 47 language tag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is_parsed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false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Whether risk_events have been extracted from this document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UNIQUE (source_id, natural_key)</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4.4 document_chunks</w:t>
      </w:r>
    </w:p>
    <w:p>
      <w:pPr>
        <w:spacing w:after="80" w:before="80"/>
      </w:pPr>
      <w:r>
        <w:rPr>
          <w:rFonts w:ascii="Arial" w:cs="Arial" w:eastAsia="Arial" w:hAnsi="Arial"/>
          <w:sz w:val="22"/>
          <w:szCs w:val="22"/>
        </w:rPr>
        <w:t xml:space="preserve">Source documents chunked for vector embedding and semantic search. Each chunk stores both the text and its embedding vector via pgvector on Neon. This enables queries like 'find regulations similar to this UFLPA provision' and 'surface supplier filings with similar distress language' without additional search infrastructure.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document_id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source_documents(id),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chunk_index</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Zero-based position of this chunk within the document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chunk_text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TEXT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Raw chunk text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token_count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Estimated token count for cost tracking</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embedding</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VECTOR(1536)</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pgvector embedding — 1536 dims for text-embedding-3-small compatibility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UNIQUE (document_id, chunk_index)</w:t>
      </w:r>
    </w:p>
    <w:p>
      <w:pPr>
        <w:spacing w:after="40" w:before="40"/>
      </w:pPr>
      <w:r>
        <w:rPr>
          <w:rFonts w:ascii="Courier New" w:cs="Courier New" w:eastAsia="Courier New" w:hAnsi="Courier New"/>
          <w:color w:val="C0392B"/>
          <w:sz w:val="18"/>
          <w:szCs w:val="18"/>
        </w:rPr>
        <w:t xml:space="preserve">CREATE INDEX ON document_chunks USING ivfflat (embedding vector_cosine_ops);</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4.5 risk_events</w:t>
      </w:r>
    </w:p>
    <w:p>
      <w:pPr>
        <w:spacing w:after="80" w:before="80"/>
      </w:pPr>
      <w:r>
        <w:rPr>
          <w:rFonts w:ascii="Arial" w:cs="Arial" w:eastAsia="Arial" w:hAnsi="Arial"/>
          <w:sz w:val="22"/>
          <w:szCs w:val="22"/>
        </w:rPr>
        <w:t xml:space="preserve">Normalized risk signals extracted from source documents. A risk_event is a single discrete signal — a regulatory action, a news item, a financial filing signal, a trade flow anomaly — scored at the event level before rollup to supplier or material scores. The duplicate_cluster_id groups syndicated articles about the same underlying event so only one representative event is used in scoring rollup.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source_document_id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source_documents(id),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RiskCategory enum value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event_subtype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EXPORT_RESTRICTION, GOING_CONCERN, TARIFF, SANCTIONS, ENFORCEMENT_ACTION, PRODUCTION_HALT, CAPACITY_CONSTRAINT, etc.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Short descriptive title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description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TEXT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Longer description of the event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event_date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Date of the underlying event (not the document date)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effective_date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For regulatory events: when the requirement takes effect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geography_json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[{country_code, role: source|affected|jurisdiction|transit}]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severity_score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0-1</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How materially disruptive this event is if true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confidence_score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0-1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Strength of evidence and parser certainty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event_impact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Computed: severity x effective_confidence x recency_mult x relevance_mult — stored after scoring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natural_key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Source-specific unique event identifier for idempotency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content_checksum</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VARCHAR(64)</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Hash of normalized event content for deduplication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duplicate_cluster_id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Groups syndicated articles about the same event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is_cluster_representative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true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Whether this event is the canonical record for its cluster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UNIQUE (source_document_id, natural_key) WHERE natural_key IS NOT NULL</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4.6 Event Junction Tables</w:t>
      </w:r>
    </w:p>
    <w:p>
      <w:pPr>
        <w:spacing w:after="80" w:before="80"/>
      </w:pPr>
      <w:r>
        <w:rPr>
          <w:rFonts w:ascii="Arial" w:cs="Arial" w:eastAsia="Arial" w:hAnsi="Arial"/>
          <w:sz w:val="22"/>
          <w:szCs w:val="22"/>
        </w:rPr>
        <w:t xml:space="preserve">Four junction tables connect risk_events to the entities they affect. Together they make the event graph traversable in any direction: find all events affecting a company, all events related to a material, all events referencing a regulation, or all events in a geography.</w:t>
      </w:r>
    </w:p>
    <w:p>
      <w:pPr>
        <w:spacing w:after="120" w:before="0"/>
      </w:pPr>
      <w:r>
        <w:t xml:space="preserve"/>
      </w:r>
    </w:p>
    <w:p>
      <w:pPr>
        <w:pStyle w:val="Heading3"/>
        <w:spacing w:after="80" w:before="200"/>
      </w:pPr>
      <w:r>
        <w:rPr>
          <w:rFonts w:ascii="Arial" w:cs="Arial" w:eastAsia="Arial" w:hAnsi="Arial"/>
          <w:b/>
          <w:bCs/>
          <w:color w:val="595959"/>
          <w:sz w:val="24"/>
          <w:szCs w:val="24"/>
        </w:rPr>
        <w:t xml:space="preserve">risk_event_companies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risk_event_id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risk_events(id), 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company_id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companies(id),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relevance_score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0-1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Maps to relevance_multiplier in event_impact formula</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match_reason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VARCHAR(64)</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named_supplier, geography, material_hs, category_broad</w:t>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PRIMARY KEY (risk_event_id, company_id)</w:t>
      </w:r>
    </w:p>
    <w:p>
      <w:pPr>
        <w:spacing w:after="120" w:before="0"/>
      </w:pPr>
      <w:r>
        <w:t xml:space="preserve"/>
      </w:r>
    </w:p>
    <w:p>
      <w:pPr>
        <w:pStyle w:val="Heading3"/>
        <w:spacing w:after="80" w:before="200"/>
      </w:pPr>
      <w:r>
        <w:rPr>
          <w:rFonts w:ascii="Arial" w:cs="Arial" w:eastAsia="Arial" w:hAnsi="Arial"/>
          <w:b/>
          <w:bCs/>
          <w:color w:val="595959"/>
          <w:sz w:val="24"/>
          <w:szCs w:val="24"/>
        </w:rPr>
        <w:t xml:space="preserve">risk_event_materials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risk_event_id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risk_events(id), 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material_id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materials(id),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relevance_score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0-1</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Directness of material impact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match_reason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VARCHAR(64)</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hs_code_match, keyword_match, explicit_mention</w:t>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PRIMARY KEY (risk_event_id, material_id)</w:t>
      </w:r>
    </w:p>
    <w:p>
      <w:pPr>
        <w:spacing w:after="120" w:before="0"/>
      </w:pPr>
      <w:r>
        <w:t xml:space="preserve"/>
      </w:r>
    </w:p>
    <w:p>
      <w:pPr>
        <w:pStyle w:val="Heading3"/>
        <w:spacing w:after="80" w:before="200"/>
      </w:pPr>
      <w:r>
        <w:rPr>
          <w:rFonts w:ascii="Arial" w:cs="Arial" w:eastAsia="Arial" w:hAnsi="Arial"/>
          <w:b/>
          <w:bCs/>
          <w:color w:val="595959"/>
          <w:sz w:val="24"/>
          <w:szCs w:val="24"/>
        </w:rPr>
        <w:t xml:space="preserve">risk_event_regulations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risk_event_id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risk_events(id), 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regulation_id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regulations(id), 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relationship_type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implements, amends, enforces, challenges, references, supersedes</w:t>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PRIMARY KEY (risk_event_id, regulation_id)</w:t>
      </w:r>
    </w:p>
    <w:p>
      <w:pPr>
        <w:spacing w:after="120" w:before="0"/>
      </w:pPr>
      <w:r>
        <w:t xml:space="preserve"/>
      </w:r>
    </w:p>
    <w:p>
      <w:pPr>
        <w:pStyle w:val="Heading3"/>
        <w:spacing w:after="80" w:before="200"/>
      </w:pPr>
      <w:r>
        <w:rPr>
          <w:rFonts w:ascii="Arial" w:cs="Arial" w:eastAsia="Arial" w:hAnsi="Arial"/>
          <w:b/>
          <w:bCs/>
          <w:color w:val="595959"/>
          <w:sz w:val="24"/>
          <w:szCs w:val="24"/>
        </w:rPr>
        <w:t xml:space="preserve">risk_event_geographies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risk_event_id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risk_events(id), 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country_code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CHAR(2)</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ISO 3166-1 alpha-2</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geography_role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source_country, affected_country, jurisdiction, transit_country</w:t>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PRIMARY KEY (risk_event_id, country_code)</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4.7 trade_flows</w:t>
      </w:r>
    </w:p>
    <w:p>
      <w:pPr>
        <w:spacing w:after="80" w:before="80"/>
      </w:pPr>
      <w:r>
        <w:rPr>
          <w:rFonts w:ascii="Arial" w:cs="Arial" w:eastAsia="Arial" w:hAnsi="Arial"/>
          <w:sz w:val="22"/>
          <w:szCs w:val="22"/>
        </w:rPr>
        <w:t xml:space="preserve">Bilateral trade flow records by HS code and period, sourced primarily from US Census Bureau and UN Comtrade. The material_id FK (derived from hs_code_material_mappings) makes trade flow data queryable at the material level for market intelligence briefs. The unique constraint prevents re-ingestion from creating duplicate rows.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ingestion_run_id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ingestion_runs(id), 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reporter_country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CHAR(2)</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Country reporting the trade flow</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partner_country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CHAR(2)</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Trading partner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hs_code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Harmonized System code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material_id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materials(id), nullable,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Derived from hs_code_material_mappings — enables material-level queries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period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First day of the reporting month</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flow_direction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import or export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value_usd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DECIMAL(18,2)</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Trade value in USD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quantity_value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DECIMAL(18,4)</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Quantity in the unit specified below</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quantity_unit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mt, kg, units, etc.</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data_source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census_trade, un_comtrade, etc.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UNIQUE (reporter_country, partner_country, hs_code, period, flow_direction, data_source)</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4.8 commodity_prices</w:t>
      </w:r>
    </w:p>
    <w:p>
      <w:pPr>
        <w:spacing w:after="80" w:before="80"/>
      </w:pPr>
      <w:r>
        <w:rPr>
          <w:rFonts w:ascii="Arial" w:cs="Arial" w:eastAsia="Arial" w:hAnsi="Arial"/>
          <w:sz w:val="22"/>
          <w:szCs w:val="22"/>
        </w:rPr>
        <w:t xml:space="preserve">Historical commodity price data for battery-relevant materials. Price history enables volatility scoring for the material concentration pillar and provides context for financial pressure signals in supplier filings. The specification column distinguishes battery-grade pricing from lower-purity industrial grades — these can diverge significantly.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material_id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materials(id),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price_date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price_usd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DECIMAL(18,4)</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Price in USD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price_unit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per_mt, per_kg, per_lb</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price_source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LME, Fastmarkets, USGS, Benchmark Mineral Intelligence, etc.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specification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battery-grade, 99.5% purity, CIF China, etc.</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UNIQUE (material_id, price_date, price_source, specification)</w:t>
      </w:r>
    </w:p>
    <w:p>
      <w:pPr>
        <w:spacing w:after="200" w:before="0"/>
      </w:pPr>
      <w:r>
        <w:t xml:space="preserve"/>
      </w:r>
    </w:p>
    <w:p>
      <w:r>
        <w:br w:type="page"/>
      </w:r>
    </w:p>
    <w:p>
      <w:pPr>
        <w:pStyle w:val="Heading1"/>
        <w:spacing w:after="160" w:before="360"/>
      </w:pPr>
      <w:r>
        <w:rPr>
          <w:rFonts w:ascii="Arial" w:cs="Arial" w:eastAsia="Arial" w:hAnsi="Arial"/>
          <w:b/>
          <w:bCs/>
          <w:color w:val="1F4E79"/>
          <w:sz w:val="32"/>
          <w:szCs w:val="32"/>
        </w:rPr>
        <w:t xml:space="preserve">5. Scoring Layer</w:t>
      </w:r>
    </w:p>
    <w:p>
      <w:pPr>
        <w:spacing w:after="80" w:before="80"/>
      </w:pPr>
      <w:r>
        <w:rPr>
          <w:rFonts w:ascii="Arial" w:cs="Arial" w:eastAsia="Arial" w:hAnsi="Arial"/>
          <w:sz w:val="22"/>
          <w:szCs w:val="22"/>
        </w:rPr>
        <w:t xml:space="preserve">All score tables are append-only — existing rows are never modified. Each rescore produces a new row with the current as_of_date and scoring_version. This preserves the complete score history for trend analysis and ensures that report snapshots remain accurate even after formula changes.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5.1 company_scores</w:t>
      </w:r>
    </w:p>
    <w:p>
      <w:pPr>
        <w:spacing w:after="80" w:before="80"/>
      </w:pPr>
      <w:r>
        <w:rPr>
          <w:rFonts w:ascii="Arial" w:cs="Arial" w:eastAsia="Arial" w:hAnsi="Arial"/>
          <w:sz w:val="22"/>
          <w:szCs w:val="22"/>
        </w:rPr>
        <w:t xml:space="preserve">One row per company per scoring run. Renamed from supplier_scores to reflect the broader scope of the companies table. The rationale_json stores the full SupplierScoreRationale structure defined in types.py — inputs, all five component values, top evidence event IDs, decay parameters, and a human-readable notes string.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company_id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companies(id),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as_of_date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Date this score was computed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scoring_version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VARCHAR(32)</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e.g., '2.0' — enables score delta attribution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material_concentration_risk_score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Component score 0-100</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geopolitical_trade_risk_score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Component score 0-100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regulatory_compliance_risk_score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Component score 0-100</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operational_risk_score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Component score 0-100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financial_pressure_score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Component score 0-100</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overall_risk_score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Weighted aggregate 0-100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rationale_json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Full SupplierScoreRationale — inputs, components, top_evidence, decay, notes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CREATE INDEX ON company_scores (company_id, as_of_date DESC);</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5.2 material_scores</w:t>
      </w:r>
    </w:p>
    <w:p>
      <w:pPr>
        <w:spacing w:after="80" w:before="80"/>
      </w:pPr>
      <w:r>
        <w:rPr>
          <w:rFonts w:ascii="Arial" w:cs="Arial" w:eastAsia="Arial" w:hAnsi="Arial"/>
          <w:sz w:val="22"/>
          <w:szCs w:val="22"/>
        </w:rPr>
        <w:t xml:space="preserve">Aggregate risk score at the material level — computed from all company scores for companies with exposure to that material, weighted by exposure_score. A graphite material_score aggregates the scores of all graphite producers, refiners, and anode manufacturers, weighted by how central graphite is to each company's business. This is the primary input for material-anchored market intelligence briefs.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material_id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materials(id),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as_of_date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scoring_version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VARCHAR(32)</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concentration_score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Geographic and supplier concentration for this material</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geopolitical_score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Export restriction exposure, country risk for primary sources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regulatory_score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Regulatory pipeline and compliance obligation exposure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price_volatility_score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Commodity price volatility over lookback window</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supply_resilience_score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Inverse risk — how diversified and redundant is supply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company_count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Number of companies included in this aggregate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overall_risk_score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Weighted aggregate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rationale_json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CREATE INDEX ON material_scores (material_id, as_of_date DESC);</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5.3 geography_scores</w:t>
      </w:r>
    </w:p>
    <w:p>
      <w:pPr>
        <w:spacing w:after="80" w:before="80"/>
      </w:pPr>
      <w:r>
        <w:rPr>
          <w:rFonts w:ascii="Arial" w:cs="Arial" w:eastAsia="Arial" w:hAnsi="Arial"/>
          <w:sz w:val="22"/>
          <w:szCs w:val="22"/>
        </w:rPr>
        <w:t xml:space="preserve">Country-level risk scores used for geography-anchored market intelligence briefs and for providing geopolitical context to company and material scores. The supply_chain_concentration_score reflects how much of global battery supply chain activity is concentrated in this country — a high score means high systemic risk if the country takes restrictive action.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country_code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CHAR(2)</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ISO 3166-1 alpha-2</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as_of_date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scoring_version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VARCHAR(32)</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political_stability_score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Derived from geopolitical events and external indices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trade_policy_risk_score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Export restriction history, tariff policy volatility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supply_chain_concentration_score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Share of global battery supply chain activity in this country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sanctions_exposure_score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Active or threatened sanctions risk</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regulatory_compliance_risk</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Country-level regulatory environment risk for battery supply chain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overall_risk_score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Weighted aggregate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rationale_json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200" w:before="0"/>
      </w:pPr>
      <w:r>
        <w:t xml:space="preserve"/>
      </w:r>
    </w:p>
    <w:p>
      <w:r>
        <w:br w:type="page"/>
      </w:r>
    </w:p>
    <w:p>
      <w:pPr>
        <w:pStyle w:val="Heading1"/>
        <w:spacing w:after="160" w:before="360"/>
      </w:pPr>
      <w:r>
        <w:rPr>
          <w:rFonts w:ascii="Arial" w:cs="Arial" w:eastAsia="Arial" w:hAnsi="Arial"/>
          <w:b/>
          <w:bCs/>
          <w:color w:val="1F4E79"/>
          <w:sz w:val="32"/>
          <w:szCs w:val="32"/>
        </w:rPr>
        <w:t xml:space="preserve">6. Report Layer</w:t>
      </w:r>
    </w:p>
    <w:p>
      <w:pPr>
        <w:spacing w:after="80" w:before="80"/>
      </w:pPr>
      <w:r>
        <w:rPr>
          <w:rFonts w:ascii="Arial" w:cs="Arial" w:eastAsia="Arial" w:hAnsi="Arial"/>
          <w:sz w:val="22"/>
          <w:szCs w:val="22"/>
        </w:rPr>
        <w:t xml:space="preserve">The report system separates template definition from report execution. A template defines what a report covers and how it is structured. A report run is a specific execution of a template at a point in time. Insights are pre-computed section content stored in the database — the frontend renders from these rather than recomputing at page load.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6.1 report_templates</w:t>
      </w:r>
    </w:p>
    <w:p>
      <w:pPr>
        <w:spacing w:after="80" w:before="80"/>
      </w:pPr>
      <w:r>
        <w:rPr>
          <w:rFonts w:ascii="Arial" w:cs="Arial" w:eastAsia="Arial" w:hAnsi="Arial"/>
          <w:sz w:val="22"/>
          <w:szCs w:val="22"/>
        </w:rPr>
        <w:t xml:space="preserve">Defines a report type — its focus, audience, section structure, weight overrides, and schedule. Platform-provided templates (is_platform_template = true) are available to all tenants. Customer-created templates belong to one tenant. The sections_config JSONB stores an ordered array of section definitions, each specifying section_type, depth (brief/standard/detailed), and any section-level weight adjustments.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org_id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tenants(id), 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 = platform-provided template available to all tenants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description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TEXT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report_type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market_intelligence_brief, supplier_risk_assessment, regulatory_impact_analysis, program_risk_report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focus_type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 geography, regulation, company, cross_cutting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audience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executive, procurement, investor, compliance, analyst</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time_horizon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monthly, quarterly, annual, custom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lookback_days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Evidence lookback window for this report type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weight_overrides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 0.20, geopolitical: 0.35, regulatory: 0.25, operational: 0.10, financial: 0.10} — overrides baseline 30/20/20/15/15 for report aggregation only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severity_threshold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FLOAT</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0.35</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Minimum overall score to surface in this report (0=all, 0.35=moderate+, 0.55=high+)</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sections_config</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[{section_type, display_order, depth: brief|standard|detailed, include: bool}]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is_scheduled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false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schedule_cron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Standard cron expression for automatic generation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true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is_platform_template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false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Whether this template was created by ADS vs. a customer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created_by</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users(id), 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6.2 report_template_focus_entities</w:t>
      </w:r>
    </w:p>
    <w:p>
      <w:pPr>
        <w:spacing w:after="80" w:before="80"/>
      </w:pPr>
      <w:r>
        <w:rPr>
          <w:rFonts w:ascii="Arial" w:cs="Arial" w:eastAsia="Arial" w:hAnsi="Arial"/>
          <w:sz w:val="22"/>
          <w:szCs w:val="22"/>
        </w:rPr>
        <w:t xml:space="preserve">Links a report template to the specific entities it covers — the materials, geographies, regulations, or companies that define the scope of the report. A graphite market intelligence brief has a focus entity of material:graphite. A UFLPA regulatory impact report has a focus entity of regulation:UFLPA.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template_id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report_templates(id), 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entity_type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 geography, regulation, company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entity_id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to the relevant entity table (materials, companies, regulations — not enforced by FK, enforced in application)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display_order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0</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Order in which entities appear in the report</w:t>
            </w:r>
          </w:p>
        </w:tc>
      </w:tr>
    </w:tbl>
    <w:p>
      <w:pPr>
        <w:spacing w:after="120" w:before="0"/>
      </w:pPr>
      <w:r>
        <w:t xml:space="preserve"/>
      </w:r>
    </w:p>
    <w:p>
      <w:pPr>
        <w:spacing w:after="40" w:before="40"/>
      </w:pPr>
      <w:r>
        <w:rPr>
          <w:rFonts w:ascii="Courier New" w:cs="Courier New" w:eastAsia="Courier New" w:hAnsi="Courier New"/>
          <w:color w:val="C0392B"/>
          <w:sz w:val="18"/>
          <w:szCs w:val="18"/>
        </w:rPr>
        <w:t xml:space="preserve">PRIMARY KEY (template_id, entity_type, entity_id)</w:t>
      </w:r>
    </w:p>
    <w:p>
      <w:pPr>
        <w:spacing w:after="160" w:before="0"/>
      </w:pPr>
      <w:r>
        <w:t xml:space="preserve"/>
      </w:r>
    </w:p>
    <w:p>
      <w:pPr>
        <w:pStyle w:val="Heading2"/>
        <w:spacing w:after="120" w:before="280"/>
      </w:pPr>
      <w:r>
        <w:rPr>
          <w:rFonts w:ascii="Arial" w:cs="Arial" w:eastAsia="Arial" w:hAnsi="Arial"/>
          <w:b/>
          <w:bCs/>
          <w:color w:val="2E75B6"/>
          <w:sz w:val="26"/>
          <w:szCs w:val="26"/>
        </w:rPr>
        <w:t xml:space="preserve">6.3 report_runs and report_insights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report_runs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template_id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report_templates(id), 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org_id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tenants(id), 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triggered_by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users(id), 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 = scheduled run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trigger_type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manual, scheduled, api</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as_of_date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DATE</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Snapshot date for scores and evidence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queued, generating, complete, failed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started_at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completed_at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output_r2_key</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R2 key for generated PDF or DOCX</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output_format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pdf, docx, json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error_detail</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report_insights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run_id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report_runs(id),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section_type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executive_summary, supply_chain_map, geopolitical_landscape, regulatory_pipeline, trade_flow_analysis, supplier_landscape, risk_outlook, evidence_appendix</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display_order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INT</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heading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Section heading for display</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content_json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Structured section content — charts, tables, narrative, evidence links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score_snapshot_json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Score values as-of report generation — preserved even if scores update later</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evidence_ids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List of risk_event IDs that support this section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llm_generated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false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Whether narrative was LLM-generated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200" w:before="0"/>
      </w:pPr>
      <w:r>
        <w:t xml:space="preserve"/>
      </w:r>
    </w:p>
    <w:p>
      <w:r>
        <w:br w:type="page"/>
      </w:r>
    </w:p>
    <w:p>
      <w:pPr>
        <w:pStyle w:val="Heading1"/>
        <w:spacing w:after="160" w:before="360"/>
      </w:pPr>
      <w:r>
        <w:rPr>
          <w:rFonts w:ascii="Arial" w:cs="Arial" w:eastAsia="Arial" w:hAnsi="Arial"/>
          <w:b/>
          <w:bCs/>
          <w:color w:val="1F4E79"/>
          <w:sz w:val="32"/>
          <w:szCs w:val="32"/>
        </w:rPr>
        <w:t xml:space="preserve">7. Platform Layer</w:t>
      </w:r>
    </w:p>
    <w:p>
      <w:pPr>
        <w:spacing w:after="80" w:before="80"/>
      </w:pPr>
      <w:r>
        <w:rPr>
          <w:rFonts w:ascii="Arial" w:cs="Arial" w:eastAsia="Arial" w:hAnsi="Arial"/>
          <w:sz w:val="22"/>
          <w:szCs w:val="22"/>
        </w:rPr>
        <w:t xml:space="preserve">Multi-tenant infrastructure. Designed now even though only one tenant exists during the report-generation phase. The org_id foreign key added to all tenant-scoped tables is far cheaper to add before data is in production than to retrofit afterward.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7.1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clerk_org_id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UNIQUE, 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Clerk Organization ID — primary identity link</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Organization display name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plan_tier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trial, starter, professional, enterprise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'active'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active, suspended, churned</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7.2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clerk_user_id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VARCHAR(100)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UNIQUE, 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Clerk User ID — primary identity link</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tenant_id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tenants(id), NOT NULL, indexed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email</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VARCHAR(255)</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display_name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role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VARCHAR(20)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admin, analyst, viewer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BOOLEAN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true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160" w:before="0"/>
      </w:pPr>
      <w:r>
        <w:t xml:space="preserve"/>
      </w:r>
    </w:p>
    <w:p>
      <w:pPr>
        <w:pStyle w:val="Heading2"/>
        <w:spacing w:after="120" w:before="280"/>
      </w:pPr>
      <w:r>
        <w:rPr>
          <w:rFonts w:ascii="Arial" w:cs="Arial" w:eastAsia="Arial" w:hAnsi="Arial"/>
          <w:b/>
          <w:bCs/>
          <w:color w:val="2E75B6"/>
          <w:sz w:val="26"/>
          <w:szCs w:val="26"/>
        </w:rPr>
        <w:t xml:space="preserve">7.3 usage_events</w:t>
      </w:r>
    </w:p>
    <w:p>
      <w:pPr>
        <w:spacing w:after="80" w:before="80"/>
      </w:pPr>
      <w:r>
        <w:rPr>
          <w:rFonts w:ascii="Arial" w:cs="Arial" w:eastAsia="Arial" w:hAnsi="Arial"/>
          <w:sz w:val="22"/>
          <w:szCs w:val="22"/>
        </w:rPr>
        <w:t xml:space="preserve">Append-only metering log. Every billable or auditable action produces a usage_event row. Required for usage-based billing (Stripe + Lago) and for enterprise audit logging. Never updated — only inserted.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760"/>
        <w:gridCol w:w="4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Constraints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PK, default uuid4</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tenant_id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tenants(id), 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FK users(id), 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 for system-triggered events</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event_type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VARCHAR(50)</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indexed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report_generated, report_viewed, company_scored, material_scored, api_call, ingestion_triggered, template_created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resource_type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VARCHAR(30)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report, company_score, material_score, template</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resource_id</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UUID</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ID of the resource involved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metadata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JSONB</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nullable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Additional context (report_type, score_band, etc.)</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TIMESTAMP</w:t>
            </w:r>
          </w:p>
        </w:tc>
        <w:tc>
          <w:tcPr>
            <w:tcW w:type="dxa" w:w="17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NOT NULL, default now()</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
            </w:r>
          </w:p>
        </w:tc>
      </w:tr>
    </w:tbl>
    <w:p>
      <w:pPr>
        <w:spacing w:after="200" w:before="0"/>
      </w:pPr>
      <w:r>
        <w:t xml:space="preserve"/>
      </w:r>
    </w:p>
    <w:p>
      <w:r>
        <w:br w:type="page"/>
      </w:r>
    </w:p>
    <w:p>
      <w:pPr>
        <w:pStyle w:val="Heading1"/>
        <w:spacing w:after="160" w:before="360"/>
      </w:pPr>
      <w:r>
        <w:rPr>
          <w:rFonts w:ascii="Arial" w:cs="Arial" w:eastAsia="Arial" w:hAnsi="Arial"/>
          <w:b/>
          <w:bCs/>
          <w:color w:val="1F4E79"/>
          <w:sz w:val="32"/>
          <w:szCs w:val="32"/>
        </w:rPr>
        <w:t xml:space="preserve">8. Key Relationships Summary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19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From Table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Relationship</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To Table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Via / Key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companies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one → many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facilities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 company operates many facilities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companies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many → many</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company_material_exposures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Companies handle materials at specific stages and geographies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companies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many → many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companies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company_supply_relationships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Buyer-supplier relationships with material context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companies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many → many</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regulations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company_regulation_exposure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Companies exposed to regulations based on materials and geographies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materials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many → many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regulations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regulation_material_scope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Which materials each regulation covers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regulations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many → many</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geographies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regulation_geography_scope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Which countries each regulation applies to or targets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hs_code_material_mappings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many → one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hs_code FK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Trade HS codes mapped to materials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risk_events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many → many</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companies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risk_event_companies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Events linked to affected companies with relevance scores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risk_events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many → many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risk_event_materials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Events linked to affected materials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risk_events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many → many</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regulations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risk_event_regulations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Events linked to related regulations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risk_events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many → many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geographies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risk_event_geographies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Events linked to affected geographies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source_documents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one → many</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risk_events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source_document_id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One document produces many risk events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source_documents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one → many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document_chunks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document_id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Documents chunked for vector search</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trade_flows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many → one</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material_id (via hs_code mapping)</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Trade records linked to materials for intelligence queries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companies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one → many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company_scores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Append-only score history per company</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materials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one → many</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material_scores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material_id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Append-only score history per material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report_templates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one → many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report_runs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template_id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Each template can produce many report runs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report_runs</w:t>
            </w:r>
          </w:p>
        </w:tc>
        <w:tc>
          <w:tcPr>
            <w:tcW w:type="dxa" w:w="14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one → many</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report_insights</w:t>
            </w:r>
          </w:p>
        </w:tc>
        <w:tc>
          <w:tcPr>
            <w:tcW w:type="dxa" w:w="19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run_id</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Each run produces pre-computed section insights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tenants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Courier New" w:cs="Courier New" w:eastAsia="Courier New" w:hAnsi="Courier New"/>
                <w:b w:val="false"/>
                <w:bCs w:val="false"/>
                <w:color w:val="000000"/>
                <w:sz w:val="18"/>
                <w:szCs w:val="18"/>
              </w:rPr>
              <w:t xml:space="preserve">one → many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report_templates, report_runs, usage_events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org_id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All customer-scoped data isolated by tenant</w:t>
            </w:r>
          </w:p>
        </w:tc>
      </w:tr>
    </w:tbl>
    <w:p>
      <w:pPr>
        <w:spacing w:after="200" w:before="0"/>
      </w:pPr>
      <w:r>
        <w:t xml:space="preserve"/>
      </w:r>
    </w:p>
    <w:p>
      <w:r>
        <w:br w:type="page"/>
      </w:r>
    </w:p>
    <w:p>
      <w:pPr>
        <w:pStyle w:val="Heading1"/>
        <w:spacing w:after="160" w:before="360"/>
      </w:pPr>
      <w:r>
        <w:rPr>
          <w:rFonts w:ascii="Arial" w:cs="Arial" w:eastAsia="Arial" w:hAnsi="Arial"/>
          <w:b/>
          <w:bCs/>
          <w:color w:val="1F4E79"/>
          <w:sz w:val="32"/>
          <w:szCs w:val="32"/>
        </w:rPr>
        <w:t xml:space="preserve">9. Migration Sequence</w:t>
      </w:r>
    </w:p>
    <w:p>
      <w:pPr>
        <w:spacing w:after="80" w:before="80"/>
      </w:pPr>
      <w:r>
        <w:rPr>
          <w:rFonts w:ascii="Arial" w:cs="Arial" w:eastAsia="Arial" w:hAnsi="Arial"/>
          <w:sz w:val="22"/>
          <w:szCs w:val="22"/>
        </w:rPr>
        <w:t xml:space="preserve">Migrations should be applied in dependency order. Each phase is independent — complete and validate one phase before starting the next. Green rows indicate the phase boundary.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560"/>
        <w:gridCol w:w="40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Migration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Tables Affected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Key Changes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CURRENT STATE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suppliers, risk_events, supplier_scores, trade_flows, ingestion_runs, risk_event_suppliers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Migrations 001-003 already applied</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004</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ingestion_sources</w:t>
            </w:r>
          </w:p>
        </w:tc>
        <w:tc>
          <w:tcPr>
            <w:tcW w:type="dxa" w:w="2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ingestion_sources (new)</w:t>
            </w:r>
          </w:p>
        </w:tc>
        <w:tc>
          <w:tcPr>
            <w:tcW w:type="dxa" w:w="4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Formalize source registry. Add ingestion_source_id FK to ingestion_runs.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005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materials + hs mappings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materials, hs_code_material_mappings (new)</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Seed data: 10 core battery materials, primary HS codes. Add material_id FK to trade_flows.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006</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regulations</w:t>
            </w:r>
          </w:p>
        </w:tc>
        <w:tc>
          <w:tcPr>
            <w:tcW w:type="dxa" w:w="2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regulations, regulation_material_scope, regulation_geography_scope (new)</w:t>
            </w:r>
          </w:p>
        </w:tc>
        <w:tc>
          <w:tcPr>
            <w:tcW w:type="dxa" w:w="4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Seed: 7 core regulations (UFLPA, EU Battery Reg, IRA FEOC, CBAM, CSRD, SEC Climate, EU CRMA).</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007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facilities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facilities (new)</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No FK changes to existing tables. Optional seed data for major facilities.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008</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rename + expand companies</w:t>
            </w:r>
          </w:p>
        </w:tc>
        <w:tc>
          <w:tcPr>
            <w:tcW w:type="dxa" w:w="2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companies (rename from suppliers)</w:t>
            </w:r>
          </w:p>
        </w:tc>
        <w:tc>
          <w:tcPr>
            <w:tcW w:type="dxa" w:w="4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all new columns: legal_name, aliases, duns_number, lei, parent_company_id, supply_chain_stage, data_confidence, data_source.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009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 relationships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company_material_exposures (new), company_supply_relationships (new), company_regulation_exposure (new)</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Expand company_material_exposures from existing supplier_material_exposure. Add supply and regulation tables.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010</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expand risk_events</w:t>
            </w:r>
          </w:p>
        </w:tc>
        <w:tc>
          <w:tcPr>
            <w:tcW w:type="dxa" w:w="2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risk_events (alter)</w:t>
            </w:r>
          </w:p>
        </w:tc>
        <w:tc>
          <w:tcPr>
            <w:tcW w:type="dxa" w:w="4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event_subtype, effective_date, event_impact, content_checksum, duplicate_cluster_id, is_cluster_representative. Add natural_key unique constraint.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011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event junction tables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risk_event_materials, risk_event_regulations, risk_event_geographies (new)</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Complement existing risk_event_companies. Rename risk_event_suppliers to risk_event_companies.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012</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document layer</w:t>
            </w:r>
          </w:p>
        </w:tc>
        <w:tc>
          <w:tcPr>
            <w:tcW w:type="dxa" w:w="2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source_documents (new), document_chunks (new)</w:t>
            </w:r>
          </w:p>
        </w:tc>
        <w:tc>
          <w:tcPr>
            <w:tcW w:type="dxa" w:w="4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Formalize document registry. Add source_document_id FK to risk_events. Enable pgvector extension. Add embedding column.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013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commodity prices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commodity_prices (new)</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table. No FK changes to existing tables.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014</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expand ingestion_runs</w:t>
            </w:r>
          </w:p>
        </w:tc>
        <w:tc>
          <w:tcPr>
            <w:tcW w:type="dxa" w:w="2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ingestion_runs (alter)</w:t>
            </w:r>
          </w:p>
        </w:tc>
        <w:tc>
          <w:tcPr>
            <w:tcW w:type="dxa" w:w="4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Add: events_updated, events_skipped, entities_resolved, modal_function_id, inngest_event_id.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015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scoring expansion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company_scores (rename from supplier_scores), material_scores, geography_scores (new)</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Rename table. Add all new score tables. Existing rows are valid.</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016</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report layer</w:t>
            </w:r>
          </w:p>
        </w:tc>
        <w:tc>
          <w:tcPr>
            <w:tcW w:type="dxa" w:w="2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report_templates, report_template_focus_entities (new)</w:t>
            </w:r>
          </w:p>
        </w:tc>
        <w:tc>
          <w:tcPr>
            <w:tcW w:type="dxa" w:w="4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New tables. No changes to existing tables.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017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platform layer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tenants, users, usage_events (new)</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Multi-tenancy tables. Add org_id FK to: companies, ingestion_runs, report_templates, report_runs, usage_events.</w:t>
            </w:r>
          </w:p>
        </w:tc>
      </w:tr>
      <w:tr>
        <w:tc>
          <w:tcPr>
            <w:tcW w:type="dxa" w:w="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018</w:t>
            </w:r>
          </w:p>
        </w:tc>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RLS policies</w:t>
            </w:r>
          </w:p>
        </w:tc>
        <w:tc>
          <w:tcPr>
            <w:tcW w:type="dxa" w:w="2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All org_id-bearing tables</w:t>
            </w:r>
          </w:p>
        </w:tc>
        <w:tc>
          <w:tcPr>
            <w:tcW w:type="dxa" w:w="4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Enable row-level security. CREATE POLICY on tenant-scoped tables. Apply after tenants table is populated.</w:t>
            </w:r>
          </w:p>
        </w:tc>
      </w:tr>
    </w:tbl>
    <w:p>
      <w:pPr>
        <w:spacing w:after="200" w:before="0"/>
      </w:pPr>
      <w:r>
        <w:t xml:space="preserve"/>
      </w:r>
    </w:p>
    <w:p>
      <w:r>
        <w:br w:type="page"/>
      </w:r>
    </w:p>
    <w:p>
      <w:pPr>
        <w:pStyle w:val="Heading1"/>
        <w:spacing w:after="160" w:before="360"/>
      </w:pPr>
      <w:r>
        <w:rPr>
          <w:rFonts w:ascii="Arial" w:cs="Arial" w:eastAsia="Arial" w:hAnsi="Arial"/>
          <w:b/>
          <w:bCs/>
          <w:color w:val="1F4E79"/>
          <w:sz w:val="32"/>
          <w:szCs w:val="32"/>
        </w:rPr>
        <w:t xml:space="preserve">10. Data Sources by Table</w:t>
      </w:r>
    </w:p>
    <w:p>
      <w:pPr>
        <w:spacing w:after="80" w:before="80"/>
      </w:pPr>
      <w:r>
        <w:rPr>
          <w:rFonts w:ascii="Arial" w:cs="Arial" w:eastAsia="Arial" w:hAnsi="Arial"/>
          <w:sz w:val="22"/>
          <w:szCs w:val="22"/>
        </w:rPr>
        <w:t xml:space="preserve">What populates each table and at what cost. Free public sources should be fully ingested before budget is allocated to commercial sources. The tables that have no automated source require manual research or commercial data partnerships.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60"/>
        <w:gridCol w:w="4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Table(s) Populated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Source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Notes / Constraints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companies (seed)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Manual research + SEC EDGAR filer list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Public / Manual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~50-75 known battery supply chain entities. EDGAR filer search covers all US-listed companies.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companies.aliases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Manual + entity resolution feedback</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Manual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Build incrementally — add aliases when entity resolution misses a match.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materials (seed)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Manual — static reference data</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Manual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One-time seed of ~15 materials. Very low effort; very high impact.</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facilities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 disclosures, Wood Mackenzie, USGS</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Commercial / Manual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Sparse. Prioritize cell factories and refineries. Benchmark Mineral Intelligence is the best source.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regulations (seed)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EUR-Lex, US Federal Register, manual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Public / Manual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One-time seed of 7 core regulations. Update as new regulations are enacted.</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company_material_exposures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SEC 10-K risk factors, company disclosures</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Public / Manual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Parse from filings where possible. Manual entry for private companies.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company_supply_relationships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Press releases, SEC filings, D&amp;B</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Commercial / Manual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Sparse and confidence-limited. D&amp;B supply chain data helps but is expensive.</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company_regulation_exposure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Derived from material+geography exposure</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Derived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Can be computed from company_material_exposures + regulation scopes once those tables are populated.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hs_code_material_mappings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USITC HTS, manual validation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Public / Manual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One-time setup. ~20-30 HS codes cover most battery-relevant materials.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source_documents + risk_events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Federal Register, SEC EDGAR, GDELT, news</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Public / Commercial</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Primary automated ingestion path. GDELT is free and covers geopolitical events globally.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trade_flows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US Census Bureau, UN Comtrade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Public (free)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Census API is free. UN Comtrade has a free tier (limited calls/day). Best coverage of battery HS codes.</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commodity_prices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USGS, LME (paid), Fastmarkets (paid)</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Mix</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USGS provides free annual mineral commodity summaries. LME/Fastmarkets for monthly pricing require subscription.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document_chunks + embeddings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Derived from source_documents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Derived (LLM cost)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Chunking + embedding adds LLM inference cost per document. Use batch API to reduce cost ~50%.</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material_scores, geography_scores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Derived from company_scores + events</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Derived</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Computed by scoring orchestrator after company rescores. Zero marginal data cost.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report_templates (platform)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Internal — ADS creates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Internal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Seed 3-5 platform templates before any customer onboarding.</w:t>
            </w:r>
          </w:p>
        </w:tc>
      </w:tr>
      <w:tr>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tenants, users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Clerk webhooks</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Clerk sync</w:t>
            </w:r>
          </w:p>
        </w:tc>
        <w:tc>
          <w:tcPr>
            <w:tcW w:type="dxa" w:w="4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vAlign w:val="top"/>
          </w:tcPr>
          <w:p>
            <w:r>
              <w:rPr>
                <w:rFonts w:ascii="Arial" w:cs="Arial" w:eastAsia="Arial" w:hAnsi="Arial"/>
                <w:b w:val="false"/>
                <w:bCs w:val="false"/>
                <w:color w:val="000000"/>
                <w:sz w:val="18"/>
                <w:szCs w:val="18"/>
              </w:rPr>
              <w:t xml:space="preserve">Sync on org/user creation events from Clerk. Map clerk_org_id → tenant_id.</w:t>
            </w:r>
          </w:p>
        </w:tc>
      </w:tr>
    </w:tbl>
    <w:p>
      <w:pPr>
        <w:spacing w:after="200" w:before="0"/>
      </w:pPr>
      <w:r>
        <w:t xml:space="preserve"/>
      </w:r>
    </w:p>
    <w:p>
      <w:pPr>
        <w:pBdr>
          <w:bottom w:val="single" w:color="2E75B6" w:sz="6" w:space="1"/>
        </w:pBdr>
        <w:spacing w:after="120" w:before="60"/>
      </w:pPr>
      <w:r>
        <w:t xml:space="preserve"/>
      </w:r>
    </w:p>
    <w:p>
      <w:pPr>
        <w:spacing w:after="100" w:before="60"/>
      </w:pPr>
      <w:r>
        <w:rPr>
          <w:rFonts w:ascii="Arial" w:cs="Arial" w:eastAsia="Arial" w:hAnsi="Arial"/>
          <w:i/>
          <w:iCs/>
          <w:color w:val="595959"/>
          <w:sz w:val="20"/>
          <w:szCs w:val="20"/>
        </w:rPr>
        <w:t xml:space="preserve">Schema version: 1.0  |  This document should be updated when new tables are added or existing table definitions change materially. The migration sequence in Section 9 is the authoritative source for what exists in each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Automotive Data Solutions — Confidential</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EV Battery Supply Chain Intelligence Platform</w:t>
    </w:r>
    <w:r>
      <w:rPr>
        <w:rFonts w:ascii="Arial" w:cs="Arial" w:eastAsia="Arial" w:hAnsi="Arial"/>
        <w:color w:val="595959"/>
        <w:sz w:val="18"/>
        <w:szCs w:val="18"/>
      </w:rPr>
      <w:t xml:space="preserve">	Database Schema &amp; Data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2026-04-11T12:00:26.019Z</dcterms:created>
  <dcterms:modified xsi:type="dcterms:W3CDTF">2026-04-11T12:00:26.020Z</dcterms:modified>
</cp:coreProperties>
</file>

<file path=docProps/custom.xml><?xml version="1.0" encoding="utf-8"?>
<Properties xmlns="http://schemas.openxmlformats.org/officeDocument/2006/custom-properties" xmlns:vt="http://schemas.openxmlformats.org/officeDocument/2006/docPropsVTypes"/>
</file>