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p>
    <w:p>
      <w:pPr>
        <w:spacing w:before="0" w:after="60"/>
      </w:pPr>
    </w:p>
    <w:p>
      <w:pPr>
        <w:spacing w:before="0" w:after="60"/>
      </w:pPr>
    </w:p>
    <w:p>
      <w:pPr>
        <w:jc w:val="center"/>
        <w:spacing w:before="200" w:after="120"/>
      </w:pPr>
      <w:r>
        <w:rPr>
          <w:rFonts w:ascii="Arial" w:hAnsi="Arial"/>
          <w:b/>
          <w:color w:val="1E2761"/>
          <w:sz w:val="64"/>
        </w:rPr>
        <w:t>Battery Supply Chain</w:t>
        <w:br/>
        <w:t>Risk Intelligence Platform</w:t>
      </w:r>
    </w:p>
    <w:p>
      <w:pPr>
        <w:jc w:val="center"/>
        <w:spacing w:before="0" w:after="80"/>
      </w:pPr>
      <w:r>
        <w:rPr>
          <w:rFonts w:ascii="Arial" w:hAnsi="Arial"/>
          <w:color w:val="028090"/>
          <w:sz w:val="32"/>
        </w:rPr>
        <w:t>Technical Architecture &amp; Scoring Framework</w:t>
      </w:r>
    </w:p>
    <w:p>
      <w:pPr>
        <w:jc w:val="center"/>
        <w:spacing w:before="0" w:after="0"/>
      </w:pPr>
      <w:r>
        <w:rPr>
          <w:rFonts w:ascii="Arial" w:hAnsi="Arial"/>
          <w:i/>
          <w:color w:val="64748B"/>
          <w:sz w:val="22"/>
        </w:rPr>
        <w:t>Revision 3.0  |  Automotive Data Solutions  |  April 2026</w:t>
      </w:r>
    </w:p>
    <w:p>
      <w:r>
        <w:br w:type="page"/>
      </w:r>
    </w:p>
    <w:p>
      <w:pPr>
        <w:pStyle w:val="Heading1"/>
        <w:spacing w:before="200" w:after="100"/>
      </w:pPr>
      <w:r>
        <w:rPr>
          <w:rFonts w:ascii="Arial" w:hAnsi="Arial"/>
          <w:color w:val="1E2761"/>
          <w:sz w:val="48"/>
        </w:rPr>
        <w:t>1.  Context and Purpose</w:t>
      </w:r>
    </w:p>
    <w:p>
      <w:pPr>
        <w:spacing w:before="40" w:after="60"/>
      </w:pPr>
      <w:r>
        <w:rPr>
          <w:rFonts w:ascii="Arial" w:hAnsi="Arial"/>
          <w:b w:val="0"/>
          <w:i w:val="0"/>
          <w:color w:val="1E293B"/>
          <w:sz w:val="22"/>
        </w:rPr>
        <w:t>This document defines the technical architecture, data ingestion design, scoring framework, and planned infrastructure roadmap for the Battery Supply Chain Risk Intelligence Platform. It reflects the current build state as of April 2026 and consolidates the infrastructure recommendations from v2 with a revised scoring engine (v3.0).</w:t>
      </w:r>
    </w:p>
    <w:p>
      <w:pPr>
        <w:spacing w:before="0" w:after="60"/>
      </w:pPr>
    </w:p>
    <w:p>
      <w:pPr>
        <w:spacing w:before="40" w:after="60"/>
      </w:pPr>
      <w:r>
        <w:rPr>
          <w:rFonts w:ascii="Arial" w:hAnsi="Arial"/>
          <w:b w:val="0"/>
          <w:i w:val="0"/>
          <w:color w:val="1E293B"/>
          <w:sz w:val="22"/>
        </w:rPr>
        <w:t>The platform ingests data from public APIs and scraping sources, normalizes regulatory, geopolitical, and financial signals, and produces explainable risk scores at the company, material, and chemistry level. In the near term, scoring output feeds custom reports. In the medium term it feeds a multi-tenant SaaS dashboard.</w:t>
      </w:r>
    </w:p>
    <w:p>
      <w:pPr>
        <w:spacing w:before="0" w:after="60"/>
      </w:pPr>
    </w:p>
    <w:tbl>
      <w:tblPr>
        <w:tblLook w:firstColumn="1" w:firstRow="1" w:lastColumn="0" w:lastRow="0" w:noHBand="0" w:noVBand="1" w:val="04A0"/>
        <w:tblW w:w="9360" w:type="dxa"/>
      </w:tblPr>
      <w:tblGrid>
        <w:gridCol w:w="9360"/>
      </w:tblGrid>
      <w:tr>
        <w:tc>
          <w:tcPr>
            <w:shd w:val="clear" w:color="auto" w:fill="DBEAFE"/>
            <w:tcBorders>
              <w:top w:val="single" w:sz="6" w:space="0" w:color="93C5FD"/>
              <w:left w:val="single" w:sz="6" w:space="0" w:color="93C5FD"/>
              <w:bottom w:val="single" w:sz="6" w:space="0" w:color="93C5FD"/>
              <w:right w:val="single" w:sz="6" w:space="0" w:color="93C5FD"/>
            </w:tcBorders>
            <w:tcMar>
              <w:top w:w="100" w:type="dxa"/>
              <w:left w:w="140" w:type="dxa"/>
              <w:bottom w:w="100" w:type="dxa"/>
              <w:right w:w="140" w:type="dxa"/>
            </w:tcMar>
            <w:tcW w:w="9360" w:type="dxa"/>
          </w:tcPr>
          <w:p>
            <w:pPr>
              <w:spacing w:before="0" w:after="0"/>
            </w:pPr>
            <w:r>
              <w:rPr>
                <w:rFonts w:ascii="Arial" w:hAnsi="Arial"/>
                <w:i/>
                <w:color w:val="1E293B"/>
                <w:sz w:val="20"/>
              </w:rPr>
              <w:t>Design constraint: Keep the operational cost floor low during the report-generation phase. No service should idle at full cost between infrequent ingestion runs. Every architectural decision should be revisable — avoid lock-in to any single vendor before SaaS demand is validated.</w:t>
            </w:r>
          </w:p>
        </w:tc>
      </w:tr>
    </w:tbl>
    <w:p/>
    <w:p>
      <w:pPr>
        <w:pStyle w:val="Heading1"/>
        <w:pageBreakBefore/>
        <w:spacing w:before="200" w:after="100"/>
      </w:pPr>
      <w:r>
        <w:rPr>
          <w:rFonts w:ascii="Arial" w:hAnsi="Arial"/>
          <w:color w:val="1E2761"/>
          <w:sz w:val="48"/>
        </w:rPr>
        <w:t>2.  Current Build State</w:t>
      </w:r>
    </w:p>
    <w:p>
      <w:pPr>
        <w:pStyle w:val="Heading2"/>
        <w:spacing w:before="160" w:after="60"/>
      </w:pPr>
      <w:r>
        <w:rPr>
          <w:rFonts w:ascii="Arial" w:hAnsi="Arial"/>
          <w:color w:val="028090"/>
          <w:sz w:val="36"/>
        </w:rPr>
        <w:t>2.1  What Is Built</w:t>
      </w:r>
    </w:p>
    <w:p>
      <w:pPr>
        <w:spacing w:before="40" w:after="60"/>
      </w:pPr>
      <w:r>
        <w:rPr>
          <w:rFonts w:ascii="Arial" w:hAnsi="Arial"/>
          <w:b w:val="0"/>
          <w:i w:val="0"/>
          <w:color w:val="1E293B"/>
          <w:sz w:val="22"/>
        </w:rPr>
        <w:t>The following components are operational as of this revision.</w:t>
      </w:r>
    </w:p>
    <w:p>
      <w:pPr>
        <w:spacing w:before="0" w:after="60"/>
      </w:pPr>
    </w:p>
    <w:p>
      <w:pPr>
        <w:pStyle w:val="ListBullet"/>
        <w:spacing w:before="20" w:after="30"/>
      </w:pPr>
      <w:r>
        <w:rPr>
          <w:rFonts w:ascii="Arial" w:hAnsi="Arial"/>
          <w:b w:val="0"/>
          <w:color w:val="1E293B"/>
          <w:sz w:val="20"/>
        </w:rPr>
        <w:t>FastAPI application with full ORM model layer and Alembic migration history</w:t>
      </w:r>
    </w:p>
    <w:p>
      <w:pPr>
        <w:pStyle w:val="ListBullet"/>
        <w:spacing w:before="20" w:after="30"/>
      </w:pPr>
      <w:r>
        <w:rPr>
          <w:rFonts w:ascii="Arial" w:hAnsi="Arial"/>
          <w:b w:val="0"/>
          <w:color w:val="1E293B"/>
          <w:sz w:val="20"/>
        </w:rPr>
        <w:t>Neon Serverless Postgres database with all schema tables created (see Section 3)</w:t>
      </w:r>
    </w:p>
    <w:p>
      <w:pPr>
        <w:pStyle w:val="ListBullet"/>
        <w:spacing w:before="20" w:after="30"/>
      </w:pPr>
      <w:r>
        <w:rPr>
          <w:rFonts w:ascii="Arial" w:hAnsi="Arial"/>
          <w:b w:val="0"/>
          <w:color w:val="1E293B"/>
          <w:sz w:val="20"/>
        </w:rPr>
        <w:t>CLI command suite (Typer) covering all seed, ingest, score, and review operations</w:t>
      </w:r>
    </w:p>
    <w:p>
      <w:pPr>
        <w:pStyle w:val="ListBullet"/>
        <w:spacing w:before="20" w:after="30"/>
      </w:pPr>
      <w:r>
        <w:rPr>
          <w:rFonts w:ascii="Arial" w:hAnsi="Arial"/>
          <w:b w:val="0"/>
          <w:color w:val="1E293B"/>
          <w:sz w:val="20"/>
        </w:rPr>
        <w:t>Six-pillar scoring engine v3.0 with supply-chain propagation, chemistry scoring, and scoped-run support</w:t>
      </w:r>
    </w:p>
    <w:p>
      <w:pPr>
        <w:pStyle w:val="ListBullet"/>
        <w:spacing w:before="20" w:after="30"/>
      </w:pPr>
      <w:r>
        <w:rPr>
          <w:rFonts w:ascii="Arial" w:hAnsi="Arial"/>
          <w:b w:val="0"/>
          <w:color w:val="1E293B"/>
          <w:sz w:val="20"/>
        </w:rPr>
        <w:t>Ingestion adapters: USGS, UN Comtrade, OpenSanctions, SEC EDGAR, GLEIF, World Bank, Federal Register, ev-database.org scraper</w:t>
      </w:r>
    </w:p>
    <w:p>
      <w:pPr>
        <w:pStyle w:val="ListBullet"/>
        <w:spacing w:before="20" w:after="30"/>
      </w:pPr>
      <w:r>
        <w:rPr>
          <w:rFonts w:ascii="Arial" w:hAnsi="Arial"/>
          <w:b w:val="0"/>
          <w:color w:val="1E293B"/>
          <w:sz w:val="20"/>
        </w:rPr>
        <w:t>Seed data: companies (~76), materials, facilities, supply relationships, material exposures, regulations, HS code mappings</w:t>
      </w:r>
    </w:p>
    <w:p>
      <w:pPr>
        <w:pStyle w:val="ListBullet"/>
        <w:spacing w:before="20" w:after="30"/>
      </w:pPr>
      <w:r>
        <w:rPr>
          <w:rFonts w:ascii="Arial" w:hAnsi="Arial"/>
          <w:b w:val="0"/>
          <w:color w:val="1E293B"/>
          <w:sz w:val="20"/>
        </w:rPr>
        <w:t>Multi-tenancy schema: tenants, users, usage_events tables exist — enforcement pending SaaS transition</w:t>
      </w:r>
    </w:p>
    <w:p>
      <w:pPr>
        <w:pStyle w:val="ListBullet"/>
        <w:spacing w:before="20" w:after="30"/>
      </w:pPr>
      <w:r>
        <w:rPr>
          <w:rFonts w:ascii="Arial" w:hAnsi="Arial"/>
          <w:b w:val="0"/>
          <w:color w:val="1E293B"/>
          <w:sz w:val="20"/>
        </w:rPr>
        <w:t>Report schema: report_templates, report_runs, report_insights, analyst_notes tables exist — generation logic pending</w:t>
      </w:r>
    </w:p>
    <w:p>
      <w:pPr>
        <w:pStyle w:val="ListBullet"/>
        <w:spacing w:before="20" w:after="30"/>
      </w:pPr>
      <w:r>
        <w:rPr>
          <w:rFonts w:ascii="Arial" w:hAnsi="Arial"/>
          <w:b w:val="0"/>
          <w:color w:val="1E293B"/>
          <w:sz w:val="20"/>
        </w:rPr>
        <w:t>Seed review QA pipeline with findings tracking (seed_review_runs, seed_review_findings)</w:t>
      </w:r>
    </w:p>
    <w:p>
      <w:pPr>
        <w:spacing w:before="0" w:after="60"/>
      </w:pPr>
    </w:p>
    <w:p>
      <w:pPr>
        <w:pStyle w:val="Heading2"/>
        <w:spacing w:before="160" w:after="60"/>
      </w:pPr>
      <w:r>
        <w:rPr>
          <w:rFonts w:ascii="Arial" w:hAnsi="Arial"/>
          <w:color w:val="028090"/>
          <w:sz w:val="36"/>
        </w:rPr>
        <w:t>2.2  What Is Not Yet Built</w:t>
      </w:r>
    </w:p>
    <w:p>
      <w:pPr>
        <w:pStyle w:val="ListBullet"/>
        <w:spacing w:before="20" w:after="30"/>
      </w:pPr>
      <w:r>
        <w:rPr>
          <w:rFonts w:ascii="Arial" w:hAnsi="Arial"/>
          <w:b w:val="0"/>
          <w:color w:val="1E293B"/>
          <w:sz w:val="20"/>
        </w:rPr>
        <w:t>Frontend (Next.js) — no UI exists; all operations run through CLI</w:t>
      </w:r>
    </w:p>
    <w:p>
      <w:pPr>
        <w:pStyle w:val="ListBullet"/>
        <w:spacing w:before="20" w:after="30"/>
      </w:pPr>
      <w:r>
        <w:rPr>
          <w:rFonts w:ascii="Arial" w:hAnsi="Arial"/>
          <w:b w:val="0"/>
          <w:color w:val="1E293B"/>
          <w:sz w:val="20"/>
        </w:rPr>
        <w:t>API endpoints for external access — FastAPI routes not yet exposed</w:t>
      </w:r>
    </w:p>
    <w:p>
      <w:pPr>
        <w:pStyle w:val="ListBullet"/>
        <w:spacing w:before="20" w:after="30"/>
      </w:pPr>
      <w:r>
        <w:rPr>
          <w:rFonts w:ascii="Arial" w:hAnsi="Arial"/>
          <w:b w:val="0"/>
          <w:color w:val="1E293B"/>
          <w:sz w:val="20"/>
        </w:rPr>
        <w:t>Auth (Clerk) — schema ready; integration not installed</w:t>
      </w:r>
    </w:p>
    <w:p>
      <w:pPr>
        <w:pStyle w:val="ListBullet"/>
        <w:spacing w:before="20" w:after="30"/>
      </w:pPr>
      <w:r>
        <w:rPr>
          <w:rFonts w:ascii="Arial" w:hAnsi="Arial"/>
          <w:b w:val="0"/>
          <w:color w:val="1E293B"/>
          <w:sz w:val="20"/>
        </w:rPr>
        <w:t>Worker infrastructure (Modal, Inngest) — ingestion runs locally via CLI</w:t>
      </w:r>
    </w:p>
    <w:p>
      <w:pPr>
        <w:pStyle w:val="ListBullet"/>
        <w:spacing w:before="20" w:after="30"/>
      </w:pPr>
      <w:r>
        <w:rPr>
          <w:rFonts w:ascii="Arial" w:hAnsi="Arial"/>
          <w:b w:val="0"/>
          <w:color w:val="1E293B"/>
          <w:sz w:val="20"/>
        </w:rPr>
        <w:t>Observability (Sentry, Axiom) — no error tracking or structured logging in place</w:t>
      </w:r>
    </w:p>
    <w:p>
      <w:pPr>
        <w:pStyle w:val="ListBullet"/>
        <w:spacing w:before="20" w:after="30"/>
      </w:pPr>
      <w:r>
        <w:rPr>
          <w:rFonts w:ascii="Arial" w:hAnsi="Arial"/>
          <w:b w:val="0"/>
          <w:color w:val="1E293B"/>
          <w:sz w:val="20"/>
        </w:rPr>
        <w:t>Report generation logic — tables exist, build_oem_report.py is a stub</w:t>
      </w:r>
    </w:p>
    <w:p>
      <w:pPr>
        <w:pStyle w:val="ListBullet"/>
        <w:spacing w:before="20" w:after="30"/>
      </w:pPr>
      <w:r>
        <w:rPr>
          <w:rFonts w:ascii="Arial" w:hAnsi="Arial"/>
          <w:b w:val="0"/>
          <w:color w:val="1E293B"/>
          <w:sz w:val="20"/>
        </w:rPr>
        <w:t>LLM integration — no summarization or narrative generation yet</w:t>
      </w:r>
    </w:p>
    <w:p>
      <w:pPr>
        <w:pStyle w:val="ListBullet"/>
        <w:spacing w:before="20" w:after="30"/>
      </w:pPr>
      <w:r>
        <w:rPr>
          <w:rFonts w:ascii="Arial" w:hAnsi="Arial"/>
          <w:b w:val="0"/>
          <w:color w:val="1E293B"/>
          <w:sz w:val="20"/>
        </w:rPr>
        <w:t>Phase 2/3 ingestion sources (policy pages, sustainability reports, NGO feeds, NREL, USITC)</w:t>
      </w:r>
    </w:p>
    <w:p>
      <w:pPr>
        <w:pStyle w:val="ListBullet"/>
        <w:spacing w:before="20" w:after="30"/>
      </w:pPr>
      <w:r>
        <w:rPr>
          <w:rFonts w:ascii="Arial" w:hAnsi="Arial"/>
          <w:b w:val="0"/>
          <w:color w:val="1E293B"/>
          <w:sz w:val="20"/>
        </w:rPr>
        <w:t>pgvector semantic search — schema column not yet added</w:t>
      </w:r>
    </w:p>
    <w:p>
      <w:pPr>
        <w:pStyle w:val="Heading1"/>
        <w:pageBreakBefore/>
        <w:spacing w:before="200" w:after="100"/>
      </w:pPr>
      <w:r>
        <w:rPr>
          <w:rFonts w:ascii="Arial" w:hAnsi="Arial"/>
          <w:color w:val="1E2761"/>
          <w:sz w:val="48"/>
        </w:rPr>
        <w:t>3.  Data Model Overview</w:t>
      </w:r>
    </w:p>
    <w:p>
      <w:pPr>
        <w:spacing w:before="40" w:after="60"/>
      </w:pPr>
      <w:r>
        <w:rPr>
          <w:rFonts w:ascii="Arial" w:hAnsi="Arial"/>
          <w:b w:val="0"/>
          <w:i w:val="0"/>
          <w:color w:val="1E293B"/>
          <w:sz w:val="22"/>
        </w:rPr>
        <w:t>All tables live in Neon Postgres. The schema is organized into eight functional domains.</w:t>
      </w:r>
    </w:p>
    <w:p>
      <w:pPr>
        <w:spacing w:before="0" w:after="60"/>
      </w:pPr>
    </w:p>
    <w:p>
      <w:pPr>
        <w:pStyle w:val="Heading2"/>
        <w:spacing w:before="160" w:after="60"/>
      </w:pPr>
      <w:r>
        <w:rPr>
          <w:rFonts w:ascii="Arial" w:hAnsi="Arial"/>
          <w:color w:val="028090"/>
          <w:sz w:val="36"/>
        </w:rPr>
        <w:t>3.1  Company Domain</w:t>
      </w:r>
    </w:p>
    <w:tbl>
      <w:tblPr>
        <w:tblLook w:firstColumn="1" w:firstRow="1" w:lastColumn="0" w:lastRow="0" w:noHBand="0" w:noVBand="1" w:val="04A0"/>
        <w:tblStyle w:val="TableGrid"/>
        <w:tblW w:w="9360" w:type="dxa"/>
      </w:tblPr>
      <w:tblGrid>
        <w:gridCol w:w="4680"/>
        <w:gridCol w:w="4680"/>
      </w:tblGrid>
      <w:tr>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2300" w:type="dxa"/>
          </w:tcPr>
          <w:p>
            <w:pPr>
              <w:spacing w:before="0" w:after="0"/>
            </w:pPr>
            <w:r>
              <w:rPr>
                <w:rFonts w:ascii="Arial" w:hAnsi="Arial"/>
                <w:b/>
                <w:color w:val="FFFFFF"/>
                <w:sz w:val="19"/>
              </w:rPr>
              <w:t>Table</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7060" w:type="dxa"/>
          </w:tcPr>
          <w:p>
            <w:pPr>
              <w:spacing w:before="0" w:after="0"/>
            </w:pPr>
            <w:r>
              <w:rPr>
                <w:rFonts w:ascii="Arial" w:hAnsi="Arial"/>
                <w:b/>
                <w:color w:val="FFFFFF"/>
                <w:sz w:val="19"/>
              </w:rPr>
              <w:t>Key Columns / Purpose</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companies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canonical_name, legal_name, supply_chain_stage (oem|cell_maker|miner|refiner|recycler|holding), headquarters_country, parent_company_id, data_confidence</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company_aliases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Alternate names, tickers, LEIs, former names per company</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company_material_exposures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company_id, material_id, exposure_score 0–1, source_geography, supply_chain_stage, as_of_date</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company_supply_relationships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buyer_id, supplier_id, material_id, relationship_type, volume_share_pct 0–1, valid_from/to</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company_regulation_exposure</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company_id, regulation_id, compliance_status (compliant|non_compliant|partial|unknown), assessed_at</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company_vehicle_models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company_id, model_name, model_year_start/end, production_volume_units, is_active</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vehicle_model_chemistries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vehicle_model_id, battery_chemistry_id, share_pct 0–1, valid_from/to. Shares must sum to 1.0 per model per active window.</w:t>
            </w:r>
          </w:p>
        </w:tc>
      </w:tr>
    </w:tbl>
    <w:p/>
    <w:p>
      <w:pPr>
        <w:pStyle w:val="Heading2"/>
        <w:spacing w:before="160" w:after="60"/>
      </w:pPr>
      <w:r>
        <w:rPr>
          <w:rFonts w:ascii="Arial" w:hAnsi="Arial"/>
          <w:color w:val="028090"/>
          <w:sz w:val="36"/>
        </w:rPr>
        <w:t>3.2  Scoring Domain</w:t>
      </w:r>
    </w:p>
    <w:tbl>
      <w:tblPr>
        <w:tblLook w:firstColumn="1" w:firstRow="1" w:lastColumn="0" w:lastRow="0" w:noHBand="0" w:noVBand="1" w:val="04A0"/>
        <w:tblStyle w:val="TableGrid"/>
        <w:tblW w:w="9360" w:type="dxa"/>
      </w:tblPr>
      <w:tblGrid>
        <w:gridCol w:w="4680"/>
        <w:gridCol w:w="4680"/>
      </w:tblGrid>
      <w:tr>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2300" w:type="dxa"/>
          </w:tcPr>
          <w:p>
            <w:pPr>
              <w:spacing w:before="0" w:after="0"/>
            </w:pPr>
            <w:r>
              <w:rPr>
                <w:rFonts w:ascii="Arial" w:hAnsi="Arial"/>
                <w:b/>
                <w:color w:val="FFFFFF"/>
                <w:sz w:val="19"/>
              </w:rPr>
              <w:t>Table</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7060" w:type="dxa"/>
          </w:tcPr>
          <w:p>
            <w:pPr>
              <w:spacing w:before="0" w:after="0"/>
            </w:pPr>
            <w:r>
              <w:rPr>
                <w:rFonts w:ascii="Arial" w:hAnsi="Arial"/>
                <w:b/>
                <w:color w:val="FFFFFF"/>
                <w:sz w:val="19"/>
              </w:rPr>
              <w:t>Key Columns / Purpose</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company_scores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Append-only. company_id, as_of_date, six pillar scores, overall_risk_score, supply_chain_propagation_score, rationale_json (JSONB), scoring_version</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material_scores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material_id, as_of_date, five sub-scores, overall_risk_score, rationale_json</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geography_scores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geography_code ISO2, as_of_date, four sub-scores, overall_risk_score</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battery_chemistries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slug, name, status (commercial|emerging|research), current_market_share_pct, market_share_as_of_date</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battery_chemistry_materials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Versioned junction: battery_chemistry_id, material_id, role, intensity 0–1, is_substitutable, valid_from/to</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chemistry_risk_scores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Append-only. battery_chemistry_id, as_of_date, material_concentration_score, geopolitical_score, composite_risk_score, score_confidence</w:t>
            </w:r>
          </w:p>
        </w:tc>
      </w:tr>
    </w:tbl>
    <w:p/>
    <w:p>
      <w:pPr>
        <w:pStyle w:val="Heading2"/>
        <w:spacing w:before="160" w:after="60"/>
      </w:pPr>
      <w:r>
        <w:rPr>
          <w:rFonts w:ascii="Arial" w:hAnsi="Arial"/>
          <w:color w:val="028090"/>
          <w:sz w:val="36"/>
        </w:rPr>
        <w:t>3.3  Risk Intelligence Domain</w:t>
      </w:r>
    </w:p>
    <w:tbl>
      <w:tblPr>
        <w:tblLook w:firstColumn="1" w:firstRow="1" w:lastColumn="0" w:lastRow="0" w:noHBand="0" w:noVBand="1" w:val="04A0"/>
        <w:tblStyle w:val="TableGrid"/>
        <w:tblW w:w="9360" w:type="dxa"/>
      </w:tblPr>
      <w:tblGrid>
        <w:gridCol w:w="4680"/>
        <w:gridCol w:w="4680"/>
      </w:tblGrid>
      <w:tr>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2300" w:type="dxa"/>
          </w:tcPr>
          <w:p>
            <w:pPr>
              <w:spacing w:before="0" w:after="0"/>
            </w:pPr>
            <w:r>
              <w:rPr>
                <w:rFonts w:ascii="Arial" w:hAnsi="Arial"/>
                <w:b/>
                <w:color w:val="FFFFFF"/>
                <w:sz w:val="19"/>
              </w:rPr>
              <w:t>Table</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7060" w:type="dxa"/>
          </w:tcPr>
          <w:p>
            <w:pPr>
              <w:spacing w:before="0" w:after="0"/>
            </w:pPr>
            <w:r>
              <w:rPr>
                <w:rFonts w:ascii="Arial" w:hAnsi="Arial"/>
                <w:b/>
                <w:color w:val="FFFFFF"/>
                <w:sz w:val="19"/>
              </w:rPr>
              <w:t>Key Columns / Purpose</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risk_events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event_type, event_date, severity_score 0–1, confidence_score 0–1, content_hash SHA-256 for dedup, geography_json, risk_categories_json</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risk_event_companies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Links risk_events to companies with relevance_score</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risk_event_materials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Links risk_events to materials with relevance_score</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regulations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regulation_key, title, issuing_body, policy_theme, status (proposed|enacted|effective|superseded), publication_date, effective_date</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regulation_material_scope</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regulation_id, material_id, scope_type (covered|restricted|banned|disclosure_required)</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regulation_geography_scope</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regulation_id, country_code ISO2 or bloc, scope_type</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trade_flows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period, reporter_country, partner_country, hs_code, material_id, import_export_flag, quantity, trade_value_usd</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material_criticality_signals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material_id, source (usgs_mcs|eu_crma|iea_report|manual), criticality_score, hhi_score, trend_direction</w:t>
            </w:r>
          </w:p>
        </w:tc>
      </w:tr>
    </w:tbl>
    <w:p/>
    <w:p>
      <w:pPr>
        <w:pStyle w:val="Heading2"/>
        <w:spacing w:before="160" w:after="60"/>
      </w:pPr>
      <w:r>
        <w:rPr>
          <w:rFonts w:ascii="Arial" w:hAnsi="Arial"/>
          <w:color w:val="028090"/>
          <w:sz w:val="36"/>
        </w:rPr>
        <w:t>3.4  Ingestion, Platform, and Report Domains</w:t>
      </w:r>
    </w:p>
    <w:tbl>
      <w:tblPr>
        <w:tblLook w:firstColumn="1" w:firstRow="1" w:lastColumn="0" w:lastRow="0" w:noHBand="0" w:noVBand="1" w:val="04A0"/>
        <w:tblStyle w:val="TableGrid"/>
        <w:tblW w:w="9360" w:type="dxa"/>
      </w:tblPr>
      <w:tblGrid>
        <w:gridCol w:w="4680"/>
        <w:gridCol w:w="4680"/>
      </w:tblGrid>
      <w:tr>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2300" w:type="dxa"/>
          </w:tcPr>
          <w:p>
            <w:pPr>
              <w:spacing w:before="0" w:after="0"/>
            </w:pPr>
            <w:r>
              <w:rPr>
                <w:rFonts w:ascii="Arial" w:hAnsi="Arial"/>
                <w:b/>
                <w:color w:val="FFFFFF"/>
                <w:sz w:val="19"/>
              </w:rPr>
              <w:t>Table</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7060" w:type="dxa"/>
          </w:tcPr>
          <w:p>
            <w:pPr>
              <w:spacing w:before="0" w:after="0"/>
            </w:pPr>
            <w:r>
              <w:rPr>
                <w:rFonts w:ascii="Arial" w:hAnsi="Arial"/>
                <w:b/>
                <w:color w:val="FFFFFF"/>
                <w:sz w:val="19"/>
              </w:rPr>
              <w:t>Key Columns / Purpose</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sources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name, source_type, phase (PHASE_1|2|3), is_active, config_json</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source_documents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external_id, title, url, published_at, raw_storage_path (R2), raw_text, checksum SHA-256</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ingestion_runs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source_id, status (queued|running|complete|partial_success|failed), documents_fetched, errors_json</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tenants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clerk_org_id, name, plan (starter|pro|enterprise). Schema ready; not yet enforced.</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users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tenant_id, clerk_user_id, email, role (owner|admin|analyst|member). Schema ready; not yet enforced.</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usage_events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tenant_id, user_id, event_type (report_generated|api_call|search_query|export_csv), metadata_json. Ready for billing metering.</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report_templates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org_id nullable (NULL = platform template), focus_type, audience_type, weight_overrides JSONB, sections_config JSONB</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report_runs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org_id, template_id, report_type, as_of_date, status (queued|running|completed|failed)</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report_insights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report_run_id, insight_type, title, body, related entity FKs, sort_order. Precomputed so frontend renders without joins.</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analyst_notes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Polymorphic entity annotation. entity_type, entity_id, note_text.</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300" w:type="dxa"/>
          </w:tcPr>
          <w:p>
            <w:pPr>
              <w:spacing w:before="0" w:after="0"/>
            </w:pPr>
            <w:r>
              <w:rPr>
                <w:rFonts w:ascii="Arial" w:hAnsi="Arial"/>
                <w:b w:val="0"/>
                <w:color w:val="1E293B"/>
                <w:sz w:val="18"/>
              </w:rPr>
              <w:t>seed_review_findings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7060" w:type="dxa"/>
          </w:tcPr>
          <w:p>
            <w:pPr>
              <w:spacing w:before="0" w:after="0"/>
            </w:pPr>
            <w:r>
              <w:rPr>
                <w:rFonts w:ascii="Arial" w:hAnsi="Arial"/>
                <w:b w:val="0"/>
                <w:color w:val="1E293B"/>
                <w:sz w:val="18"/>
              </w:rPr>
              <w:t>Findings from seed staleness review. seed_type, evidence, relevance, status (open|dismissed|actioned).</w:t>
            </w:r>
          </w:p>
        </w:tc>
      </w:tr>
    </w:tbl>
    <w:p/>
    <w:p>
      <w:pPr>
        <w:pStyle w:val="Heading1"/>
        <w:pageBreakBefore/>
        <w:spacing w:before="200" w:after="100"/>
      </w:pPr>
      <w:r>
        <w:rPr>
          <w:rFonts w:ascii="Arial" w:hAnsi="Arial"/>
          <w:color w:val="1E2761"/>
          <w:sz w:val="48"/>
        </w:rPr>
        <w:t>4.  Data Ingestion Architecture</w:t>
      </w:r>
    </w:p>
    <w:p>
      <w:pPr>
        <w:pStyle w:val="Heading2"/>
        <w:spacing w:before="160" w:after="60"/>
      </w:pPr>
      <w:r>
        <w:rPr>
          <w:rFonts w:ascii="Arial" w:hAnsi="Arial"/>
          <w:color w:val="028090"/>
          <w:sz w:val="36"/>
        </w:rPr>
        <w:t>4.1  Source Adapter Pattern</w:t>
      </w:r>
    </w:p>
    <w:p>
      <w:pPr>
        <w:spacing w:before="40" w:after="60"/>
      </w:pPr>
      <w:r>
        <w:rPr>
          <w:rFonts w:ascii="Arial" w:hAnsi="Arial"/>
          <w:b w:val="0"/>
          <w:i w:val="0"/>
          <w:color w:val="1E293B"/>
          <w:sz w:val="22"/>
        </w:rPr>
        <w:t>Each data source is represented by an adapter class implementing a standard interface: fetch(), parse(), natural key definition, and checksum generation. The ingestion worker stores the raw payload in R2 before any parsing occurs. This allows parser bugs to be fixed and replayed against stored payloads without re-fetching from the source.</w:t>
      </w:r>
    </w:p>
    <w:p>
      <w:pPr>
        <w:spacing w:before="0" w:after="60"/>
      </w:pPr>
    </w:p>
    <w:p>
      <w:pPr>
        <w:pStyle w:val="Heading2"/>
        <w:spacing w:before="160" w:after="60"/>
      </w:pPr>
      <w:r>
        <w:rPr>
          <w:rFonts w:ascii="Arial" w:hAnsi="Arial"/>
          <w:color w:val="028090"/>
          <w:sz w:val="36"/>
        </w:rPr>
        <w:t>4.2  Phase 1 Sources (Active)</w:t>
      </w:r>
    </w:p>
    <w:tbl>
      <w:tblPr>
        <w:tblLook w:firstColumn="1" w:firstRow="1" w:lastColumn="0" w:lastRow="0" w:noHBand="0" w:noVBand="1" w:val="04A0"/>
        <w:tblStyle w:val="TableGrid"/>
        <w:tblW w:w="9360" w:type="dxa"/>
      </w:tblPr>
      <w:tblGrid>
        <w:gridCol w:w="3120"/>
        <w:gridCol w:w="3120"/>
        <w:gridCol w:w="3120"/>
      </w:tblGrid>
      <w:tr>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2400" w:type="dxa"/>
          </w:tcPr>
          <w:p>
            <w:pPr>
              <w:spacing w:before="0" w:after="0"/>
            </w:pPr>
            <w:r>
              <w:rPr>
                <w:rFonts w:ascii="Arial" w:hAnsi="Arial"/>
                <w:b/>
                <w:color w:val="FFFFFF"/>
                <w:sz w:val="19"/>
              </w:rPr>
              <w:t>CLI Command</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2000" w:type="dxa"/>
          </w:tcPr>
          <w:p>
            <w:pPr>
              <w:spacing w:before="0" w:after="0"/>
            </w:pPr>
            <w:r>
              <w:rPr>
                <w:rFonts w:ascii="Arial" w:hAnsi="Arial"/>
                <w:b/>
                <w:color w:val="FFFFFF"/>
                <w:sz w:val="19"/>
              </w:rPr>
              <w:t>Source</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4960" w:type="dxa"/>
          </w:tcPr>
          <w:p>
            <w:pPr>
              <w:spacing w:before="0" w:after="0"/>
            </w:pPr>
            <w:r>
              <w:rPr>
                <w:rFonts w:ascii="Arial" w:hAnsi="Arial"/>
                <w:b/>
                <w:color w:val="FFFFFF"/>
                <w:sz w:val="19"/>
              </w:rPr>
              <w:t>Output Tables</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seed</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Manual reference</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companies, materials, sources, countries, aliases</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seed-companies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Manual</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companies (~76 rows)</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seed-materials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Manual + USGS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materials, battery_chemistries, battery_chemistry_materials</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seed-facilities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Manual</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facilities</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seed-supply-relationships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Manual</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company_supply_relationships</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seed-material-exposures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Manual</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company_material_exposures (~75 companies)</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seed-regulations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Manual</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regulations, regulation_material_scope, regulation_geography_scope, company_regulation_exposure</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seed-hs-mappings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Manual</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hs_code_material_mappings</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ingest-usgs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USGS MCS CSV</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materials (criticality update), material_criticality_signals</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ingest-comtrade</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UN Comtrade API</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trade_flows</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ingest-opensanctions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OpenSanctions bulk</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risk_events, risk_event_companies</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ingest-sec-edgar</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SEC EDGAR</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source_documents, risk_events (FINANCIAL)</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ingest-gleif</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GLEIF public API</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company_aliases (LEI enrichment)</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ingest-worldbank</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World Bank Pink Sheet</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commodity_prices</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ingest-federal-register</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Federal Register API</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source_documents, risk_events (EXPORT_RESTRICTION, TARIFF, REGULATORY_COMPLIANCE, TRADE_POLICY)</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scrape-ev-database</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ev-database.org</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company_vehicle_models, vehicle_model_chemistries. Resumable, rate-limited.</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build-trade-signals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Derived from Comtrade</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risk_events (TRADE_CONCENTRATION &gt;= 60% share, EXPORT_DROP &gt;= 20% YoY)</w:t>
            </w:r>
          </w:p>
        </w:tc>
      </w:tr>
    </w:tbl>
    <w:p/>
    <w:p>
      <w:pPr>
        <w:pStyle w:val="Heading2"/>
        <w:spacing w:before="160" w:after="60"/>
      </w:pPr>
      <w:r>
        <w:rPr>
          <w:rFonts w:ascii="Arial" w:hAnsi="Arial"/>
          <w:color w:val="028090"/>
          <w:sz w:val="36"/>
        </w:rPr>
        <w:t>4.3  Phase 2 and 3 Sources (Planned)</w:t>
      </w:r>
    </w:p>
    <w:tbl>
      <w:tblPr>
        <w:tblLook w:firstColumn="1" w:firstRow="1" w:lastColumn="0" w:lastRow="0" w:noHBand="0" w:noVBand="1" w:val="04A0"/>
        <w:tblStyle w:val="TableGrid"/>
        <w:tblW w:w="9360" w:type="dxa"/>
      </w:tblPr>
      <w:tblGrid>
        <w:gridCol w:w="3120"/>
        <w:gridCol w:w="3120"/>
        <w:gridCol w:w="3120"/>
      </w:tblGrid>
      <w:tr>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1400" w:type="dxa"/>
          </w:tcPr>
          <w:p>
            <w:pPr>
              <w:spacing w:before="0" w:after="0"/>
            </w:pPr>
            <w:r>
              <w:rPr>
                <w:rFonts w:ascii="Arial" w:hAnsi="Arial"/>
                <w:b/>
                <w:color w:val="FFFFFF"/>
                <w:sz w:val="19"/>
              </w:rPr>
              <w:t>Phase</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2200" w:type="dxa"/>
          </w:tcPr>
          <w:p>
            <w:pPr>
              <w:spacing w:before="0" w:after="0"/>
            </w:pPr>
            <w:r>
              <w:rPr>
                <w:rFonts w:ascii="Arial" w:hAnsi="Arial"/>
                <w:b/>
                <w:color w:val="FFFFFF"/>
                <w:sz w:val="19"/>
              </w:rPr>
              <w:t>Source</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5760" w:type="dxa"/>
          </w:tcPr>
          <w:p>
            <w:pPr>
              <w:spacing w:before="0" w:after="0"/>
            </w:pPr>
            <w:r>
              <w:rPr>
                <w:rFonts w:ascii="Arial" w:hAnsi="Arial"/>
                <w:b/>
                <w:color w:val="FFFFFF"/>
                <w:sz w:val="19"/>
              </w:rPr>
              <w:t>Description</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Phase 2</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200" w:type="dxa"/>
          </w:tcPr>
          <w:p>
            <w:pPr>
              <w:spacing w:before="0" w:after="0"/>
            </w:pPr>
            <w:r>
              <w:rPr>
                <w:rFonts w:ascii="Arial" w:hAnsi="Arial"/>
                <w:b w:val="0"/>
                <w:color w:val="1E293B"/>
                <w:sz w:val="18"/>
              </w:rPr>
              <w:t>policy_pages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760" w:type="dxa"/>
          </w:tcPr>
          <w:p>
            <w:pPr>
              <w:spacing w:before="0" w:after="0"/>
            </w:pPr>
            <w:r>
              <w:rPr>
                <w:rFonts w:ascii="Arial" w:hAnsi="Arial"/>
                <w:b w:val="0"/>
                <w:color w:val="1E293B"/>
                <w:sz w:val="18"/>
              </w:rPr>
              <w:t>Robots-aware crawl of regulatory body websites; HTML normalization pipeline</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Phase 2</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200" w:type="dxa"/>
          </w:tcPr>
          <w:p>
            <w:pPr>
              <w:spacing w:before="0" w:after="0"/>
            </w:pPr>
            <w:r>
              <w:rPr>
                <w:rFonts w:ascii="Arial" w:hAnsi="Arial"/>
                <w:b w:val="0"/>
                <w:color w:val="1E293B"/>
                <w:sz w:val="18"/>
              </w:rPr>
              <w:t>sustainability_reports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760" w:type="dxa"/>
          </w:tcPr>
          <w:p>
            <w:pPr>
              <w:spacing w:before="0" w:after="0"/>
            </w:pPr>
            <w:r>
              <w:rPr>
                <w:rFonts w:ascii="Arial" w:hAnsi="Arial"/>
                <w:b w:val="0"/>
                <w:color w:val="1E293B"/>
                <w:sz w:val="18"/>
              </w:rPr>
              <w:t>PDF crawl, download, and parse pipeline for OEM sustainability disclosures</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Phase 2</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200" w:type="dxa"/>
          </w:tcPr>
          <w:p>
            <w:pPr>
              <w:spacing w:before="0" w:after="0"/>
            </w:pPr>
            <w:r>
              <w:rPr>
                <w:rFonts w:ascii="Arial" w:hAnsi="Arial"/>
                <w:b w:val="0"/>
                <w:color w:val="1E293B"/>
                <w:sz w:val="18"/>
              </w:rPr>
              <w:t>ngo_reports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760" w:type="dxa"/>
          </w:tcPr>
          <w:p>
            <w:pPr>
              <w:spacing w:before="0" w:after="0"/>
            </w:pPr>
            <w:r>
              <w:rPr>
                <w:rFonts w:ascii="Arial" w:hAnsi="Arial"/>
                <w:b w:val="0"/>
                <w:color w:val="1E293B"/>
                <w:sz w:val="18"/>
              </w:rPr>
              <w:t>NGO and think-tank report feed registry; PDF download and structured extraction</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Phase 3</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200" w:type="dxa"/>
          </w:tcPr>
          <w:p>
            <w:pPr>
              <w:spacing w:before="0" w:after="0"/>
            </w:pPr>
            <w:r>
              <w:rPr>
                <w:rFonts w:ascii="Arial" w:hAnsi="Arial"/>
                <w:b w:val="0"/>
                <w:color w:val="1E293B"/>
                <w:sz w:val="18"/>
              </w:rPr>
              <w:t>canada_policy</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760" w:type="dxa"/>
          </w:tcPr>
          <w:p>
            <w:pPr>
              <w:spacing w:before="0" w:after="0"/>
            </w:pPr>
            <w:r>
              <w:rPr>
                <w:rFonts w:ascii="Arial" w:hAnsi="Arial"/>
                <w:b w:val="0"/>
                <w:color w:val="1E293B"/>
                <w:sz w:val="18"/>
              </w:rPr>
              <w:t>English/French crawl of Canadian regulatory sources with USMCA context linking</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Phase 3</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200" w:type="dxa"/>
          </w:tcPr>
          <w:p>
            <w:pPr>
              <w:spacing w:before="0" w:after="0"/>
            </w:pPr>
            <w:r>
              <w:rPr>
                <w:rFonts w:ascii="Arial" w:hAnsi="Arial"/>
                <w:b w:val="0"/>
                <w:color w:val="1E293B"/>
                <w:sz w:val="18"/>
              </w:rPr>
              <w:t>nrel_charging</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760" w:type="dxa"/>
          </w:tcPr>
          <w:p>
            <w:pPr>
              <w:spacing w:before="0" w:after="0"/>
            </w:pPr>
            <w:r>
              <w:rPr>
                <w:rFonts w:ascii="Arial" w:hAnsi="Arial"/>
                <w:b w:val="0"/>
                <w:color w:val="1E293B"/>
                <w:sz w:val="18"/>
              </w:rPr>
              <w:t>NREL AFDC API client for EV infrastructure data with geospatial normalization</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Phase 3</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200" w:type="dxa"/>
          </w:tcPr>
          <w:p>
            <w:pPr>
              <w:spacing w:before="0" w:after="0"/>
            </w:pPr>
            <w:r>
              <w:rPr>
                <w:rFonts w:ascii="Arial" w:hAnsi="Arial"/>
                <w:b w:val="0"/>
                <w:color w:val="1E293B"/>
                <w:sz w:val="18"/>
              </w:rPr>
              <w:t>usitc</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760" w:type="dxa"/>
          </w:tcPr>
          <w:p>
            <w:pPr>
              <w:spacing w:before="0" w:after="0"/>
            </w:pPr>
            <w:r>
              <w:rPr>
                <w:rFonts w:ascii="Arial" w:hAnsi="Arial"/>
                <w:b w:val="0"/>
                <w:color w:val="1E293B"/>
                <w:sz w:val="18"/>
              </w:rPr>
              <w:t>USITC DataWeb or HTS integration for US trade statistics</w:t>
            </w:r>
          </w:p>
        </w:tc>
      </w:tr>
    </w:tbl>
    <w:p/>
    <w:p>
      <w:pPr>
        <w:pStyle w:val="Heading2"/>
        <w:spacing w:before="160" w:after="60"/>
      </w:pPr>
      <w:r>
        <w:rPr>
          <w:rFonts w:ascii="Arial" w:hAnsi="Arial"/>
          <w:color w:val="028090"/>
          <w:sz w:val="36"/>
        </w:rPr>
        <w:t>4.4  Ingestion Run Lifecycle</w:t>
      </w:r>
    </w:p>
    <w:p>
      <w:pPr>
        <w:pStyle w:val="ListBullet"/>
        <w:spacing w:before="20" w:after="30"/>
      </w:pPr>
      <w:r>
        <w:rPr>
          <w:rFonts w:ascii="Arial" w:hAnsi="Arial"/>
          <w:b w:val="0"/>
          <w:color w:val="1E293B"/>
          <w:sz w:val="20"/>
        </w:rPr>
        <w:t>API receives trigger (manual or scheduled). Returns 202 immediately after creating a run record in Neon with status=queued.</w:t>
      </w:r>
    </w:p>
    <w:p>
      <w:pPr>
        <w:pStyle w:val="ListBullet"/>
        <w:spacing w:before="20" w:after="30"/>
      </w:pPr>
      <w:r>
        <w:rPr>
          <w:rFonts w:ascii="Arial" w:hAnsi="Arial"/>
          <w:b w:val="0"/>
          <w:color w:val="1E293B"/>
          <w:sz w:val="20"/>
        </w:rPr>
        <w:t>Worker creates source adapter. Fetches raw payload. Stores in R2 before any parsing.</w:t>
      </w:r>
    </w:p>
    <w:p>
      <w:pPr>
        <w:pStyle w:val="ListBullet"/>
        <w:spacing w:before="20" w:after="30"/>
      </w:pPr>
      <w:r>
        <w:rPr>
          <w:rFonts w:ascii="Arial" w:hAnsi="Arial"/>
          <w:b w:val="0"/>
          <w:color w:val="1E293B"/>
          <w:sz w:val="20"/>
        </w:rPr>
        <w:t>Worker parses and normalizes payload. Writes idempotent upserts to Neon using natural keys and checksums.</w:t>
      </w:r>
    </w:p>
    <w:p>
      <w:pPr>
        <w:pStyle w:val="ListBullet"/>
        <w:spacing w:before="20" w:after="30"/>
      </w:pPr>
      <w:r>
        <w:rPr>
          <w:rFonts w:ascii="Arial" w:hAnsi="Arial"/>
          <w:b w:val="0"/>
          <w:color w:val="1E293B"/>
          <w:sz w:val="20"/>
        </w:rPr>
        <w:t>Worker marks run as complete or partial_success. Score refresh triggered for all companies touched by new evidence.</w:t>
      </w:r>
    </w:p>
    <w:p>
      <w:pPr>
        <w:pStyle w:val="ListBullet"/>
        <w:spacing w:before="20" w:after="30"/>
      </w:pPr>
      <w:r>
        <w:rPr>
          <w:rFonts w:ascii="Arial" w:hAnsi="Arial"/>
          <w:b w:val="0"/>
          <w:color w:val="1E293B"/>
          <w:sz w:val="20"/>
        </w:rPr>
        <w:t>Score refresh writes component scores and rationale_json to company_scores. Report insights generated after score persistence so every insight references a stable score snapshot.</w:t>
      </w:r>
    </w:p>
    <w:p>
      <w:pPr>
        <w:spacing w:before="0" w:after="60"/>
      </w:pPr>
    </w:p>
    <w:tbl>
      <w:tblPr>
        <w:tblLook w:firstColumn="1" w:firstRow="1" w:lastColumn="0" w:lastRow="0" w:noHBand="0" w:noVBand="1" w:val="04A0"/>
        <w:tblW w:w="9360" w:type="dxa"/>
      </w:tblPr>
      <w:tblGrid>
        <w:gridCol w:w="9360"/>
      </w:tblGrid>
      <w:tr>
        <w:tc>
          <w:tcPr>
            <w:shd w:val="clear" w:color="auto" w:fill="DBEAFE"/>
            <w:tcBorders>
              <w:top w:val="single" w:sz="6" w:space="0" w:color="93C5FD"/>
              <w:left w:val="single" w:sz="6" w:space="0" w:color="93C5FD"/>
              <w:bottom w:val="single" w:sz="6" w:space="0" w:color="93C5FD"/>
              <w:right w:val="single" w:sz="6" w:space="0" w:color="93C5FD"/>
            </w:tcBorders>
            <w:tcMar>
              <w:top w:w="100" w:type="dxa"/>
              <w:left w:w="140" w:type="dxa"/>
              <w:bottom w:w="100" w:type="dxa"/>
              <w:right w:w="140" w:type="dxa"/>
            </w:tcMar>
            <w:tcW w:w="9360" w:type="dxa"/>
          </w:tcPr>
          <w:p>
            <w:pPr>
              <w:spacing w:before="0" w:after="0"/>
            </w:pPr>
            <w:r>
              <w:rPr>
                <w:rFonts w:ascii="Arial" w:hAnsi="Arial"/>
                <w:i/>
                <w:color w:val="1E293B"/>
                <w:sz w:val="20"/>
              </w:rPr>
              <w:t>Key invariant: Every raw payload must be stored in R2 before any parsing occurs. This is non-negotiable — raw storage enables replay and makes parser bugs recoverable without re-fetching from the source.</w:t>
            </w:r>
          </w:p>
        </w:tc>
      </w:tr>
    </w:tbl>
    <w:p/>
    <w:p>
      <w:pPr>
        <w:pStyle w:val="Heading1"/>
        <w:pageBreakBefore/>
        <w:spacing w:before="200" w:after="100"/>
      </w:pPr>
      <w:r>
        <w:rPr>
          <w:rFonts w:ascii="Arial" w:hAnsi="Arial"/>
          <w:color w:val="1E2761"/>
          <w:sz w:val="48"/>
        </w:rPr>
        <w:t>5.  Scoring Engine v3.0</w:t>
      </w:r>
    </w:p>
    <w:p>
      <w:pPr>
        <w:pStyle w:val="Heading2"/>
        <w:spacing w:before="160" w:after="60"/>
      </w:pPr>
      <w:r>
        <w:rPr>
          <w:rFonts w:ascii="Arial" w:hAnsi="Arial"/>
          <w:color w:val="028090"/>
          <w:sz w:val="36"/>
        </w:rPr>
        <w:t>5.1  Scoring Philosophy</w:t>
      </w:r>
    </w:p>
    <w:p>
      <w:pPr>
        <w:spacing w:before="40" w:after="60"/>
      </w:pPr>
      <w:r>
        <w:rPr>
          <w:rFonts w:ascii="Arial" w:hAnsi="Arial"/>
          <w:b w:val="0"/>
          <w:i w:val="0"/>
          <w:color w:val="1E293B"/>
          <w:sz w:val="22"/>
        </w:rPr>
        <w:t>The scoring system is transparent, explainable, and deliberately conservative. The goal is not to predict an exact future supply disruption — it is to rank companies and exposures by combined evidence strength so analysts and report consumers can see where attention is most justified. A score that is unexplainable is worse than a lower-confidence score with clear rationale.</w:t>
      </w:r>
    </w:p>
    <w:p>
      <w:pPr>
        <w:spacing w:before="0" w:after="60"/>
      </w:pPr>
    </w:p>
    <w:p>
      <w:pPr>
        <w:pStyle w:val="ListBullet"/>
        <w:spacing w:before="20" w:after="30"/>
      </w:pPr>
      <w:r>
        <w:rPr>
          <w:rFonts w:ascii="Arial" w:hAnsi="Arial"/>
          <w:b w:val="0"/>
          <w:color w:val="1E293B"/>
          <w:sz w:val="20"/>
        </w:rPr>
        <w:t>Use stable 0–100 scales for each component and the overall score.</w:t>
      </w:r>
    </w:p>
    <w:p>
      <w:pPr>
        <w:pStyle w:val="ListBullet"/>
        <w:spacing w:before="20" w:after="30"/>
      </w:pPr>
      <w:r>
        <w:rPr>
          <w:rFonts w:ascii="Arial" w:hAnsi="Arial"/>
          <w:b w:val="0"/>
          <w:color w:val="1E293B"/>
          <w:sz w:val="20"/>
        </w:rPr>
        <w:t>The first version is rule-based and auditable. ML-based scoring is not introduced until the rule-based layer is validated and stable.</w:t>
      </w:r>
    </w:p>
    <w:p>
      <w:pPr>
        <w:pStyle w:val="ListBullet"/>
        <w:spacing w:before="20" w:after="30"/>
      </w:pPr>
      <w:r>
        <w:rPr>
          <w:rFonts w:ascii="Arial" w:hAnsi="Arial"/>
          <w:b w:val="0"/>
          <w:color w:val="1E293B"/>
          <w:sz w:val="20"/>
        </w:rPr>
        <w:t>Store both the final score and the evidence that produced it. The rationale_json is not optional — it is the primary product for report consumers.</w:t>
      </w:r>
    </w:p>
    <w:p>
      <w:pPr>
        <w:pStyle w:val="ListBullet"/>
        <w:spacing w:before="20" w:after="30"/>
      </w:pPr>
      <w:r>
        <w:rPr>
          <w:rFonts w:ascii="Arial" w:hAnsi="Arial"/>
          <w:b w:val="0"/>
          <w:color w:val="1E293B"/>
          <w:sz w:val="20"/>
        </w:rPr>
        <w:t>Separate event scoring from company-level rollup logic. Events are scored individually before being aggregated into pillar scores.</w:t>
      </w:r>
    </w:p>
    <w:p>
      <w:pPr>
        <w:pStyle w:val="ListBullet"/>
        <w:spacing w:before="20" w:after="30"/>
      </w:pPr>
      <w:r>
        <w:rPr>
          <w:rFonts w:ascii="Arial" w:hAnsi="Arial"/>
          <w:b w:val="0"/>
          <w:color w:val="1E293B"/>
          <w:sz w:val="20"/>
        </w:rPr>
        <w:t>Version every scoring run. A scoring_version change must be visible in score delta displays so consumers know whether a score change reflects new evidence or a formula change.</w:t>
      </w:r>
    </w:p>
    <w:p>
      <w:pPr>
        <w:spacing w:before="0" w:after="60"/>
      </w:pPr>
    </w:p>
    <w:p>
      <w:pPr>
        <w:pStyle w:val="Heading2"/>
        <w:spacing w:before="160" w:after="60"/>
      </w:pPr>
      <w:r>
        <w:rPr>
          <w:rFonts w:ascii="Arial" w:hAnsi="Arial"/>
          <w:color w:val="028090"/>
          <w:sz w:val="36"/>
        </w:rPr>
        <w:t>5.2  Six-Pillar Architecture</w:t>
      </w:r>
    </w:p>
    <w:p>
      <w:pPr>
        <w:spacing w:before="40" w:after="60"/>
      </w:pPr>
      <w:r>
        <w:rPr>
          <w:rFonts w:ascii="Arial" w:hAnsi="Arial"/>
          <w:b w:val="0"/>
          <w:i w:val="0"/>
          <w:color w:val="1E293B"/>
          <w:sz w:val="22"/>
        </w:rPr>
        <w:t>Version 3.0 adds a sixth pillar — Supply-Chain Propagation — to the five-pillar v2 framework. Material Concentration weight decreases from 30% to 25%; Operational and Financial each decrease from 15% to 10%. The 15% freed is assigned to Propagation, which uses the company_supply_relationships graph to inherit upstream risk from direct and indirect suppliers.</w:t>
      </w:r>
    </w:p>
    <w:p>
      <w:pPr>
        <w:spacing w:before="0" w:after="60"/>
      </w:pPr>
    </w:p>
    <w:tbl>
      <w:tblPr>
        <w:tblLook w:firstColumn="1" w:firstRow="1" w:lastColumn="0" w:lastRow="0" w:noHBand="0" w:noVBand="1" w:val="04A0"/>
        <w:tblStyle w:val="TableGrid"/>
        <w:tblW w:w="9360" w:type="dxa"/>
      </w:tblPr>
      <w:tblGrid>
        <w:gridCol w:w="2340"/>
        <w:gridCol w:w="2340"/>
        <w:gridCol w:w="2340"/>
        <w:gridCol w:w="2340"/>
      </w:tblGrid>
      <w:tr>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2000" w:type="dxa"/>
          </w:tcPr>
          <w:p>
            <w:pPr>
              <w:spacing w:before="0" w:after="0"/>
            </w:pPr>
            <w:r>
              <w:rPr>
                <w:rFonts w:ascii="Arial" w:hAnsi="Arial"/>
                <w:b/>
                <w:color w:val="FFFFFF"/>
                <w:sz w:val="19"/>
              </w:rPr>
              <w:t>Pillar</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800" w:type="dxa"/>
          </w:tcPr>
          <w:p>
            <w:pPr>
              <w:spacing w:before="0" w:after="0"/>
            </w:pPr>
            <w:r>
              <w:rPr>
                <w:rFonts w:ascii="Arial" w:hAnsi="Arial"/>
                <w:b/>
                <w:color w:val="FFFFFF"/>
                <w:sz w:val="19"/>
              </w:rPr>
              <w:t>Weight</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3400" w:type="dxa"/>
          </w:tcPr>
          <w:p>
            <w:pPr>
              <w:spacing w:before="0" w:after="0"/>
            </w:pPr>
            <w:r>
              <w:rPr>
                <w:rFonts w:ascii="Arial" w:hAnsi="Arial"/>
                <w:b/>
                <w:color w:val="FFFFFF"/>
                <w:sz w:val="19"/>
              </w:rPr>
              <w:t>Primary Inputs</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3160" w:type="dxa"/>
          </w:tcPr>
          <w:p>
            <w:pPr>
              <w:spacing w:before="0" w:after="0"/>
            </w:pPr>
            <w:r>
              <w:rPr>
                <w:rFonts w:ascii="Arial" w:hAnsi="Arial"/>
                <w:b/>
                <w:color w:val="FFFFFF"/>
                <w:sz w:val="19"/>
              </w:rPr>
              <w:t>Key Rationale</w:t>
            </w:r>
          </w:p>
        </w:tc>
      </w:tr>
      <w:tr>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Material Concentration</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800" w:type="dxa"/>
          </w:tcPr>
          <w:p>
            <w:pPr>
              <w:spacing w:before="0" w:after="0"/>
            </w:pPr>
            <w:r>
              <w:rPr>
                <w:rFonts w:ascii="Arial" w:hAnsi="Arial"/>
                <w:b/>
                <w:color w:val="1E293B"/>
                <w:sz w:val="18"/>
              </w:rPr>
              <w:t>25%</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400" w:type="dxa"/>
          </w:tcPr>
          <w:p>
            <w:pPr>
              <w:spacing w:before="0" w:after="0"/>
            </w:pPr>
            <w:r>
              <w:rPr>
                <w:rFonts w:ascii="Arial" w:hAnsi="Arial"/>
                <w:b w:val="0"/>
                <w:color w:val="1E293B"/>
                <w:sz w:val="18"/>
              </w:rPr>
              <w:t>company_material_exposures, materials.criticality_score, material_criticality_signals, trade_flows concentration</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160" w:type="dxa"/>
          </w:tcPr>
          <w:p>
            <w:pPr>
              <w:spacing w:before="0" w:after="0"/>
            </w:pPr>
            <w:r>
              <w:rPr>
                <w:rFonts w:ascii="Arial" w:hAnsi="Arial"/>
                <w:b w:val="0"/>
                <w:color w:val="1E293B"/>
                <w:sz w:val="18"/>
              </w:rPr>
              <w:t>Root cause of most EV battery disruptions. DRC cobalt, Chinese graphite refining are structural concentration facts.</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Geopolitical &amp; Trade</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800" w:type="dxa"/>
          </w:tcPr>
          <w:p>
            <w:pPr>
              <w:spacing w:before="0" w:after="0"/>
            </w:pPr>
            <w:r>
              <w:rPr>
                <w:rFonts w:ascii="Arial" w:hAnsi="Arial"/>
                <w:b/>
                <w:color w:val="1E293B"/>
                <w:sz w:val="18"/>
              </w:rPr>
              <w:t>20%</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400" w:type="dxa"/>
          </w:tcPr>
          <w:p>
            <w:pPr>
              <w:spacing w:before="0" w:after="0"/>
            </w:pPr>
            <w:r>
              <w:rPr>
                <w:rFonts w:ascii="Arial" w:hAnsi="Arial"/>
                <w:b w:val="0"/>
                <w:color w:val="1E293B"/>
                <w:sz w:val="18"/>
              </w:rPr>
              <w:t>risk_events (EXPORT_RESTRICTION, TARIFF, TRADE_POLICY), trade_flows country concentration</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160" w:type="dxa"/>
          </w:tcPr>
          <w:p>
            <w:pPr>
              <w:spacing w:before="0" w:after="0"/>
            </w:pPr>
            <w:r>
              <w:rPr>
                <w:rFonts w:ascii="Arial" w:hAnsi="Arial"/>
                <w:b w:val="0"/>
                <w:color w:val="1E293B"/>
                <w:sz w:val="18"/>
              </w:rPr>
              <w:t>China controls ~70–80% of battery cell production and critical mineral refining. Structural fact requiring independent visibility.</w:t>
            </w:r>
          </w:p>
        </w:tc>
      </w:tr>
      <w:tr>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Regulatory &amp; Compliance</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800" w:type="dxa"/>
          </w:tcPr>
          <w:p>
            <w:pPr>
              <w:spacing w:before="0" w:after="0"/>
            </w:pPr>
            <w:r>
              <w:rPr>
                <w:rFonts w:ascii="Arial" w:hAnsi="Arial"/>
                <w:b/>
                <w:color w:val="1E293B"/>
                <w:sz w:val="18"/>
              </w:rPr>
              <w:t>20%</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400" w:type="dxa"/>
          </w:tcPr>
          <w:p>
            <w:pPr>
              <w:spacing w:before="0" w:after="0"/>
            </w:pPr>
            <w:r>
              <w:rPr>
                <w:rFonts w:ascii="Arial" w:hAnsi="Arial"/>
                <w:b w:val="0"/>
                <w:color w:val="1E293B"/>
                <w:sz w:val="18"/>
              </w:rPr>
              <w:t>regulations, company_regulation_exposure, risk_events (REGULATORY_COMPLIANCE)</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160" w:type="dxa"/>
          </w:tcPr>
          <w:p>
            <w:pPr>
              <w:spacing w:before="0" w:after="0"/>
            </w:pPr>
            <w:r>
              <w:rPr>
                <w:rFonts w:ascii="Arial" w:hAnsi="Arial"/>
                <w:b w:val="0"/>
                <w:color w:val="1E293B"/>
                <w:sz w:val="18"/>
              </w:rPr>
              <w:t>Combines policy-change risk with hard compliance obligations. UFLPA and EU Battery Reg have enforcement teeth — not optional monitoring.</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Operational</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800" w:type="dxa"/>
          </w:tcPr>
          <w:p>
            <w:pPr>
              <w:spacing w:before="0" w:after="0"/>
            </w:pPr>
            <w:r>
              <w:rPr>
                <w:rFonts w:ascii="Arial" w:hAnsi="Arial"/>
                <w:b/>
                <w:color w:val="1E293B"/>
                <w:sz w:val="18"/>
              </w:rPr>
              <w:t>10%</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400" w:type="dxa"/>
          </w:tcPr>
          <w:p>
            <w:pPr>
              <w:spacing w:before="0" w:after="0"/>
            </w:pPr>
            <w:r>
              <w:rPr>
                <w:rFonts w:ascii="Arial" w:hAnsi="Arial"/>
                <w:b w:val="0"/>
                <w:color w:val="1E293B"/>
                <w:sz w:val="18"/>
              </w:rPr>
              <w:t>facilities (country concentration), risk_events (OPERATIONAL), single-source rate</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160" w:type="dxa"/>
          </w:tcPr>
          <w:p>
            <w:pPr>
              <w:spacing w:before="0" w:after="0"/>
            </w:pPr>
            <w:r>
              <w:rPr>
                <w:rFonts w:ascii="Arial" w:hAnsi="Arial"/>
                <w:b w:val="0"/>
                <w:color w:val="1E293B"/>
                <w:sz w:val="18"/>
              </w:rPr>
              <w:t>Physical disruptions — mine shutdowns, factory outages. 90-day half-life event decay.</w:t>
            </w:r>
          </w:p>
        </w:tc>
      </w:tr>
      <w:tr>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Financial Pressure</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800" w:type="dxa"/>
          </w:tcPr>
          <w:p>
            <w:pPr>
              <w:spacing w:before="0" w:after="0"/>
            </w:pPr>
            <w:r>
              <w:rPr>
                <w:rFonts w:ascii="Arial" w:hAnsi="Arial"/>
                <w:b/>
                <w:color w:val="1E293B"/>
                <w:sz w:val="18"/>
              </w:rPr>
              <w:t>10%</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400" w:type="dxa"/>
          </w:tcPr>
          <w:p>
            <w:pPr>
              <w:spacing w:before="0" w:after="0"/>
            </w:pPr>
            <w:r>
              <w:rPr>
                <w:rFonts w:ascii="Arial" w:hAnsi="Arial"/>
                <w:b w:val="0"/>
                <w:color w:val="1E293B"/>
                <w:sz w:val="18"/>
              </w:rPr>
              <w:t>source_documents from SEC EDGAR, risk_events (FINANCIAL), filing language analysis</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160" w:type="dxa"/>
          </w:tcPr>
          <w:p>
            <w:pPr>
              <w:spacing w:before="0" w:after="0"/>
            </w:pPr>
            <w:r>
              <w:rPr>
                <w:rFonts w:ascii="Arial" w:hAnsi="Arial"/>
                <w:b w:val="0"/>
                <w:color w:val="1E293B"/>
                <w:sz w:val="18"/>
              </w:rPr>
              <w:t>Leading indicator of operational failure. Especially relevant for Tier 2/3 battery material suppliers under current margin pressure.</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Supply-Chain Propagation</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800" w:type="dxa"/>
          </w:tcPr>
          <w:p>
            <w:pPr>
              <w:spacing w:before="0" w:after="0"/>
            </w:pPr>
            <w:r>
              <w:rPr>
                <w:rFonts w:ascii="Arial" w:hAnsi="Arial"/>
                <w:b/>
                <w:color w:val="1E293B"/>
                <w:sz w:val="18"/>
              </w:rPr>
              <w:t>15%</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400" w:type="dxa"/>
          </w:tcPr>
          <w:p>
            <w:pPr>
              <w:spacing w:before="0" w:after="0"/>
            </w:pPr>
            <w:r>
              <w:rPr>
                <w:rFonts w:ascii="Arial" w:hAnsi="Arial"/>
                <w:b w:val="0"/>
                <w:color w:val="1E293B"/>
                <w:sz w:val="18"/>
              </w:rPr>
              <w:t>company_supply_relationships (buyer_id, supplier_id, volume_share_pct), company_scores for suppliers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160" w:type="dxa"/>
          </w:tcPr>
          <w:p>
            <w:pPr>
              <w:spacing w:before="0" w:after="0"/>
            </w:pPr>
            <w:r>
              <w:rPr>
                <w:rFonts w:ascii="Arial" w:hAnsi="Arial"/>
                <w:b w:val="0"/>
                <w:color w:val="1E293B"/>
                <w:sz w:val="18"/>
              </w:rPr>
              <w:t>Propagates upstream supplier risk weighted by volume share and tier depth. NULL when no supplier graph data; remaining five pillars renormalize.</w:t>
            </w:r>
          </w:p>
        </w:tc>
      </w:tr>
    </w:tbl>
    <w:p/>
    <w:p>
      <w:pPr>
        <w:pStyle w:val="Heading2"/>
        <w:spacing w:before="160" w:after="60"/>
      </w:pPr>
      <w:r>
        <w:rPr>
          <w:rFonts w:ascii="Arial" w:hAnsi="Arial"/>
          <w:color w:val="028090"/>
          <w:sz w:val="36"/>
        </w:rPr>
        <w:t>5.3  Pillar Formulas</w:t>
      </w:r>
    </w:p>
    <w:p>
      <w:pPr>
        <w:pStyle w:val="Heading3"/>
        <w:spacing w:before="160" w:after="60"/>
      </w:pPr>
      <w:r>
        <w:rPr>
          <w:rFonts w:ascii="Arial" w:hAnsi="Arial"/>
          <w:color w:val="1E293B"/>
          <w:sz w:val="28"/>
        </w:rPr>
        <w:t>Material Concentration (25%)</w:t>
      </w:r>
    </w:p>
    <w:p>
      <w:pPr>
        <w:spacing w:before="40" w:after="40"/>
        <w:ind w:left="360"/>
      </w:pPr>
      <w:r>
        <w:rPr>
          <w:rFonts w:ascii="Courier New" w:hAnsi="Courier New"/>
          <w:b/>
          <w:color w:val="1E2761"/>
          <w:sz w:val="18"/>
        </w:rPr>
        <w:t>score = min(100, (0.35 × criticality + 0.35 × concentration + 0.30 × trade_volatility) × 100)</w:t>
      </w:r>
    </w:p>
    <w:p>
      <w:pPr>
        <w:pStyle w:val="ListBullet"/>
        <w:spacing w:before="20" w:after="30"/>
      </w:pPr>
      <w:r>
        <w:rPr>
          <w:rFonts w:ascii="Arial" w:hAnsi="Arial"/>
          <w:b w:val="0"/>
          <w:color w:val="1E293B"/>
          <w:sz w:val="20"/>
        </w:rPr>
        <w:t>criticality (35%): inherent supply criticality drawn from material_criticality_signals [0, 1]</w:t>
      </w:r>
    </w:p>
    <w:p>
      <w:pPr>
        <w:pStyle w:val="ListBullet"/>
        <w:spacing w:before="20" w:after="30"/>
      </w:pPr>
      <w:r>
        <w:rPr>
          <w:rFonts w:ascii="Arial" w:hAnsi="Arial"/>
          <w:b w:val="0"/>
          <w:color w:val="1E293B"/>
          <w:sz w:val="20"/>
        </w:rPr>
        <w:t>concentration (35%): geographic or supplier concentration of refining/processing capacity [0, 1]</w:t>
      </w:r>
    </w:p>
    <w:p>
      <w:pPr>
        <w:pStyle w:val="ListBullet"/>
        <w:spacing w:before="20" w:after="30"/>
      </w:pPr>
      <w:r>
        <w:rPr>
          <w:rFonts w:ascii="Arial" w:hAnsi="Arial"/>
          <w:b w:val="0"/>
          <w:color w:val="1E293B"/>
          <w:sz w:val="20"/>
        </w:rPr>
        <w:t>trade_volatility (30%): price and flow volatility from trade_flows and commodity_prices [0, 1]</w:t>
      </w:r>
    </w:p>
    <w:p>
      <w:pPr>
        <w:spacing w:before="0" w:after="60"/>
      </w:pPr>
    </w:p>
    <w:p>
      <w:pPr>
        <w:pStyle w:val="Heading3"/>
        <w:spacing w:before="160" w:after="60"/>
      </w:pPr>
      <w:r>
        <w:rPr>
          <w:rFonts w:ascii="Arial" w:hAnsi="Arial"/>
          <w:color w:val="1E293B"/>
          <w:sz w:val="28"/>
        </w:rPr>
        <w:t>Geopolitical &amp; Trade (20%)</w:t>
      </w:r>
    </w:p>
    <w:p>
      <w:pPr>
        <w:spacing w:before="40" w:after="40"/>
        <w:ind w:left="360"/>
      </w:pPr>
      <w:r>
        <w:rPr>
          <w:rFonts w:ascii="Courier New" w:hAnsi="Courier New"/>
          <w:b/>
          <w:color w:val="1E2761"/>
          <w:sz w:val="18"/>
        </w:rPr>
        <w:t>score = min(100, (0.40 × country_concentration + 0.35 × export_restriction_exposure + 0.25 × tariff_exposure) × 100)</w:t>
      </w:r>
    </w:p>
    <w:p>
      <w:pPr>
        <w:pStyle w:val="ListBullet"/>
        <w:spacing w:before="20" w:after="30"/>
      </w:pPr>
      <w:r>
        <w:rPr>
          <w:rFonts w:ascii="Arial" w:hAnsi="Arial"/>
          <w:b w:val="0"/>
          <w:color w:val="1E293B"/>
          <w:sz w:val="20"/>
        </w:rPr>
        <w:t>country_concentration (40%): share of supply chain nodes in high-risk geographies [0, 1]</w:t>
      </w:r>
    </w:p>
    <w:p>
      <w:pPr>
        <w:pStyle w:val="ListBullet"/>
        <w:spacing w:before="20" w:after="30"/>
      </w:pPr>
      <w:r>
        <w:rPr>
          <w:rFonts w:ascii="Arial" w:hAnsi="Arial"/>
          <w:b w:val="0"/>
          <w:color w:val="1E293B"/>
          <w:sz w:val="20"/>
        </w:rPr>
        <w:t>export_restriction_exposure (35%): historical restriction events on source countries, 24-month window, slow decay [0, 1]</w:t>
      </w:r>
    </w:p>
    <w:p>
      <w:pPr>
        <w:pStyle w:val="ListBullet"/>
        <w:spacing w:before="20" w:after="30"/>
      </w:pPr>
      <w:r>
        <w:rPr>
          <w:rFonts w:ascii="Arial" w:hAnsi="Arial"/>
          <w:b w:val="0"/>
          <w:color w:val="1E293B"/>
          <w:sz w:val="20"/>
        </w:rPr>
        <w:t>tariff_exposure (25%): current tariff burden on relevant HS codes plus pending policy signals [0, 1]</w:t>
      </w:r>
    </w:p>
    <w:p>
      <w:pPr>
        <w:spacing w:before="0" w:after="60"/>
      </w:pPr>
    </w:p>
    <w:p>
      <w:pPr>
        <w:pStyle w:val="Heading3"/>
        <w:spacing w:before="160" w:after="60"/>
      </w:pPr>
      <w:r>
        <w:rPr>
          <w:rFonts w:ascii="Arial" w:hAnsi="Arial"/>
          <w:color w:val="1E293B"/>
          <w:sz w:val="28"/>
        </w:rPr>
        <w:t>Regulatory &amp; Compliance (20%)</w:t>
      </w:r>
    </w:p>
    <w:p>
      <w:pPr>
        <w:spacing w:before="40" w:after="40"/>
        <w:ind w:left="360"/>
      </w:pPr>
      <w:r>
        <w:rPr>
          <w:rFonts w:ascii="Courier New" w:hAnsi="Courier New"/>
          <w:b/>
          <w:color w:val="1E2761"/>
          <w:sz w:val="18"/>
        </w:rPr>
        <w:t>event_score   = (avg(top_3_impacts) × policy_proximity_adjustment × 60) if top_3 else 0</w:t>
      </w:r>
    </w:p>
    <w:p>
      <w:pPr>
        <w:spacing w:before="40" w:after="40"/>
        <w:ind w:left="360"/>
      </w:pPr>
      <w:r>
        <w:rPr>
          <w:rFonts w:ascii="Courier New" w:hAnsi="Courier New"/>
          <w:b/>
          <w:color w:val="1E2761"/>
          <w:sz w:val="18"/>
        </w:rPr>
        <w:t>obligation_score = min(40, sum(base_points × status_weight for each active obligation))</w:t>
      </w:r>
    </w:p>
    <w:p>
      <w:pPr>
        <w:spacing w:before="40" w:after="40"/>
        <w:ind w:left="360"/>
      </w:pPr>
      <w:r>
        <w:rPr>
          <w:rFonts w:ascii="Courier New" w:hAnsi="Courier New"/>
          <w:b/>
          <w:color w:val="1E2761"/>
          <w:sz w:val="18"/>
        </w:rPr>
        <w:t>score         = min(100, event_score + obligation_score)</w:t>
      </w:r>
    </w:p>
    <w:p>
      <w:pPr>
        <w:spacing w:before="0" w:after="60"/>
      </w:pPr>
    </w:p>
    <w:p>
      <w:pPr>
        <w:spacing w:before="40" w:after="60"/>
      </w:pPr>
      <w:r>
        <w:rPr>
          <w:rFonts w:ascii="Arial" w:hAnsi="Arial"/>
          <w:b w:val="0"/>
          <w:i w:val="0"/>
          <w:color w:val="1E293B"/>
          <w:sz w:val="22"/>
        </w:rPr>
        <w:t>Compliance obligation base points and status weight multipliers:</w:t>
      </w:r>
    </w:p>
    <w:tbl>
      <w:tblPr>
        <w:tblLook w:firstColumn="1" w:firstRow="1" w:lastColumn="0" w:lastRow="0" w:noHBand="0" w:noVBand="1" w:val="04A0"/>
        <w:tblStyle w:val="TableGrid"/>
        <w:tblW w:w="9360" w:type="dxa"/>
      </w:tblPr>
      <w:tblGrid>
        <w:gridCol w:w="1872"/>
        <w:gridCol w:w="1872"/>
        <w:gridCol w:w="1872"/>
        <w:gridCol w:w="1872"/>
        <w:gridCol w:w="1872"/>
      </w:tblGrid>
      <w:tr>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2600" w:type="dxa"/>
          </w:tcPr>
          <w:p>
            <w:pPr>
              <w:spacing w:before="0" w:after="0"/>
            </w:pPr>
            <w:r>
              <w:rPr>
                <w:rFonts w:ascii="Arial" w:hAnsi="Arial"/>
                <w:b/>
                <w:color w:val="FFFFFF"/>
                <w:sz w:val="19"/>
              </w:rPr>
              <w:t>Regulation</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1500" w:type="dxa"/>
          </w:tcPr>
          <w:p>
            <w:pPr>
              <w:spacing w:before="0" w:after="0"/>
            </w:pPr>
            <w:r>
              <w:rPr>
                <w:rFonts w:ascii="Arial" w:hAnsi="Arial"/>
                <w:b/>
                <w:color w:val="FFFFFF"/>
                <w:sz w:val="19"/>
              </w:rPr>
              <w:t>Base Points</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1700" w:type="dxa"/>
          </w:tcPr>
          <w:p>
            <w:pPr>
              <w:spacing w:before="0" w:after="0"/>
            </w:pPr>
            <w:r>
              <w:rPr>
                <w:rFonts w:ascii="Arial" w:hAnsi="Arial"/>
                <w:b/>
                <w:color w:val="FFFFFF"/>
                <w:sz w:val="19"/>
              </w:rPr>
              <w:t>non_compliant</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1700" w:type="dxa"/>
          </w:tcPr>
          <w:p>
            <w:pPr>
              <w:spacing w:before="0" w:after="0"/>
            </w:pPr>
            <w:r>
              <w:rPr>
                <w:rFonts w:ascii="Arial" w:hAnsi="Arial"/>
                <w:b/>
                <w:color w:val="FFFFFF"/>
                <w:sz w:val="19"/>
              </w:rPr>
              <w:t>unknown</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1860" w:type="dxa"/>
          </w:tcPr>
          <w:p>
            <w:pPr>
              <w:spacing w:before="0" w:after="0"/>
            </w:pPr>
            <w:r>
              <w:rPr>
                <w:rFonts w:ascii="Arial" w:hAnsi="Arial"/>
                <w:b/>
                <w:color w:val="FFFFFF"/>
                <w:sz w:val="19"/>
              </w:rPr>
              <w:t>partial</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600" w:type="dxa"/>
          </w:tcPr>
          <w:p>
            <w:pPr>
              <w:spacing w:before="0" w:after="0"/>
            </w:pPr>
            <w:r>
              <w:rPr>
                <w:rFonts w:ascii="Arial" w:hAnsi="Arial"/>
                <w:b w:val="0"/>
                <w:color w:val="1E293B"/>
                <w:sz w:val="18"/>
              </w:rPr>
              <w:t>UFLPA</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500" w:type="dxa"/>
          </w:tcPr>
          <w:p>
            <w:pPr>
              <w:spacing w:before="0" w:after="0"/>
            </w:pPr>
            <w:r>
              <w:rPr>
                <w:rFonts w:ascii="Arial" w:hAnsi="Arial"/>
                <w:b w:val="0"/>
                <w:color w:val="1E293B"/>
                <w:sz w:val="18"/>
              </w:rPr>
              <w:t>25</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700" w:type="dxa"/>
          </w:tcPr>
          <w:p>
            <w:pPr>
              <w:spacing w:before="0" w:after="0"/>
            </w:pPr>
            <w:r>
              <w:rPr>
                <w:rFonts w:ascii="Arial" w:hAnsi="Arial"/>
                <w:b w:val="0"/>
                <w:color w:val="1E293B"/>
                <w:sz w:val="18"/>
              </w:rPr>
              <w:t>1.00</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700" w:type="dxa"/>
          </w:tcPr>
          <w:p>
            <w:pPr>
              <w:spacing w:before="0" w:after="0"/>
            </w:pPr>
            <w:r>
              <w:rPr>
                <w:rFonts w:ascii="Arial" w:hAnsi="Arial"/>
                <w:b w:val="0"/>
                <w:color w:val="1E293B"/>
                <w:sz w:val="18"/>
              </w:rPr>
              <w:t>0.50</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860" w:type="dxa"/>
          </w:tcPr>
          <w:p>
            <w:pPr>
              <w:spacing w:before="0" w:after="0"/>
            </w:pPr>
            <w:r>
              <w:rPr>
                <w:rFonts w:ascii="Arial" w:hAnsi="Arial"/>
                <w:b w:val="0"/>
                <w:color w:val="1E293B"/>
                <w:sz w:val="18"/>
              </w:rPr>
              <w:t>0.40</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600" w:type="dxa"/>
          </w:tcPr>
          <w:p>
            <w:pPr>
              <w:spacing w:before="0" w:after="0"/>
            </w:pPr>
            <w:r>
              <w:rPr>
                <w:rFonts w:ascii="Arial" w:hAnsi="Arial"/>
                <w:b w:val="0"/>
                <w:color w:val="1E293B"/>
                <w:sz w:val="18"/>
              </w:rPr>
              <w:t>EU Battery Regulation</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500" w:type="dxa"/>
          </w:tcPr>
          <w:p>
            <w:pPr>
              <w:spacing w:before="0" w:after="0"/>
            </w:pPr>
            <w:r>
              <w:rPr>
                <w:rFonts w:ascii="Arial" w:hAnsi="Arial"/>
                <w:b w:val="0"/>
                <w:color w:val="1E293B"/>
                <w:sz w:val="18"/>
              </w:rPr>
              <w:t>20</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700" w:type="dxa"/>
          </w:tcPr>
          <w:p>
            <w:pPr>
              <w:spacing w:before="0" w:after="0"/>
            </w:pPr>
            <w:r>
              <w:rPr>
                <w:rFonts w:ascii="Arial" w:hAnsi="Arial"/>
                <w:b w:val="0"/>
                <w:color w:val="1E293B"/>
                <w:sz w:val="18"/>
              </w:rPr>
              <w:t>1.00</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700" w:type="dxa"/>
          </w:tcPr>
          <w:p>
            <w:pPr>
              <w:spacing w:before="0" w:after="0"/>
            </w:pPr>
            <w:r>
              <w:rPr>
                <w:rFonts w:ascii="Arial" w:hAnsi="Arial"/>
                <w:b w:val="0"/>
                <w:color w:val="1E293B"/>
                <w:sz w:val="18"/>
              </w:rPr>
              <w:t>0.50</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860" w:type="dxa"/>
          </w:tcPr>
          <w:p>
            <w:pPr>
              <w:spacing w:before="0" w:after="0"/>
            </w:pPr>
            <w:r>
              <w:rPr>
                <w:rFonts w:ascii="Arial" w:hAnsi="Arial"/>
                <w:b w:val="0"/>
                <w:color w:val="1E293B"/>
                <w:sz w:val="18"/>
              </w:rPr>
              <w:t>0.40</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600" w:type="dxa"/>
          </w:tcPr>
          <w:p>
            <w:pPr>
              <w:spacing w:before="0" w:after="0"/>
            </w:pPr>
            <w:r>
              <w:rPr>
                <w:rFonts w:ascii="Arial" w:hAnsi="Arial"/>
                <w:b w:val="0"/>
                <w:color w:val="1E293B"/>
                <w:sz w:val="18"/>
              </w:rPr>
              <w:t>IRA Domestic Content</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500" w:type="dxa"/>
          </w:tcPr>
          <w:p>
            <w:pPr>
              <w:spacing w:before="0" w:after="0"/>
            </w:pPr>
            <w:r>
              <w:rPr>
                <w:rFonts w:ascii="Arial" w:hAnsi="Arial"/>
                <w:b w:val="0"/>
                <w:color w:val="1E293B"/>
                <w:sz w:val="18"/>
              </w:rPr>
              <w:t>15</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700" w:type="dxa"/>
          </w:tcPr>
          <w:p>
            <w:pPr>
              <w:spacing w:before="0" w:after="0"/>
            </w:pPr>
            <w:r>
              <w:rPr>
                <w:rFonts w:ascii="Arial" w:hAnsi="Arial"/>
                <w:b w:val="0"/>
                <w:color w:val="1E293B"/>
                <w:sz w:val="18"/>
              </w:rPr>
              <w:t>1.00</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700" w:type="dxa"/>
          </w:tcPr>
          <w:p>
            <w:pPr>
              <w:spacing w:before="0" w:after="0"/>
            </w:pPr>
            <w:r>
              <w:rPr>
                <w:rFonts w:ascii="Arial" w:hAnsi="Arial"/>
                <w:b w:val="0"/>
                <w:color w:val="1E293B"/>
                <w:sz w:val="18"/>
              </w:rPr>
              <w:t>0.50</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860" w:type="dxa"/>
          </w:tcPr>
          <w:p>
            <w:pPr>
              <w:spacing w:before="0" w:after="0"/>
            </w:pPr>
            <w:r>
              <w:rPr>
                <w:rFonts w:ascii="Arial" w:hAnsi="Arial"/>
                <w:b w:val="0"/>
                <w:color w:val="1E293B"/>
                <w:sz w:val="18"/>
              </w:rPr>
              <w:t>0.40</w:t>
            </w:r>
          </w:p>
        </w:tc>
      </w:tr>
    </w:tbl>
    <w:p/>
    <w:p>
      <w:pPr>
        <w:pStyle w:val="Heading3"/>
        <w:spacing w:before="160" w:after="60"/>
      </w:pPr>
      <w:r>
        <w:rPr>
          <w:rFonts w:ascii="Arial" w:hAnsi="Arial"/>
          <w:color w:val="1E293B"/>
          <w:sz w:val="28"/>
        </w:rPr>
        <w:t>Operational (10%)</w:t>
      </w:r>
    </w:p>
    <w:p>
      <w:pPr>
        <w:spacing w:before="40" w:after="40"/>
        <w:ind w:left="360"/>
      </w:pPr>
      <w:r>
        <w:rPr>
          <w:rFonts w:ascii="Courier New" w:hAnsi="Courier New"/>
          <w:b/>
          <w:color w:val="1E2761"/>
          <w:sz w:val="18"/>
        </w:rPr>
        <w:t>event_component = mean(op_impacts) if op_impacts else 0</w:t>
      </w:r>
    </w:p>
    <w:p>
      <w:pPr>
        <w:spacing w:before="40" w:after="40"/>
        <w:ind w:left="360"/>
      </w:pPr>
      <w:r>
        <w:rPr>
          <w:rFonts w:ascii="Courier New" w:hAnsi="Courier New"/>
          <w:b/>
          <w:color w:val="1E2761"/>
          <w:sz w:val="18"/>
        </w:rPr>
        <w:t>score = min(100, (0.40 × structural_dependency + 0.60 × event_component) × 100)</w:t>
      </w:r>
    </w:p>
    <w:p>
      <w:pPr>
        <w:pStyle w:val="ListBullet"/>
        <w:spacing w:before="20" w:after="30"/>
      </w:pPr>
      <w:r>
        <w:rPr>
          <w:rFonts w:ascii="Arial" w:hAnsi="Arial"/>
          <w:b w:val="0"/>
          <w:color w:val="1E293B"/>
          <w:sz w:val="20"/>
        </w:rPr>
        <w:t>structural_dependency (40%): facility country concentration from facilities table [0, 1]</w:t>
      </w:r>
    </w:p>
    <w:p>
      <w:pPr>
        <w:pStyle w:val="ListBullet"/>
        <w:spacing w:before="20" w:after="30"/>
      </w:pPr>
      <w:r>
        <w:rPr>
          <w:rFonts w:ascii="Arial" w:hAnsi="Arial"/>
          <w:b w:val="0"/>
          <w:color w:val="1E293B"/>
          <w:sz w:val="20"/>
        </w:rPr>
        <w:t>event_component (60%): recency- and relevance-weighted rollup of OPERATIONAL risk events, 90-day half-life</w:t>
      </w:r>
    </w:p>
    <w:p>
      <w:pPr>
        <w:spacing w:before="0" w:after="60"/>
      </w:pPr>
    </w:p>
    <w:p>
      <w:pPr>
        <w:pStyle w:val="Heading3"/>
        <w:spacing w:before="160" w:after="60"/>
      </w:pPr>
      <w:r>
        <w:rPr>
          <w:rFonts w:ascii="Arial" w:hAnsi="Arial"/>
          <w:color w:val="1E293B"/>
          <w:sz w:val="28"/>
        </w:rPr>
        <w:t>Financial Pressure (10%)</w:t>
      </w:r>
    </w:p>
    <w:p>
      <w:pPr>
        <w:spacing w:before="40" w:after="40"/>
        <w:ind w:left="360"/>
      </w:pPr>
      <w:r>
        <w:rPr>
          <w:rFonts w:ascii="Courier New" w:hAnsi="Courier New"/>
          <w:b/>
          <w:color w:val="1E2761"/>
          <w:sz w:val="18"/>
        </w:rPr>
        <w:t>score = min(100, base_filing_signal + leverage_warning_bonus + liquidity_stress_bonus)</w:t>
      </w:r>
    </w:p>
    <w:p>
      <w:pPr>
        <w:pStyle w:val="ListBullet"/>
        <w:spacing w:before="20" w:after="30"/>
      </w:pPr>
      <w:r>
        <w:rPr>
          <w:rFonts w:ascii="Arial" w:hAnsi="Arial"/>
          <w:b w:val="0"/>
          <w:color w:val="1E293B"/>
          <w:sz w:val="20"/>
        </w:rPr>
        <w:t>base_filing_signal [0–40]: normalized distress keyword frequency in SEC EDGAR filings</w:t>
      </w:r>
    </w:p>
    <w:p>
      <w:pPr>
        <w:pStyle w:val="ListBullet"/>
        <w:spacing w:before="20" w:after="30"/>
      </w:pPr>
      <w:r>
        <w:rPr>
          <w:rFonts w:ascii="Arial" w:hAnsi="Arial"/>
          <w:b w:val="0"/>
          <w:color w:val="1E293B"/>
          <w:sz w:val="20"/>
        </w:rPr>
        <w:t>leverage_warning_bonus [0–30]: high debt-to-EBITDA language, covenant references, credit facility drawdown</w:t>
      </w:r>
    </w:p>
    <w:p>
      <w:pPr>
        <w:pStyle w:val="ListBullet"/>
        <w:spacing w:before="20" w:after="30"/>
      </w:pPr>
      <w:r>
        <w:rPr>
          <w:rFonts w:ascii="Arial" w:hAnsi="Arial"/>
          <w:b w:val="0"/>
          <w:color w:val="1E293B"/>
          <w:sz w:val="20"/>
        </w:rPr>
        <w:t>liquidity_stress_bonus [0–30]: going concern notes, suspended capex, reduced cash runway, dividend cuts</w:t>
      </w:r>
    </w:p>
    <w:p>
      <w:pPr>
        <w:spacing w:before="40" w:after="60"/>
      </w:pPr>
      <w:r>
        <w:rPr>
          <w:rFonts w:ascii="Arial" w:hAnsi="Arial"/>
          <w:b w:val="0"/>
          <w:i/>
          <w:color w:val="64748B"/>
          <w:sz w:val="19"/>
        </w:rPr>
        <w:t>When fewer than 2 recent filings are available, maximum achievable score is reduced proportionally to avoid false precision.</w:t>
      </w:r>
    </w:p>
    <w:p>
      <w:pPr>
        <w:spacing w:before="0" w:after="60"/>
      </w:pPr>
    </w:p>
    <w:p>
      <w:pPr>
        <w:pStyle w:val="Heading3"/>
        <w:spacing w:before="160" w:after="60"/>
      </w:pPr>
      <w:r>
        <w:rPr>
          <w:rFonts w:ascii="Arial" w:hAnsi="Arial"/>
          <w:color w:val="1E293B"/>
          <w:sz w:val="28"/>
        </w:rPr>
        <w:t>Supply-Chain Propagation (15%)</w:t>
      </w:r>
    </w:p>
    <w:p>
      <w:pPr>
        <w:spacing w:before="40" w:after="40"/>
        <w:ind w:left="360"/>
      </w:pPr>
      <w:r>
        <w:rPr>
          <w:rFonts w:ascii="Courier New" w:hAnsi="Courier New"/>
          <w:b/>
          <w:color w:val="1E2761"/>
          <w:sz w:val="18"/>
        </w:rPr>
        <w:t>weighted_sum      = sum(supplier_score × volume_share × depth_weight)</w:t>
      </w:r>
    </w:p>
    <w:p>
      <w:pPr>
        <w:spacing w:before="40" w:after="40"/>
        <w:ind w:left="360"/>
      </w:pPr>
      <w:r>
        <w:rPr>
          <w:rFonts w:ascii="Courier New" w:hAnsi="Courier New"/>
          <w:b/>
          <w:color w:val="1E2761"/>
          <w:sz w:val="18"/>
        </w:rPr>
        <w:t>weight_sum        = sum(volume_share × depth_weight)</w:t>
      </w:r>
    </w:p>
    <w:p>
      <w:pPr>
        <w:spacing w:before="40" w:after="40"/>
        <w:ind w:left="360"/>
      </w:pPr>
      <w:r>
        <w:rPr>
          <w:rFonts w:ascii="Courier New" w:hAnsi="Courier New"/>
          <w:b/>
          <w:color w:val="1E2761"/>
          <w:sz w:val="18"/>
        </w:rPr>
        <w:t>propagation_score = min(100, max(0, weighted_sum / weight_sum)) if weight_sum &gt; 0 else NULL</w:t>
      </w:r>
    </w:p>
    <w:p>
      <w:pPr>
        <w:pStyle w:val="ListBullet"/>
        <w:spacing w:before="20" w:after="30"/>
      </w:pPr>
      <w:r>
        <w:rPr>
          <w:rFonts w:ascii="Arial" w:hAnsi="Arial"/>
          <w:b w:val="0"/>
          <w:color w:val="1E293B"/>
          <w:sz w:val="20"/>
        </w:rPr>
        <w:t>depth_weight: 1.00 for tier-1 (direct) suppliers; 0.40 for tier-2 and deeper</w:t>
      </w:r>
    </w:p>
    <w:p>
      <w:pPr>
        <w:pStyle w:val="ListBullet"/>
        <w:spacing w:before="20" w:after="30"/>
      </w:pPr>
      <w:r>
        <w:rPr>
          <w:rFonts w:ascii="Arial" w:hAnsi="Arial"/>
          <w:b w:val="0"/>
          <w:color w:val="1E293B"/>
          <w:sz w:val="20"/>
        </w:rPr>
        <w:t>When propagation_score is NULL (no supplier graph data), remaining five pillars renormalize so overall is not artificially deflated</w:t>
      </w:r>
    </w:p>
    <w:p>
      <w:pPr>
        <w:pStyle w:val="ListBullet"/>
        <w:spacing w:before="20" w:after="30"/>
      </w:pPr>
      <w:r>
        <w:rPr>
          <w:rFonts w:ascii="Arial" w:hAnsi="Arial"/>
          <w:b w:val="0"/>
          <w:color w:val="1E293B"/>
          <w:sz w:val="20"/>
        </w:rPr>
        <w:t>Propagation is disabled in scoped runs and never persists from scoped runs</w:t>
      </w:r>
    </w:p>
    <w:p>
      <w:pPr>
        <w:spacing w:before="0" w:after="60"/>
      </w:pPr>
    </w:p>
    <w:p>
      <w:pPr>
        <w:pStyle w:val="Heading2"/>
        <w:spacing w:before="160" w:after="60"/>
      </w:pPr>
      <w:r>
        <w:rPr>
          <w:rFonts w:ascii="Arial" w:hAnsi="Arial"/>
          <w:color w:val="028090"/>
          <w:sz w:val="36"/>
        </w:rPr>
        <w:t>5.4  Overall Score Aggregation</w:t>
      </w:r>
    </w:p>
    <w:p>
      <w:pPr>
        <w:spacing w:before="40" w:after="60"/>
      </w:pPr>
      <w:r>
        <w:rPr>
          <w:rFonts w:ascii="Arial" w:hAnsi="Arial"/>
          <w:b/>
          <w:i w:val="0"/>
          <w:color w:val="1E293B"/>
          <w:sz w:val="22"/>
        </w:rPr>
        <w:t>With all six pillars present:</w:t>
      </w:r>
    </w:p>
    <w:p>
      <w:pPr>
        <w:spacing w:before="40" w:after="40"/>
        <w:ind w:left="360"/>
      </w:pPr>
      <w:r>
        <w:rPr>
          <w:rFonts w:ascii="Courier New" w:hAnsi="Courier New"/>
          <w:b/>
          <w:color w:val="1E2761"/>
          <w:sz w:val="18"/>
        </w:rPr>
        <w:t>overall = 0.25×material + 0.20×geopolitical + 0.20×regulatory + 0.10×operational + 0.10×financial + 0.15×propagation</w:t>
      </w:r>
    </w:p>
    <w:p>
      <w:pPr>
        <w:spacing w:before="0" w:after="60"/>
      </w:pPr>
    </w:p>
    <w:p>
      <w:pPr>
        <w:spacing w:before="40" w:after="60"/>
      </w:pPr>
      <w:r>
        <w:rPr>
          <w:rFonts w:ascii="Arial" w:hAnsi="Arial"/>
          <w:b/>
          <w:i w:val="0"/>
          <w:color w:val="1E293B"/>
          <w:sz w:val="22"/>
        </w:rPr>
        <w:t>With propagation = NULL (renormalize, base = 0.85):</w:t>
      </w:r>
    </w:p>
    <w:p>
      <w:pPr>
        <w:spacing w:before="40" w:after="40"/>
        <w:ind w:left="360"/>
      </w:pPr>
      <w:r>
        <w:rPr>
          <w:rFonts w:ascii="Courier New" w:hAnsi="Courier New"/>
          <w:b/>
          <w:color w:val="1E2761"/>
          <w:sz w:val="18"/>
        </w:rPr>
        <w:t>overall = (0.25/0.85)×material + (0.20/0.85)×geopolitical + (0.20/0.85)×regulatory + (0.10/0.85)×operational + (0.10/0.85)×financial</w:t>
      </w:r>
    </w:p>
    <w:p>
      <w:pPr>
        <w:spacing w:before="0" w:after="60"/>
      </w:pPr>
    </w:p>
    <w:p>
      <w:pPr>
        <w:spacing w:before="40" w:after="60"/>
      </w:pPr>
      <w:r>
        <w:rPr>
          <w:rFonts w:ascii="Arial" w:hAnsi="Arial"/>
          <w:b w:val="0"/>
          <w:i w:val="0"/>
          <w:color w:val="1E293B"/>
          <w:sz w:val="22"/>
        </w:rPr>
        <w:t>Store raw unrounded component values in rationale_json. Round only for UI presentation to prevent drift in displayed score deltas.</w:t>
      </w:r>
    </w:p>
    <w:p>
      <w:pPr>
        <w:spacing w:before="0" w:after="60"/>
      </w:pPr>
    </w:p>
    <w:p>
      <w:pPr>
        <w:pStyle w:val="Heading2"/>
        <w:spacing w:before="160" w:after="60"/>
      </w:pPr>
      <w:r>
        <w:rPr>
          <w:rFonts w:ascii="Arial" w:hAnsi="Arial"/>
          <w:color w:val="028090"/>
          <w:sz w:val="36"/>
        </w:rPr>
        <w:t>5.5  Chemistry Scoring (Separate Pipeline)</w:t>
      </w:r>
    </w:p>
    <w:p>
      <w:pPr>
        <w:spacing w:before="40" w:after="60"/>
      </w:pPr>
      <w:r>
        <w:rPr>
          <w:rFonts w:ascii="Arial" w:hAnsi="Arial"/>
          <w:b w:val="0"/>
          <w:i w:val="0"/>
          <w:color w:val="1E293B"/>
          <w:sz w:val="22"/>
        </w:rPr>
        <w:t>Battery chemistry risk scores are computed separately via the rescore-chemistry command. Each chemistry slug (nmc, lfp, nca, lfmp, sodium_ion, solid_state) receives a composite_risk_score based on material composition in battery_chemistry_materials, weighted by intensity and criticality signals.</w:t>
      </w:r>
    </w:p>
    <w:p>
      <w:pPr>
        <w:spacing w:before="0" w:after="60"/>
      </w:pPr>
    </w:p>
    <w:p>
      <w:pPr>
        <w:spacing w:before="40" w:after="60"/>
      </w:pPr>
      <w:r>
        <w:rPr>
          <w:rFonts w:ascii="Arial" w:hAnsi="Arial"/>
          <w:b w:val="0"/>
          <w:i w:val="0"/>
          <w:color w:val="1E293B"/>
          <w:sz w:val="22"/>
        </w:rPr>
        <w:t>Chemistry scores feed back into company scoring via vehicle_model_chemistries. When a company has vehicle models with assigned chemistries and valid chemistry_risk_scores, the chemistry_mix is included in the company score rationale_json, creating a direct link between battery chemistry selection and material exposure risk.</w:t>
      </w:r>
    </w:p>
    <w:p>
      <w:pPr>
        <w:spacing w:before="0" w:after="60"/>
      </w:pPr>
    </w:p>
    <w:tbl>
      <w:tblPr>
        <w:tblLook w:firstColumn="1" w:firstRow="1" w:lastColumn="0" w:lastRow="0" w:noHBand="0" w:noVBand="1" w:val="04A0"/>
        <w:tblW w:w="9360" w:type="dxa"/>
      </w:tblPr>
      <w:tblGrid>
        <w:gridCol w:w="9360"/>
      </w:tblGrid>
      <w:tr>
        <w:tc>
          <w:tcPr>
            <w:shd w:val="clear" w:color="auto" w:fill="DBEAFE"/>
            <w:tcBorders>
              <w:top w:val="single" w:sz="6" w:space="0" w:color="93C5FD"/>
              <w:left w:val="single" w:sz="6" w:space="0" w:color="93C5FD"/>
              <w:bottom w:val="single" w:sz="6" w:space="0" w:color="93C5FD"/>
              <w:right w:val="single" w:sz="6" w:space="0" w:color="93C5FD"/>
            </w:tcBorders>
            <w:tcMar>
              <w:top w:w="100" w:type="dxa"/>
              <w:left w:w="140" w:type="dxa"/>
              <w:bottom w:w="100" w:type="dxa"/>
              <w:right w:w="140" w:type="dxa"/>
            </w:tcMar>
            <w:tcW w:w="9360" w:type="dxa"/>
          </w:tcPr>
          <w:p>
            <w:pPr>
              <w:spacing w:before="0" w:after="0"/>
            </w:pPr>
            <w:r>
              <w:rPr>
                <w:rFonts w:ascii="Arial" w:hAnsi="Arial"/>
                <w:i/>
                <w:color w:val="1E293B"/>
                <w:sz w:val="20"/>
              </w:rPr>
              <w:t>Note: chemistry scores influence the rationale and context of company scoring but are not a direct input to the six-pillar formula in v3.0. Material concentration captures underlying material risk directly via company_material_exposures.</w:t>
            </w:r>
          </w:p>
        </w:tc>
      </w:tr>
    </w:tbl>
    <w:p/>
    <w:p>
      <w:pPr>
        <w:pStyle w:val="Heading1"/>
        <w:pageBreakBefore/>
        <w:spacing w:before="200" w:after="100"/>
      </w:pPr>
      <w:r>
        <w:rPr>
          <w:rFonts w:ascii="Arial" w:hAnsi="Arial"/>
          <w:color w:val="1E2761"/>
          <w:sz w:val="48"/>
        </w:rPr>
        <w:t>6.  Event Scoring Mechanics</w:t>
      </w:r>
    </w:p>
    <w:p>
      <w:pPr>
        <w:spacing w:before="40" w:after="60"/>
      </w:pPr>
      <w:r>
        <w:rPr>
          <w:rFonts w:ascii="Arial" w:hAnsi="Arial"/>
          <w:b w:val="0"/>
          <w:i w:val="0"/>
          <w:color w:val="1E293B"/>
          <w:sz w:val="22"/>
        </w:rPr>
        <w:t>Before rolling up to a pillar score, individual risk events are normalized into a comparable event impact value. This allows the platform to mix regulatory filings, geopolitical signals, and financial distress indicators in a single evidence stream.</w:t>
      </w:r>
    </w:p>
    <w:p>
      <w:pPr>
        <w:spacing w:before="0" w:after="60"/>
      </w:pPr>
    </w:p>
    <w:p>
      <w:pPr>
        <w:spacing w:before="40" w:after="60"/>
      </w:pPr>
      <w:r>
        <w:rPr>
          <w:rFonts w:ascii="Arial" w:hAnsi="Arial"/>
          <w:b/>
          <w:i w:val="0"/>
          <w:color w:val="1E293B"/>
          <w:sz w:val="22"/>
        </w:rPr>
        <w:t>event_impact = severity × effective_confidence × recency_multiplier × relevance_multiplier</w:t>
      </w:r>
    </w:p>
    <w:p>
      <w:pPr>
        <w:spacing w:before="40" w:after="60"/>
      </w:pPr>
      <w:r>
        <w:rPr>
          <w:rFonts w:ascii="Arial" w:hAnsi="Arial"/>
          <w:b/>
          <w:i w:val="0"/>
          <w:color w:val="1E293B"/>
          <w:sz w:val="22"/>
        </w:rPr>
        <w:t>effective_confidence = max(confidence, 0.60) if severity &gt;= 0.80 else confidence</w:t>
      </w:r>
    </w:p>
    <w:p>
      <w:pPr>
        <w:spacing w:before="0" w:after="60"/>
      </w:pPr>
    </w:p>
    <w:p>
      <w:pPr>
        <w:spacing w:before="40" w:after="60"/>
      </w:pPr>
      <w:r>
        <w:rPr>
          <w:rFonts w:ascii="Arial" w:hAnsi="Arial"/>
          <w:b w:val="0"/>
          <w:i w:val="0"/>
          <w:color w:val="1E293B"/>
          <w:sz w:val="22"/>
        </w:rPr>
        <w:t>The confidence floor prevents genuine critical signals from being over-discounted due to parser uncertainty. A 0.90 severity event with 0.45 raw confidence should not score below a 0.60 severity event with 0.80 confidence. The floor only applies when severity is 0.80 or above.</w:t>
      </w:r>
    </w:p>
    <w:p>
      <w:pPr>
        <w:spacing w:before="0" w:after="60"/>
      </w:pPr>
    </w:p>
    <w:tbl>
      <w:tblPr>
        <w:tblLook w:firstColumn="1" w:firstRow="1" w:lastColumn="0" w:lastRow="0" w:noHBand="0" w:noVBand="1" w:val="04A0"/>
        <w:tblStyle w:val="TableGrid"/>
        <w:tblW w:w="9360" w:type="dxa"/>
      </w:tblPr>
      <w:tblGrid>
        <w:gridCol w:w="2340"/>
        <w:gridCol w:w="2340"/>
        <w:gridCol w:w="2340"/>
        <w:gridCol w:w="2340"/>
      </w:tblGrid>
      <w:tr>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2000" w:type="dxa"/>
          </w:tcPr>
          <w:p>
            <w:pPr>
              <w:spacing w:before="0" w:after="0"/>
            </w:pPr>
            <w:r>
              <w:rPr>
                <w:rFonts w:ascii="Arial" w:hAnsi="Arial"/>
                <w:b/>
                <w:color w:val="FFFFFF"/>
                <w:sz w:val="19"/>
              </w:rPr>
              <w:t>Factor</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1200" w:type="dxa"/>
          </w:tcPr>
          <w:p>
            <w:pPr>
              <w:spacing w:before="0" w:after="0"/>
            </w:pPr>
            <w:r>
              <w:rPr>
                <w:rFonts w:ascii="Arial" w:hAnsi="Arial"/>
                <w:b/>
                <w:color w:val="FFFFFF"/>
                <w:sz w:val="19"/>
              </w:rPr>
              <w:t>Range</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1200" w:type="dxa"/>
          </w:tcPr>
          <w:p>
            <w:pPr>
              <w:spacing w:before="0" w:after="0"/>
            </w:pPr>
            <w:r>
              <w:rPr>
                <w:rFonts w:ascii="Arial" w:hAnsi="Arial"/>
                <w:b/>
                <w:color w:val="FFFFFF"/>
                <w:sz w:val="19"/>
              </w:rPr>
              <w:t>Default</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4960" w:type="dxa"/>
          </w:tcPr>
          <w:p>
            <w:pPr>
              <w:spacing w:before="0" w:after="0"/>
            </w:pPr>
            <w:r>
              <w:rPr>
                <w:rFonts w:ascii="Arial" w:hAnsi="Arial"/>
                <w:b/>
                <w:color w:val="FFFFFF"/>
                <w:sz w:val="19"/>
              </w:rPr>
              <w:t>Notes</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severity</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200" w:type="dxa"/>
          </w:tcPr>
          <w:p>
            <w:pPr>
              <w:spacing w:before="0" w:after="0"/>
            </w:pPr>
            <w:r>
              <w:rPr>
                <w:rFonts w:ascii="Arial" w:hAnsi="Arial"/>
                <w:b w:val="0"/>
                <w:color w:val="1E293B"/>
                <w:sz w:val="18"/>
              </w:rPr>
              <w:t>0–1</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200" w:type="dxa"/>
          </w:tcPr>
          <w:p>
            <w:pPr>
              <w:spacing w:before="0" w:after="0"/>
            </w:pPr>
            <w:r>
              <w:rPr>
                <w:rFonts w:ascii="Arial" w:hAnsi="Arial"/>
                <w:b w:val="0"/>
                <w:color w:val="1E293B"/>
                <w:sz w:val="18"/>
              </w:rPr>
              <w:t>0.85</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How materially disruptive the event is if true</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confidence</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200" w:type="dxa"/>
          </w:tcPr>
          <w:p>
            <w:pPr>
              <w:spacing w:before="0" w:after="0"/>
            </w:pPr>
            <w:r>
              <w:rPr>
                <w:rFonts w:ascii="Arial" w:hAnsi="Arial"/>
                <w:b w:val="0"/>
                <w:color w:val="1E293B"/>
                <w:sz w:val="18"/>
              </w:rPr>
              <w:t>0–1</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200" w:type="dxa"/>
          </w:tcPr>
          <w:p>
            <w:pPr>
              <w:spacing w:before="0" w:after="0"/>
            </w:pPr>
            <w:r>
              <w:rPr>
                <w:rFonts w:ascii="Arial" w:hAnsi="Arial"/>
                <w:b w:val="0"/>
                <w:color w:val="1E293B"/>
                <w:sz w:val="18"/>
              </w:rPr>
              <w:t>0.70</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Evidence strength and parser certainty. Floored at 0.60 when severity &gt;= 0.80</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recency_multiplier</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200" w:type="dxa"/>
          </w:tcPr>
          <w:p>
            <w:pPr>
              <w:spacing w:before="0" w:after="0"/>
            </w:pPr>
            <w:r>
              <w:rPr>
                <w:rFonts w:ascii="Arial" w:hAnsi="Arial"/>
                <w:b w:val="0"/>
                <w:color w:val="1E293B"/>
                <w:sz w:val="18"/>
              </w:rPr>
              <w:t>0.6–1.2</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200" w:type="dxa"/>
          </w:tcPr>
          <w:p>
            <w:pPr>
              <w:spacing w:before="0" w:after="0"/>
            </w:pPr>
            <w:r>
              <w:rPr>
                <w:rFonts w:ascii="Arial" w:hAnsi="Arial"/>
                <w:b w:val="0"/>
                <w:color w:val="1E293B"/>
                <w:sz w:val="18"/>
              </w:rPr>
              <w:t>1.00</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Recent events retain more weight. Geopolitical structural facts use slower decay schedule</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relevance_multiplier</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200" w:type="dxa"/>
          </w:tcPr>
          <w:p>
            <w:pPr>
              <w:spacing w:before="0" w:after="0"/>
            </w:pPr>
            <w:r>
              <w:rPr>
                <w:rFonts w:ascii="Arial" w:hAnsi="Arial"/>
                <w:b w:val="0"/>
                <w:color w:val="1E293B"/>
                <w:sz w:val="18"/>
              </w:rPr>
              <w:t>0.7–1.3</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200" w:type="dxa"/>
          </w:tcPr>
          <w:p>
            <w:pPr>
              <w:spacing w:before="0" w:after="0"/>
            </w:pPr>
            <w:r>
              <w:rPr>
                <w:rFonts w:ascii="Arial" w:hAnsi="Arial"/>
                <w:b w:val="0"/>
                <w:color w:val="1E293B"/>
                <w:sz w:val="18"/>
              </w:rPr>
              <w:t>1.10</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960" w:type="dxa"/>
          </w:tcPr>
          <w:p>
            <w:pPr>
              <w:spacing w:before="0" w:after="0"/>
            </w:pPr>
            <w:r>
              <w:rPr>
                <w:rFonts w:ascii="Arial" w:hAnsi="Arial"/>
                <w:b w:val="0"/>
                <w:color w:val="1E293B"/>
                <w:sz w:val="18"/>
              </w:rPr>
              <w:t>Higher when geography, material, or company match is direct. Indirect signals stay near 0.70</w:t>
            </w:r>
          </w:p>
        </w:tc>
      </w:tr>
    </w:tbl>
    <w:p/>
    <w:p>
      <w:pPr>
        <w:pStyle w:val="Heading1"/>
        <w:pageBreakBefore/>
        <w:spacing w:before="200" w:after="100"/>
      </w:pPr>
      <w:r>
        <w:rPr>
          <w:rFonts w:ascii="Arial" w:hAnsi="Arial"/>
          <w:color w:val="1E2761"/>
          <w:sz w:val="48"/>
        </w:rPr>
        <w:t>7.  Evidence Windows and Decay</w:t>
      </w:r>
    </w:p>
    <w:p>
      <w:pPr>
        <w:spacing w:before="40" w:after="60"/>
      </w:pPr>
      <w:r>
        <w:rPr>
          <w:rFonts w:ascii="Arial" w:hAnsi="Arial"/>
          <w:b w:val="0"/>
          <w:i w:val="0"/>
          <w:color w:val="1E293B"/>
          <w:sz w:val="22"/>
        </w:rPr>
        <w:t>Evidence windows are category-specific. Geopolitical structural facts (country refining concentration, export restriction history) use a slower decay schedule than operational incidents, which go stale quickly.</w:t>
      </w:r>
    </w:p>
    <w:p>
      <w:pPr>
        <w:spacing w:before="0" w:after="60"/>
      </w:pPr>
    </w:p>
    <w:tbl>
      <w:tblPr>
        <w:tblLook w:firstColumn="1" w:firstRow="1" w:lastColumn="0" w:lastRow="0" w:noHBand="0" w:noVBand="1" w:val="04A0"/>
        <w:tblStyle w:val="TableGrid"/>
        <w:tblW w:w="9360" w:type="dxa"/>
      </w:tblPr>
      <w:tblGrid>
        <w:gridCol w:w="2340"/>
        <w:gridCol w:w="2340"/>
        <w:gridCol w:w="2340"/>
        <w:gridCol w:w="2340"/>
      </w:tblGrid>
      <w:tr>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2000" w:type="dxa"/>
          </w:tcPr>
          <w:p>
            <w:pPr>
              <w:spacing w:before="0" w:after="0"/>
            </w:pPr>
            <w:r>
              <w:rPr>
                <w:rFonts w:ascii="Arial" w:hAnsi="Arial"/>
                <w:b/>
                <w:color w:val="FFFFFF"/>
                <w:sz w:val="19"/>
              </w:rPr>
              <w:t>Evidence Family</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1400" w:type="dxa"/>
          </w:tcPr>
          <w:p>
            <w:pPr>
              <w:spacing w:before="0" w:after="0"/>
            </w:pPr>
            <w:r>
              <w:rPr>
                <w:rFonts w:ascii="Arial" w:hAnsi="Arial"/>
                <w:b/>
                <w:color w:val="FFFFFF"/>
                <w:sz w:val="19"/>
              </w:rPr>
              <w:t>Window</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2200" w:type="dxa"/>
          </w:tcPr>
          <w:p>
            <w:pPr>
              <w:spacing w:before="0" w:after="0"/>
            </w:pPr>
            <w:r>
              <w:rPr>
                <w:rFonts w:ascii="Arial" w:hAnsi="Arial"/>
                <w:b/>
                <w:color w:val="FFFFFF"/>
                <w:sz w:val="19"/>
              </w:rPr>
              <w:t>Decay</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3760" w:type="dxa"/>
          </w:tcPr>
          <w:p>
            <w:pPr>
              <w:spacing w:before="0" w:after="0"/>
            </w:pPr>
            <w:r>
              <w:rPr>
                <w:rFonts w:ascii="Arial" w:hAnsi="Arial"/>
                <w:b/>
                <w:color w:val="FFFFFF"/>
                <w:sz w:val="19"/>
              </w:rPr>
              <w:t>Rationale</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Regulations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365 days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200" w:type="dxa"/>
          </w:tcPr>
          <w:p>
            <w:pPr>
              <w:spacing w:before="0" w:after="0"/>
            </w:pPr>
            <w:r>
              <w:rPr>
                <w:rFonts w:ascii="Arial" w:hAnsi="Arial"/>
                <w:b w:val="0"/>
                <w:color w:val="1E293B"/>
                <w:sz w:val="18"/>
              </w:rPr>
              <w:t>Step-up inside 90 days before effective date</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760" w:type="dxa"/>
          </w:tcPr>
          <w:p>
            <w:pPr>
              <w:spacing w:before="0" w:after="0"/>
            </w:pPr>
            <w:r>
              <w:rPr>
                <w:rFonts w:ascii="Arial" w:hAnsi="Arial"/>
                <w:b w:val="0"/>
                <w:color w:val="1E293B"/>
                <w:sz w:val="18"/>
              </w:rPr>
              <w:t>Policy becomes more actionable as enforcement approaches. EU Battery Reg and IRA deadlines use this logic.</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Geopolitical signals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24 months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200" w:type="dxa"/>
          </w:tcPr>
          <w:p>
            <w:pPr>
              <w:spacing w:before="0" w:after="0"/>
            </w:pPr>
            <w:r>
              <w:rPr>
                <w:rFonts w:ascii="Arial" w:hAnsi="Arial"/>
                <w:b w:val="0"/>
                <w:color w:val="1E293B"/>
                <w:sz w:val="18"/>
              </w:rPr>
              <w:t>Very slow; country concentration facts held at full weight</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760" w:type="dxa"/>
          </w:tcPr>
          <w:p>
            <w:pPr>
              <w:spacing w:before="0" w:after="0"/>
            </w:pPr>
            <w:r>
              <w:rPr>
                <w:rFonts w:ascii="Arial" w:hAnsi="Arial"/>
                <w:b w:val="0"/>
                <w:color w:val="1E293B"/>
                <w:sz w:val="18"/>
              </w:rPr>
              <w:t>Structural facts (China's refining share) don't go stale in 90 days. Discrete events (export bans) decay normally.</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Trade flows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12 months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200" w:type="dxa"/>
          </w:tcPr>
          <w:p>
            <w:pPr>
              <w:spacing w:before="0" w:after="0"/>
            </w:pPr>
            <w:r>
              <w:rPr>
                <w:rFonts w:ascii="Arial" w:hAnsi="Arial"/>
                <w:b w:val="0"/>
                <w:color w:val="1E293B"/>
                <w:sz w:val="18"/>
              </w:rPr>
              <w:t>Monthly smoothing; latest 3 months vs prior baseline</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760" w:type="dxa"/>
          </w:tcPr>
          <w:p>
            <w:pPr>
              <w:spacing w:before="0" w:after="0"/>
            </w:pPr>
            <w:r>
              <w:rPr>
                <w:rFonts w:ascii="Arial" w:hAnsi="Arial"/>
                <w:b w:val="0"/>
                <w:color w:val="1E293B"/>
                <w:sz w:val="18"/>
              </w:rPr>
              <w:t>Trade shocks are noisy. Baseline comparison more reliable than absolute values.</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Operational events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180 days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200" w:type="dxa"/>
          </w:tcPr>
          <w:p>
            <w:pPr>
              <w:spacing w:before="0" w:after="0"/>
            </w:pPr>
            <w:r>
              <w:rPr>
                <w:rFonts w:ascii="Arial" w:hAnsi="Arial"/>
                <w:b w:val="0"/>
                <w:color w:val="1E293B"/>
                <w:sz w:val="18"/>
              </w:rPr>
              <w:t>90-day half-life</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760" w:type="dxa"/>
          </w:tcPr>
          <w:p>
            <w:pPr>
              <w:spacing w:before="0" w:after="0"/>
            </w:pPr>
            <w:r>
              <w:rPr>
                <w:rFonts w:ascii="Arial" w:hAnsi="Arial"/>
                <w:b w:val="0"/>
                <w:color w:val="1E293B"/>
                <w:sz w:val="18"/>
              </w:rPr>
              <w:t>Operational incidents go stale quickly but not instantly. Duplicate clustering applied before rollup.</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Financial filings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4 most recent quarters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200" w:type="dxa"/>
          </w:tcPr>
          <w:p>
            <w:pPr>
              <w:spacing w:before="0" w:after="0"/>
            </w:pPr>
            <w:r>
              <w:rPr>
                <w:rFonts w:ascii="Arial" w:hAnsi="Arial"/>
                <w:b w:val="0"/>
                <w:color w:val="1E293B"/>
                <w:sz w:val="18"/>
              </w:rPr>
              <w:t>Hold until superseded by newer filing</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760" w:type="dxa"/>
          </w:tcPr>
          <w:p>
            <w:pPr>
              <w:spacing w:before="0" w:after="0"/>
            </w:pPr>
            <w:r>
              <w:rPr>
                <w:rFonts w:ascii="Arial" w:hAnsi="Arial"/>
                <w:b w:val="0"/>
                <w:color w:val="1E293B"/>
                <w:sz w:val="18"/>
              </w:rPr>
              <w:t>Sparse but high importance. Going concern and leverage language held at full weight until next filing replaces it.</w:t>
            </w:r>
          </w:p>
        </w:tc>
      </w:tr>
    </w:tbl>
    <w:p/>
    <w:p>
      <w:pPr>
        <w:pStyle w:val="Heading1"/>
        <w:pageBreakBefore/>
        <w:spacing w:before="200" w:after="100"/>
      </w:pPr>
      <w:r>
        <w:rPr>
          <w:rFonts w:ascii="Arial" w:hAnsi="Arial"/>
          <w:color w:val="1E2761"/>
          <w:sz w:val="48"/>
        </w:rPr>
        <w:t>8.  Worked Scoring Example</w:t>
      </w:r>
    </w:p>
    <w:p>
      <w:pPr>
        <w:spacing w:before="40" w:after="60"/>
      </w:pPr>
      <w:r>
        <w:rPr>
          <w:rFonts w:ascii="Arial" w:hAnsi="Arial"/>
          <w:b w:val="0"/>
          <w:i w:val="0"/>
          <w:color w:val="1E293B"/>
          <w:sz w:val="22"/>
        </w:rPr>
        <w:t>Subject: cathode active material producer with high nickel exposure, significant China-based refining concentration, two active regulatory obligations (one effective in 45 days), and one tier-1 supplier at 70% volume share with an overall score of 58.</w:t>
      </w:r>
    </w:p>
    <w:p>
      <w:pPr>
        <w:spacing w:before="0" w:after="60"/>
      </w:pPr>
    </w:p>
    <w:tbl>
      <w:tblPr>
        <w:tblLook w:firstColumn="1" w:firstRow="1" w:lastColumn="0" w:lastRow="0" w:noHBand="0" w:noVBand="1" w:val="04A0"/>
        <w:tblStyle w:val="TableGrid"/>
        <w:tblW w:w="9360" w:type="dxa"/>
      </w:tblPr>
      <w:tblGrid>
        <w:gridCol w:w="1872"/>
        <w:gridCol w:w="1872"/>
        <w:gridCol w:w="1872"/>
        <w:gridCol w:w="1872"/>
        <w:gridCol w:w="1872"/>
      </w:tblGrid>
      <w:tr>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2400" w:type="dxa"/>
          </w:tcPr>
          <w:p>
            <w:pPr>
              <w:spacing w:before="0" w:after="0"/>
            </w:pPr>
            <w:r>
              <w:rPr>
                <w:rFonts w:ascii="Arial" w:hAnsi="Arial"/>
                <w:b/>
                <w:color w:val="FFFFFF"/>
                <w:sz w:val="19"/>
              </w:rPr>
              <w:t>Pillar</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3200" w:type="dxa"/>
          </w:tcPr>
          <w:p>
            <w:pPr>
              <w:spacing w:before="0" w:after="0"/>
            </w:pPr>
            <w:r>
              <w:rPr>
                <w:rFonts w:ascii="Arial" w:hAnsi="Arial"/>
                <w:b/>
                <w:color w:val="FFFFFF"/>
                <w:sz w:val="19"/>
              </w:rPr>
              <w:t>Key Inputs</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900" w:type="dxa"/>
          </w:tcPr>
          <w:p>
            <w:pPr>
              <w:spacing w:before="0" w:after="0"/>
            </w:pPr>
            <w:r>
              <w:rPr>
                <w:rFonts w:ascii="Arial" w:hAnsi="Arial"/>
                <w:b/>
                <w:color w:val="FFFFFF"/>
                <w:sz w:val="19"/>
              </w:rPr>
              <w:t>Score</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900" w:type="dxa"/>
          </w:tcPr>
          <w:p>
            <w:pPr>
              <w:spacing w:before="0" w:after="0"/>
            </w:pPr>
            <w:r>
              <w:rPr>
                <w:rFonts w:ascii="Arial" w:hAnsi="Arial"/>
                <w:b/>
                <w:color w:val="FFFFFF"/>
                <w:sz w:val="19"/>
              </w:rPr>
              <w:t>Weight</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1760" w:type="dxa"/>
          </w:tcPr>
          <w:p>
            <w:pPr>
              <w:spacing w:before="0" w:after="0"/>
            </w:pPr>
            <w:r>
              <w:rPr>
                <w:rFonts w:ascii="Arial" w:hAnsi="Arial"/>
                <w:b/>
                <w:color w:val="FFFFFF"/>
                <w:sz w:val="19"/>
              </w:rPr>
              <w:t>Contribution</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Material Concentration</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200" w:type="dxa"/>
          </w:tcPr>
          <w:p>
            <w:pPr>
              <w:spacing w:before="0" w:after="0"/>
            </w:pPr>
            <w:r>
              <w:rPr>
                <w:rFonts w:ascii="Arial" w:hAnsi="Arial"/>
                <w:b w:val="0"/>
                <w:color w:val="1E293B"/>
                <w:sz w:val="18"/>
              </w:rPr>
              <w:t>criticality 0.90; concentration 0.80; trade_vol 0.70</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900" w:type="dxa"/>
          </w:tcPr>
          <w:p>
            <w:pPr>
              <w:spacing w:before="0" w:after="0"/>
            </w:pPr>
            <w:r>
              <w:rPr>
                <w:rFonts w:ascii="Arial" w:hAnsi="Arial"/>
                <w:b w:val="0"/>
                <w:color w:val="1E293B"/>
                <w:sz w:val="18"/>
              </w:rPr>
              <w:t>83</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900" w:type="dxa"/>
          </w:tcPr>
          <w:p>
            <w:pPr>
              <w:spacing w:before="0" w:after="0"/>
            </w:pPr>
            <w:r>
              <w:rPr>
                <w:rFonts w:ascii="Arial" w:hAnsi="Arial"/>
                <w:b w:val="0"/>
                <w:color w:val="1E293B"/>
                <w:sz w:val="18"/>
              </w:rPr>
              <w:t>0.25</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760" w:type="dxa"/>
          </w:tcPr>
          <w:p>
            <w:pPr>
              <w:spacing w:before="0" w:after="0"/>
            </w:pPr>
            <w:r>
              <w:rPr>
                <w:rFonts w:ascii="Arial" w:hAnsi="Arial"/>
                <w:b w:val="0"/>
                <w:color w:val="1E293B"/>
                <w:sz w:val="18"/>
              </w:rPr>
              <w:t>20.75</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Geopolitical &amp; Trade</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200" w:type="dxa"/>
          </w:tcPr>
          <w:p>
            <w:pPr>
              <w:spacing w:before="0" w:after="0"/>
            </w:pPr>
            <w:r>
              <w:rPr>
                <w:rFonts w:ascii="Arial" w:hAnsi="Arial"/>
                <w:b w:val="0"/>
                <w:color w:val="1E293B"/>
                <w:sz w:val="18"/>
              </w:rPr>
              <w:t>high China processing share; no recent export ban</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900" w:type="dxa"/>
          </w:tcPr>
          <w:p>
            <w:pPr>
              <w:spacing w:before="0" w:after="0"/>
            </w:pPr>
            <w:r>
              <w:rPr>
                <w:rFonts w:ascii="Arial" w:hAnsi="Arial"/>
                <w:b w:val="0"/>
                <w:color w:val="1E293B"/>
                <w:sz w:val="18"/>
              </w:rPr>
              <w:t>72</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900" w:type="dxa"/>
          </w:tcPr>
          <w:p>
            <w:pPr>
              <w:spacing w:before="0" w:after="0"/>
            </w:pPr>
            <w:r>
              <w:rPr>
                <w:rFonts w:ascii="Arial" w:hAnsi="Arial"/>
                <w:b w:val="0"/>
                <w:color w:val="1E293B"/>
                <w:sz w:val="18"/>
              </w:rPr>
              <w:t>0.20</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760" w:type="dxa"/>
          </w:tcPr>
          <w:p>
            <w:pPr>
              <w:spacing w:before="0" w:after="0"/>
            </w:pPr>
            <w:r>
              <w:rPr>
                <w:rFonts w:ascii="Arial" w:hAnsi="Arial"/>
                <w:b w:val="0"/>
                <w:color w:val="1E293B"/>
                <w:sz w:val="18"/>
              </w:rPr>
              <w:t>14.40</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Regulatory &amp; Compliance</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200" w:type="dxa"/>
          </w:tcPr>
          <w:p>
            <w:pPr>
              <w:spacing w:before="0" w:after="0"/>
            </w:pPr>
            <w:r>
              <w:rPr>
                <w:rFonts w:ascii="Arial" w:hAnsi="Arial"/>
                <w:b w:val="0"/>
                <w:color w:val="1E293B"/>
                <w:sz w:val="18"/>
              </w:rPr>
              <w:t>2 direct obligations; 1 effective in 45 days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900" w:type="dxa"/>
          </w:tcPr>
          <w:p>
            <w:pPr>
              <w:spacing w:before="0" w:after="0"/>
            </w:pPr>
            <w:r>
              <w:rPr>
                <w:rFonts w:ascii="Arial" w:hAnsi="Arial"/>
                <w:b w:val="0"/>
                <w:color w:val="1E293B"/>
                <w:sz w:val="18"/>
              </w:rPr>
              <w:t>73</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900" w:type="dxa"/>
          </w:tcPr>
          <w:p>
            <w:pPr>
              <w:spacing w:before="0" w:after="0"/>
            </w:pPr>
            <w:r>
              <w:rPr>
                <w:rFonts w:ascii="Arial" w:hAnsi="Arial"/>
                <w:b w:val="0"/>
                <w:color w:val="1E293B"/>
                <w:sz w:val="18"/>
              </w:rPr>
              <w:t>0.20</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760" w:type="dxa"/>
          </w:tcPr>
          <w:p>
            <w:pPr>
              <w:spacing w:before="0" w:after="0"/>
            </w:pPr>
            <w:r>
              <w:rPr>
                <w:rFonts w:ascii="Arial" w:hAnsi="Arial"/>
                <w:b w:val="0"/>
                <w:color w:val="1E293B"/>
                <w:sz w:val="18"/>
              </w:rPr>
              <w:t>14.60</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Operational</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200" w:type="dxa"/>
          </w:tcPr>
          <w:p>
            <w:pPr>
              <w:spacing w:before="0" w:after="0"/>
            </w:pPr>
            <w:r>
              <w:rPr>
                <w:rFonts w:ascii="Arial" w:hAnsi="Arial"/>
                <w:b w:val="0"/>
                <w:color w:val="1E293B"/>
                <w:sz w:val="18"/>
              </w:rPr>
              <w:t>mild event signal; single-source dependency 55%</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900" w:type="dxa"/>
          </w:tcPr>
          <w:p>
            <w:pPr>
              <w:spacing w:before="0" w:after="0"/>
            </w:pPr>
            <w:r>
              <w:rPr>
                <w:rFonts w:ascii="Arial" w:hAnsi="Arial"/>
                <w:b w:val="0"/>
                <w:color w:val="1E293B"/>
                <w:sz w:val="18"/>
              </w:rPr>
              <w:t>55</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900" w:type="dxa"/>
          </w:tcPr>
          <w:p>
            <w:pPr>
              <w:spacing w:before="0" w:after="0"/>
            </w:pPr>
            <w:r>
              <w:rPr>
                <w:rFonts w:ascii="Arial" w:hAnsi="Arial"/>
                <w:b w:val="0"/>
                <w:color w:val="1E293B"/>
                <w:sz w:val="18"/>
              </w:rPr>
              <w:t>0.10</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760" w:type="dxa"/>
          </w:tcPr>
          <w:p>
            <w:pPr>
              <w:spacing w:before="0" w:after="0"/>
            </w:pPr>
            <w:r>
              <w:rPr>
                <w:rFonts w:ascii="Arial" w:hAnsi="Arial"/>
                <w:b w:val="0"/>
                <w:color w:val="1E293B"/>
                <w:sz w:val="18"/>
              </w:rPr>
              <w:t>5.50</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Financial Pressure</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200" w:type="dxa"/>
          </w:tcPr>
          <w:p>
            <w:pPr>
              <w:spacing w:before="0" w:after="0"/>
            </w:pPr>
            <w:r>
              <w:rPr>
                <w:rFonts w:ascii="Arial" w:hAnsi="Arial"/>
                <w:b w:val="0"/>
                <w:color w:val="1E293B"/>
                <w:sz w:val="18"/>
              </w:rPr>
              <w:t>cautious capex language in 10-Q; no going concern</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900" w:type="dxa"/>
          </w:tcPr>
          <w:p>
            <w:pPr>
              <w:spacing w:before="0" w:after="0"/>
            </w:pPr>
            <w:r>
              <w:rPr>
                <w:rFonts w:ascii="Arial" w:hAnsi="Arial"/>
                <w:b w:val="0"/>
                <w:color w:val="1E293B"/>
                <w:sz w:val="18"/>
              </w:rPr>
              <w:t>42</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900" w:type="dxa"/>
          </w:tcPr>
          <w:p>
            <w:pPr>
              <w:spacing w:before="0" w:after="0"/>
            </w:pPr>
            <w:r>
              <w:rPr>
                <w:rFonts w:ascii="Arial" w:hAnsi="Arial"/>
                <w:b w:val="0"/>
                <w:color w:val="1E293B"/>
                <w:sz w:val="18"/>
              </w:rPr>
              <w:t>0.10</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760" w:type="dxa"/>
          </w:tcPr>
          <w:p>
            <w:pPr>
              <w:spacing w:before="0" w:after="0"/>
            </w:pPr>
            <w:r>
              <w:rPr>
                <w:rFonts w:ascii="Arial" w:hAnsi="Arial"/>
                <w:b w:val="0"/>
                <w:color w:val="1E293B"/>
                <w:sz w:val="18"/>
              </w:rPr>
              <w:t>4.20</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Supply-Chain Propagation</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200" w:type="dxa"/>
          </w:tcPr>
          <w:p>
            <w:pPr>
              <w:spacing w:before="0" w:after="0"/>
            </w:pPr>
            <w:r>
              <w:rPr>
                <w:rFonts w:ascii="Arial" w:hAnsi="Arial"/>
                <w:b w:val="0"/>
                <w:color w:val="1E293B"/>
                <w:sz w:val="18"/>
              </w:rPr>
              <w:t>1 tier-1 supplier; score 58; volume_share 0.70</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900" w:type="dxa"/>
          </w:tcPr>
          <w:p>
            <w:pPr>
              <w:spacing w:before="0" w:after="0"/>
            </w:pPr>
            <w:r>
              <w:rPr>
                <w:rFonts w:ascii="Arial" w:hAnsi="Arial"/>
                <w:b w:val="0"/>
                <w:color w:val="1E293B"/>
                <w:sz w:val="18"/>
              </w:rPr>
              <w:t>58</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900" w:type="dxa"/>
          </w:tcPr>
          <w:p>
            <w:pPr>
              <w:spacing w:before="0" w:after="0"/>
            </w:pPr>
            <w:r>
              <w:rPr>
                <w:rFonts w:ascii="Arial" w:hAnsi="Arial"/>
                <w:b w:val="0"/>
                <w:color w:val="1E293B"/>
                <w:sz w:val="18"/>
              </w:rPr>
              <w:t>0.15</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760" w:type="dxa"/>
          </w:tcPr>
          <w:p>
            <w:pPr>
              <w:spacing w:before="0" w:after="0"/>
            </w:pPr>
            <w:r>
              <w:rPr>
                <w:rFonts w:ascii="Arial" w:hAnsi="Arial"/>
                <w:b w:val="0"/>
                <w:color w:val="1E293B"/>
                <w:sz w:val="18"/>
              </w:rPr>
              <w:t>8.70</w:t>
            </w:r>
          </w:p>
        </w:tc>
      </w:tr>
      <w:tr>
        <w:tc>
          <w:tcPr>
            <w:shd w:val="clear" w:color="auto" w:fill="DBEAFE"/>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color w:val="1E293B"/>
                <w:sz w:val="18"/>
              </w:rPr>
              <w:t>OVERALL SCORE</w:t>
            </w:r>
          </w:p>
        </w:tc>
        <w:tc>
          <w:tcPr>
            <w:shd w:val="clear" w:color="auto" w:fill="DBEAFE"/>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3200" w:type="dxa"/>
          </w:tcPr>
          <w:p>
            <w:pPr>
              <w:spacing w:before="0" w:after="0"/>
            </w:pPr>
            <w:r>
              <w:rPr>
                <w:rFonts w:ascii="Arial" w:hAnsi="Arial"/>
                <w:b w:val="0"/>
                <w:color w:val="1E293B"/>
                <w:sz w:val="18"/>
              </w:rPr>
            </w:r>
          </w:p>
        </w:tc>
        <w:tc>
          <w:tcPr>
            <w:shd w:val="clear" w:color="auto" w:fill="DBEAFE"/>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900" w:type="dxa"/>
          </w:tcPr>
          <w:p>
            <w:pPr>
              <w:spacing w:before="0" w:after="0"/>
            </w:pPr>
            <w:r>
              <w:rPr>
                <w:rFonts w:ascii="Arial" w:hAnsi="Arial"/>
                <w:b w:val="0"/>
                <w:color w:val="1E293B"/>
                <w:sz w:val="18"/>
              </w:rPr>
            </w:r>
          </w:p>
        </w:tc>
        <w:tc>
          <w:tcPr>
            <w:shd w:val="clear" w:color="auto" w:fill="DBEAFE"/>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900" w:type="dxa"/>
          </w:tcPr>
          <w:p>
            <w:pPr>
              <w:spacing w:before="0" w:after="0"/>
            </w:pPr>
            <w:r>
              <w:rPr>
                <w:rFonts w:ascii="Arial" w:hAnsi="Arial"/>
                <w:b w:val="0"/>
                <w:color w:val="1E293B"/>
                <w:sz w:val="18"/>
              </w:rPr>
            </w:r>
          </w:p>
        </w:tc>
        <w:tc>
          <w:tcPr>
            <w:shd w:val="clear" w:color="auto" w:fill="DBEAFE"/>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760" w:type="dxa"/>
          </w:tcPr>
          <w:p>
            <w:pPr>
              <w:spacing w:before="0" w:after="0"/>
            </w:pPr>
            <w:r>
              <w:rPr>
                <w:rFonts w:ascii="Arial" w:hAnsi="Arial"/>
                <w:b/>
                <w:color w:val="1E2761"/>
                <w:sz w:val="18"/>
              </w:rPr>
              <w:t>68.2 — HIGH</w:t>
            </w:r>
          </w:p>
        </w:tc>
      </w:tr>
    </w:tbl>
    <w:p/>
    <w:p>
      <w:pPr>
        <w:spacing w:before="40" w:after="60"/>
      </w:pPr>
      <w:r>
        <w:rPr>
          <w:rFonts w:ascii="Arial" w:hAnsi="Arial"/>
          <w:b w:val="0"/>
          <w:i w:val="0"/>
          <w:color w:val="1E293B"/>
          <w:sz w:val="22"/>
        </w:rPr>
        <w:t>Result: 68.2 — High band. The combination of high geopolitical concentration, near-term regulatory deadline, and elevated supplier risk warrants active monitoring. Not yet critical-tier but trajectory risk is elevated.</w:t>
      </w:r>
    </w:p>
    <w:p>
      <w:pPr>
        <w:spacing w:before="0" w:after="60"/>
      </w:pPr>
    </w:p>
    <w:p>
      <w:pPr>
        <w:pStyle w:val="Heading2"/>
        <w:spacing w:before="160" w:after="60"/>
      </w:pPr>
      <w:r>
        <w:rPr>
          <w:rFonts w:ascii="Arial" w:hAnsi="Arial"/>
          <w:color w:val="028090"/>
          <w:sz w:val="36"/>
        </w:rPr>
        <w:t>8.1  Score Bands</w:t>
      </w:r>
    </w:p>
    <w:tbl>
      <w:tblPr>
        <w:tblLook w:firstColumn="1" w:firstRow="1" w:lastColumn="0" w:lastRow="0" w:noHBand="0" w:noVBand="1" w:val="04A0"/>
        <w:tblStyle w:val="TableGrid"/>
        <w:tblW w:w="9360" w:type="dxa"/>
      </w:tblPr>
      <w:tblGrid>
        <w:gridCol w:w="3120"/>
        <w:gridCol w:w="3120"/>
        <w:gridCol w:w="3120"/>
      </w:tblGrid>
      <w:tr>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1500" w:type="dxa"/>
          </w:tcPr>
          <w:p>
            <w:pPr>
              <w:spacing w:before="0" w:after="0"/>
            </w:pPr>
            <w:r>
              <w:rPr>
                <w:rFonts w:ascii="Arial" w:hAnsi="Arial"/>
                <w:b/>
                <w:color w:val="FFFFFF"/>
                <w:sz w:val="19"/>
              </w:rPr>
              <w:t>Band</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1300" w:type="dxa"/>
          </w:tcPr>
          <w:p>
            <w:pPr>
              <w:spacing w:before="0" w:after="0"/>
            </w:pPr>
            <w:r>
              <w:rPr>
                <w:rFonts w:ascii="Arial" w:hAnsi="Arial"/>
                <w:b/>
                <w:color w:val="FFFFFF"/>
                <w:sz w:val="19"/>
              </w:rPr>
              <w:t>Range</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6560" w:type="dxa"/>
          </w:tcPr>
          <w:p>
            <w:pPr>
              <w:spacing w:before="0" w:after="0"/>
            </w:pPr>
            <w:r>
              <w:rPr>
                <w:rFonts w:ascii="Arial" w:hAnsi="Arial"/>
                <w:b/>
                <w:color w:val="FFFFFF"/>
                <w:sz w:val="19"/>
              </w:rPr>
              <w:t>Meaning</w:t>
            </w:r>
          </w:p>
        </w:tc>
      </w:tr>
      <w:tr>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500" w:type="dxa"/>
          </w:tcPr>
          <w:p>
            <w:pPr>
              <w:spacing w:before="0" w:after="0"/>
            </w:pPr>
            <w:r>
              <w:rPr>
                <w:rFonts w:ascii="Arial" w:hAnsi="Arial"/>
                <w:b/>
                <w:color w:val="1E293B"/>
                <w:sz w:val="18"/>
              </w:rPr>
              <w:t>LOW</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300" w:type="dxa"/>
          </w:tcPr>
          <w:p>
            <w:pPr>
              <w:spacing w:before="0" w:after="0"/>
            </w:pPr>
            <w:r>
              <w:rPr>
                <w:rFonts w:ascii="Arial" w:hAnsi="Arial"/>
                <w:b w:val="0"/>
                <w:color w:val="1E293B"/>
                <w:sz w:val="18"/>
              </w:rPr>
              <w:t>0–34</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6560" w:type="dxa"/>
          </w:tcPr>
          <w:p>
            <w:pPr>
              <w:spacing w:before="0" w:after="0"/>
            </w:pPr>
            <w:r>
              <w:rPr>
                <w:rFonts w:ascii="Arial" w:hAnsi="Arial"/>
                <w:b w:val="0"/>
                <w:color w:val="1E293B"/>
                <w:sz w:val="18"/>
              </w:rPr>
              <w:t>Monitor only. Not a headline report topic unless trend is consistently worsening.</w:t>
            </w:r>
          </w:p>
        </w:tc>
      </w:tr>
      <w:tr>
        <w:tc>
          <w:tcPr>
            <w:shd w:val="clear" w:color="auto" w:fill="FEF3C7"/>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500" w:type="dxa"/>
          </w:tcPr>
          <w:p>
            <w:pPr>
              <w:spacing w:before="0" w:after="0"/>
            </w:pPr>
            <w:r>
              <w:rPr>
                <w:rFonts w:ascii="Arial" w:hAnsi="Arial"/>
                <w:b/>
                <w:color w:val="1E293B"/>
                <w:sz w:val="18"/>
              </w:rPr>
              <w:t>MODERATE</w:t>
            </w:r>
          </w:p>
        </w:tc>
        <w:tc>
          <w:tcPr>
            <w:shd w:val="clear" w:color="auto" w:fill="FEF3C7"/>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300" w:type="dxa"/>
          </w:tcPr>
          <w:p>
            <w:pPr>
              <w:spacing w:before="0" w:after="0"/>
            </w:pPr>
            <w:r>
              <w:rPr>
                <w:rFonts w:ascii="Arial" w:hAnsi="Arial"/>
                <w:b w:val="0"/>
                <w:color w:val="1E293B"/>
                <w:sz w:val="18"/>
              </w:rPr>
              <w:t>35–54</w:t>
            </w:r>
          </w:p>
        </w:tc>
        <w:tc>
          <w:tcPr>
            <w:shd w:val="clear" w:color="auto" w:fill="FEF3C7"/>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6560" w:type="dxa"/>
          </w:tcPr>
          <w:p>
            <w:pPr>
              <w:spacing w:before="0" w:after="0"/>
            </w:pPr>
            <w:r>
              <w:rPr>
                <w:rFonts w:ascii="Arial" w:hAnsi="Arial"/>
                <w:b w:val="0"/>
                <w:color w:val="1E293B"/>
                <w:sz w:val="18"/>
              </w:rPr>
              <w:t>Worth noting where material exposure is high or score trajectory is upward.</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500" w:type="dxa"/>
          </w:tcPr>
          <w:p>
            <w:pPr>
              <w:spacing w:before="0" w:after="0"/>
            </w:pPr>
            <w:r>
              <w:rPr>
                <w:rFonts w:ascii="Arial" w:hAnsi="Arial"/>
                <w:b w:val="0"/>
                <w:color w:val="1E293B"/>
                <w:sz w:val="18"/>
              </w:rPr>
              <w:t>HIGH</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300" w:type="dxa"/>
          </w:tcPr>
          <w:p>
            <w:pPr>
              <w:spacing w:before="0" w:after="0"/>
            </w:pPr>
            <w:r>
              <w:rPr>
                <w:rFonts w:ascii="Arial" w:hAnsi="Arial"/>
                <w:b w:val="0"/>
                <w:color w:val="1E293B"/>
                <w:sz w:val="18"/>
              </w:rPr>
              <w:t>55–74</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6560" w:type="dxa"/>
          </w:tcPr>
          <w:p>
            <w:pPr>
              <w:spacing w:before="0" w:after="0"/>
            </w:pPr>
            <w:r>
              <w:rPr>
                <w:rFonts w:ascii="Arial" w:hAnsi="Arial"/>
                <w:b w:val="0"/>
                <w:color w:val="1E293B"/>
                <w:sz w:val="18"/>
              </w:rPr>
              <w:t>Surface in supply chain and investor reports with full rationale and top evidence.</w:t>
            </w:r>
          </w:p>
        </w:tc>
      </w:tr>
      <w:tr>
        <w:tc>
          <w:tcPr>
            <w:shd w:val="clear" w:color="auto" w:fill="FEE2E2"/>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500" w:type="dxa"/>
          </w:tcPr>
          <w:p>
            <w:pPr>
              <w:spacing w:before="0" w:after="0"/>
            </w:pPr>
            <w:r>
              <w:rPr>
                <w:rFonts w:ascii="Arial" w:hAnsi="Arial"/>
                <w:b/>
                <w:color w:val="1E293B"/>
                <w:sz w:val="18"/>
              </w:rPr>
              <w:t>CRITICAL</w:t>
            </w:r>
          </w:p>
        </w:tc>
        <w:tc>
          <w:tcPr>
            <w:shd w:val="clear" w:color="auto" w:fill="FEE2E2"/>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300" w:type="dxa"/>
          </w:tcPr>
          <w:p>
            <w:pPr>
              <w:spacing w:before="0" w:after="0"/>
            </w:pPr>
            <w:r>
              <w:rPr>
                <w:rFonts w:ascii="Arial" w:hAnsi="Arial"/>
                <w:b w:val="0"/>
                <w:color w:val="1E293B"/>
                <w:sz w:val="18"/>
              </w:rPr>
              <w:t>75–100</w:t>
            </w:r>
          </w:p>
        </w:tc>
        <w:tc>
          <w:tcPr>
            <w:shd w:val="clear" w:color="auto" w:fill="FEE2E2"/>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6560" w:type="dxa"/>
          </w:tcPr>
          <w:p>
            <w:pPr>
              <w:spacing w:before="0" w:after="0"/>
            </w:pPr>
            <w:r>
              <w:rPr>
                <w:rFonts w:ascii="Arial" w:hAnsi="Arial"/>
                <w:b w:val="0"/>
                <w:color w:val="1E293B"/>
                <w:sz w:val="18"/>
              </w:rPr>
              <w:t>Escalate to priority watchlist. Lead report section with supporting evidence. Flag for analyst review.</w:t>
            </w:r>
          </w:p>
        </w:tc>
      </w:tr>
    </w:tbl>
    <w:p/>
    <w:p>
      <w:pPr>
        <w:pStyle w:val="Heading1"/>
        <w:pageBreakBefore/>
        <w:spacing w:before="200" w:after="100"/>
      </w:pPr>
      <w:r>
        <w:rPr>
          <w:rFonts w:ascii="Arial" w:hAnsi="Arial"/>
          <w:color w:val="1E2761"/>
          <w:sz w:val="48"/>
        </w:rPr>
        <w:t>9.  Planned Infrastructure</w:t>
      </w:r>
    </w:p>
    <w:p>
      <w:pPr>
        <w:spacing w:before="40" w:after="60"/>
      </w:pPr>
      <w:r>
        <w:rPr>
          <w:rFonts w:ascii="Arial" w:hAnsi="Arial"/>
          <w:b w:val="0"/>
          <w:i w:val="0"/>
          <w:color w:val="1E293B"/>
          <w:sz w:val="22"/>
        </w:rPr>
        <w:t>The current stack runs entirely via CLI against Neon Postgres with no deployed services. The recommendations below reflect the target architecture for the report-generation and early SaaS phases.</w:t>
      </w:r>
    </w:p>
    <w:p>
      <w:pPr>
        <w:spacing w:before="0" w:after="60"/>
      </w:pPr>
    </w:p>
    <w:tbl>
      <w:tblPr>
        <w:tblLook w:firstColumn="1" w:firstRow="1" w:lastColumn="0" w:lastRow="0" w:noHBand="0" w:noVBand="1" w:val="04A0"/>
        <w:tblStyle w:val="TableGrid"/>
        <w:tblW w:w="9360" w:type="dxa"/>
      </w:tblPr>
      <w:tblGrid>
        <w:gridCol w:w="2340"/>
        <w:gridCol w:w="2340"/>
        <w:gridCol w:w="2340"/>
        <w:gridCol w:w="2340"/>
      </w:tblGrid>
      <w:tr>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1500" w:type="dxa"/>
          </w:tcPr>
          <w:p>
            <w:pPr>
              <w:spacing w:before="0" w:after="0"/>
            </w:pPr>
            <w:r>
              <w:rPr>
                <w:rFonts w:ascii="Arial" w:hAnsi="Arial"/>
                <w:b/>
                <w:color w:val="FFFFFF"/>
                <w:sz w:val="19"/>
              </w:rPr>
              <w:t>Layer</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2000" w:type="dxa"/>
          </w:tcPr>
          <w:p>
            <w:pPr>
              <w:spacing w:before="0" w:after="0"/>
            </w:pPr>
            <w:r>
              <w:rPr>
                <w:rFonts w:ascii="Arial" w:hAnsi="Arial"/>
                <w:b/>
                <w:color w:val="FFFFFF"/>
                <w:sz w:val="19"/>
              </w:rPr>
              <w:t>Service</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1300" w:type="dxa"/>
          </w:tcPr>
          <w:p>
            <w:pPr>
              <w:spacing w:before="0" w:after="0"/>
            </w:pPr>
            <w:r>
              <w:rPr>
                <w:rFonts w:ascii="Arial" w:hAnsi="Arial"/>
                <w:b/>
                <w:color w:val="FFFFFF"/>
                <w:sz w:val="19"/>
              </w:rPr>
              <w:t>Status</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4560" w:type="dxa"/>
          </w:tcPr>
          <w:p>
            <w:pPr>
              <w:spacing w:before="0" w:after="0"/>
            </w:pPr>
            <w:r>
              <w:rPr>
                <w:rFonts w:ascii="Arial" w:hAnsi="Arial"/>
                <w:b/>
                <w:color w:val="FFFFFF"/>
                <w:sz w:val="19"/>
              </w:rPr>
              <w:t>Rationale</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500" w:type="dxa"/>
          </w:tcPr>
          <w:p>
            <w:pPr>
              <w:spacing w:before="0" w:after="0"/>
            </w:pPr>
            <w:r>
              <w:rPr>
                <w:rFonts w:ascii="Arial" w:hAnsi="Arial"/>
                <w:b w:val="0"/>
                <w:color w:val="1E293B"/>
                <w:sz w:val="18"/>
              </w:rPr>
              <w:t>Presentation</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Vercel / Next.js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300" w:type="dxa"/>
          </w:tcPr>
          <w:p>
            <w:pPr>
              <w:spacing w:before="0" w:after="0"/>
            </w:pPr>
            <w:r>
              <w:rPr>
                <w:rFonts w:ascii="Arial" w:hAnsi="Arial"/>
                <w:b w:val="0"/>
                <w:color w:val="1E293B"/>
                <w:sz w:val="18"/>
              </w:rPr>
              <w:t>Planned</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560" w:type="dxa"/>
          </w:tcPr>
          <w:p>
            <w:pPr>
              <w:spacing w:before="0" w:after="0"/>
            </w:pPr>
            <w:r>
              <w:rPr>
                <w:rFonts w:ascii="Arial" w:hAnsi="Arial"/>
                <w:b w:val="0"/>
                <w:color w:val="1E293B"/>
                <w:sz w:val="18"/>
              </w:rPr>
              <w:t>Free tier; SSR + edge; native Clerk integration</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500" w:type="dxa"/>
          </w:tcPr>
          <w:p>
            <w:pPr>
              <w:spacing w:before="0" w:after="0"/>
            </w:pPr>
            <w:r>
              <w:rPr>
                <w:rFonts w:ascii="Arial" w:hAnsi="Arial"/>
                <w:b w:val="0"/>
                <w:color w:val="1E293B"/>
                <w:sz w:val="18"/>
              </w:rPr>
              <w:t>Application API</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Railway / FastAPI</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300" w:type="dxa"/>
          </w:tcPr>
          <w:p>
            <w:pPr>
              <w:spacing w:before="0" w:after="0"/>
            </w:pPr>
            <w:r>
              <w:rPr>
                <w:rFonts w:ascii="Arial" w:hAnsi="Arial"/>
                <w:b w:val="0"/>
                <w:color w:val="1E293B"/>
                <w:sz w:val="18"/>
              </w:rPr>
              <w:t>Planned</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560" w:type="dxa"/>
          </w:tcPr>
          <w:p>
            <w:pPr>
              <w:spacing w:before="0" w:after="0"/>
            </w:pPr>
            <w:r>
              <w:rPr>
                <w:rFonts w:ascii="Arial" w:hAnsi="Arial"/>
                <w:b w:val="0"/>
                <w:color w:val="1E293B"/>
                <w:sz w:val="18"/>
              </w:rPr>
              <w:t>Usage-based billing (~$3–5/mo at low volume). No cold starts on paid plan vs. Render starter tier.</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500" w:type="dxa"/>
          </w:tcPr>
          <w:p>
            <w:pPr>
              <w:spacing w:before="0" w:after="0"/>
            </w:pPr>
            <w:r>
              <w:rPr>
                <w:rFonts w:ascii="Arial" w:hAnsi="Arial"/>
                <w:b w:val="0"/>
                <w:color w:val="1E293B"/>
                <w:sz w:val="18"/>
              </w:rPr>
              <w:t>Async Workers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Modal.com</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300" w:type="dxa"/>
          </w:tcPr>
          <w:p>
            <w:pPr>
              <w:spacing w:before="0" w:after="0"/>
            </w:pPr>
            <w:r>
              <w:rPr>
                <w:rFonts w:ascii="Arial" w:hAnsi="Arial"/>
                <w:b w:val="0"/>
                <w:color w:val="1E293B"/>
                <w:sz w:val="18"/>
              </w:rPr>
              <w:t>Planned</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560" w:type="dxa"/>
          </w:tcPr>
          <w:p>
            <w:pPr>
              <w:spacing w:before="0" w:after="0"/>
            </w:pPr>
            <w:r>
              <w:rPr>
                <w:rFonts w:ascii="Arial" w:hAnsi="Arial"/>
                <w:b w:val="0"/>
                <w:color w:val="1E293B"/>
                <w:sz w:val="18"/>
              </w:rPr>
              <w:t>Serverless Python; pay-per-second; ~$0.003 per 3-minute ingestion run. GPU-ready for future ML scoring.</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500" w:type="dxa"/>
          </w:tcPr>
          <w:p>
            <w:pPr>
              <w:spacing w:before="0" w:after="0"/>
            </w:pPr>
            <w:r>
              <w:rPr>
                <w:rFonts w:ascii="Arial" w:hAnsi="Arial"/>
                <w:b w:val="0"/>
                <w:color w:val="1E293B"/>
                <w:sz w:val="18"/>
              </w:rPr>
              <w:t>Workflow + Queue</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Inngest</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300" w:type="dxa"/>
          </w:tcPr>
          <w:p>
            <w:pPr>
              <w:spacing w:before="0" w:after="0"/>
            </w:pPr>
            <w:r>
              <w:rPr>
                <w:rFonts w:ascii="Arial" w:hAnsi="Arial"/>
                <w:b w:val="0"/>
                <w:color w:val="1E293B"/>
                <w:sz w:val="18"/>
              </w:rPr>
              <w:t>Planned</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560" w:type="dxa"/>
          </w:tcPr>
          <w:p>
            <w:pPr>
              <w:spacing w:before="0" w:after="0"/>
            </w:pPr>
            <w:r>
              <w:rPr>
                <w:rFonts w:ascii="Arial" w:hAnsi="Arial"/>
                <w:b w:val="0"/>
                <w:color w:val="1E293B"/>
                <w:sz w:val="18"/>
              </w:rPr>
              <w:t>Replaces cron + Redis + queue. Native retry, fan-out, execution dashboard. Free tier. Eliminates ~$10–15/mo Redis cost.</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500" w:type="dxa"/>
          </w:tcPr>
          <w:p>
            <w:pPr>
              <w:spacing w:before="0" w:after="0"/>
            </w:pPr>
            <w:r>
              <w:rPr>
                <w:rFonts w:ascii="Arial" w:hAnsi="Arial"/>
                <w:b w:val="0"/>
                <w:color w:val="1E293B"/>
                <w:sz w:val="18"/>
              </w:rPr>
              <w:t>Database</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Neon Postgres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300" w:type="dxa"/>
          </w:tcPr>
          <w:p>
            <w:pPr>
              <w:spacing w:before="0" w:after="0"/>
            </w:pPr>
            <w:r>
              <w:rPr>
                <w:rFonts w:ascii="Arial" w:hAnsi="Arial"/>
                <w:b w:val="0"/>
                <w:color w:val="1E293B"/>
                <w:sz w:val="18"/>
              </w:rPr>
              <w:t>Active</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560" w:type="dxa"/>
          </w:tcPr>
          <w:p>
            <w:pPr>
              <w:spacing w:before="0" w:after="0"/>
            </w:pPr>
            <w:r>
              <w:rPr>
                <w:rFonts w:ascii="Arial" w:hAnsi="Arial"/>
                <w:b w:val="0"/>
                <w:color w:val="1E293B"/>
                <w:sz w:val="18"/>
              </w:rPr>
              <w:t>Serverless billing; free tier; pgvector available natively at no additional cost</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500" w:type="dxa"/>
          </w:tcPr>
          <w:p>
            <w:pPr>
              <w:spacing w:before="0" w:after="0"/>
            </w:pPr>
            <w:r>
              <w:rPr>
                <w:rFonts w:ascii="Arial" w:hAnsi="Arial"/>
                <w:b w:val="0"/>
                <w:color w:val="1E293B"/>
                <w:sz w:val="18"/>
              </w:rPr>
              <w:t>Object Storage</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Cloudflare R2</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300" w:type="dxa"/>
          </w:tcPr>
          <w:p>
            <w:pPr>
              <w:spacing w:before="0" w:after="0"/>
            </w:pPr>
            <w:r>
              <w:rPr>
                <w:rFonts w:ascii="Arial" w:hAnsi="Arial"/>
                <w:b w:val="0"/>
                <w:color w:val="1E293B"/>
                <w:sz w:val="18"/>
              </w:rPr>
              <w:t>Partial (referenced)</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560" w:type="dxa"/>
          </w:tcPr>
          <w:p>
            <w:pPr>
              <w:spacing w:before="0" w:after="0"/>
            </w:pPr>
            <w:r>
              <w:rPr>
                <w:rFonts w:ascii="Arial" w:hAnsi="Arial"/>
                <w:b w:val="0"/>
                <w:color w:val="1E293B"/>
                <w:sz w:val="18"/>
              </w:rPr>
              <w:t>Zero egress cost vs. $0.09/GB on S3. S3-compatible API. raw_storage_path references exist in code; active writes not yet implemented.</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500" w:type="dxa"/>
          </w:tcPr>
          <w:p>
            <w:pPr>
              <w:spacing w:before="0" w:after="0"/>
            </w:pPr>
            <w:r>
              <w:rPr>
                <w:rFonts w:ascii="Arial" w:hAnsi="Arial"/>
                <w:b w:val="0"/>
                <w:color w:val="1E293B"/>
                <w:sz w:val="18"/>
              </w:rPr>
              <w:t>Auth</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Clerk</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300" w:type="dxa"/>
          </w:tcPr>
          <w:p>
            <w:pPr>
              <w:spacing w:before="0" w:after="0"/>
            </w:pPr>
            <w:r>
              <w:rPr>
                <w:rFonts w:ascii="Arial" w:hAnsi="Arial"/>
                <w:b w:val="0"/>
                <w:color w:val="1E293B"/>
                <w:sz w:val="18"/>
              </w:rPr>
              <w:t>Schema ready</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560" w:type="dxa"/>
          </w:tcPr>
          <w:p>
            <w:pPr>
              <w:spacing w:before="0" w:after="0"/>
            </w:pPr>
            <w:r>
              <w:rPr>
                <w:rFonts w:ascii="Arial" w:hAnsi="Arial"/>
                <w:b w:val="0"/>
                <w:color w:val="1E293B"/>
                <w:sz w:val="18"/>
              </w:rPr>
              <w:t>tenants + users tables already reference clerk_org_id / clerk_user_id. Integration not yet installed. Free to 10k MAU.</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500" w:type="dxa"/>
          </w:tcPr>
          <w:p>
            <w:pPr>
              <w:spacing w:before="0" w:after="0"/>
            </w:pPr>
            <w:r>
              <w:rPr>
                <w:rFonts w:ascii="Arial" w:hAnsi="Arial"/>
                <w:b w:val="0"/>
                <w:color w:val="1E293B"/>
                <w:sz w:val="18"/>
              </w:rPr>
              <w:t>Error Tracking</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Sentry</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300" w:type="dxa"/>
          </w:tcPr>
          <w:p>
            <w:pPr>
              <w:spacing w:before="0" w:after="0"/>
            </w:pPr>
            <w:r>
              <w:rPr>
                <w:rFonts w:ascii="Arial" w:hAnsi="Arial"/>
                <w:b w:val="0"/>
                <w:color w:val="1E293B"/>
                <w:sz w:val="18"/>
              </w:rPr>
              <w:t>Planned</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560" w:type="dxa"/>
          </w:tcPr>
          <w:p>
            <w:pPr>
              <w:spacing w:before="0" w:after="0"/>
            </w:pPr>
            <w:r>
              <w:rPr>
                <w:rFonts w:ascii="Arial" w:hAnsi="Arial"/>
                <w:b w:val="0"/>
                <w:color w:val="1E293B"/>
                <w:sz w:val="18"/>
              </w:rPr>
              <w:t>Free tier sufficient. Critical before production ingestion — silent failures returning stale scores undermine report credibility.</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500" w:type="dxa"/>
          </w:tcPr>
          <w:p>
            <w:pPr>
              <w:spacing w:before="0" w:after="0"/>
            </w:pPr>
            <w:r>
              <w:rPr>
                <w:rFonts w:ascii="Arial" w:hAnsi="Arial"/>
                <w:b w:val="0"/>
                <w:color w:val="1E293B"/>
                <w:sz w:val="18"/>
              </w:rPr>
              <w:t>Logging</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Axiom</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300" w:type="dxa"/>
          </w:tcPr>
          <w:p>
            <w:pPr>
              <w:spacing w:before="0" w:after="0"/>
            </w:pPr>
            <w:r>
              <w:rPr>
                <w:rFonts w:ascii="Arial" w:hAnsi="Arial"/>
                <w:b w:val="0"/>
                <w:color w:val="1E293B"/>
                <w:sz w:val="18"/>
              </w:rPr>
              <w:t>Planned</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560" w:type="dxa"/>
          </w:tcPr>
          <w:p>
            <w:pPr>
              <w:spacing w:before="0" w:after="0"/>
            </w:pPr>
            <w:r>
              <w:rPr>
                <w:rFonts w:ascii="Arial" w:hAnsi="Arial"/>
                <w:b w:val="0"/>
                <w:color w:val="1E293B"/>
                <w:sz w:val="18"/>
              </w:rPr>
              <w:t>500 GB/mo free. Structured log queries (e.g. all ingestion runs for a company with partial_success). Not possible with plain stdout.</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500" w:type="dxa"/>
          </w:tcPr>
          <w:p>
            <w:pPr>
              <w:spacing w:before="0" w:after="0"/>
            </w:pPr>
            <w:r>
              <w:rPr>
                <w:rFonts w:ascii="Arial" w:hAnsi="Arial"/>
                <w:b w:val="0"/>
                <w:color w:val="1E293B"/>
                <w:sz w:val="18"/>
              </w:rPr>
              <w:t>Semantic Search</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Neon pgvector + tsvector</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300" w:type="dxa"/>
          </w:tcPr>
          <w:p>
            <w:pPr>
              <w:spacing w:before="0" w:after="0"/>
            </w:pPr>
            <w:r>
              <w:rPr>
                <w:rFonts w:ascii="Arial" w:hAnsi="Arial"/>
                <w:b w:val="0"/>
                <w:color w:val="1E293B"/>
                <w:sz w:val="18"/>
              </w:rPr>
              <w:t>Planned</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560" w:type="dxa"/>
          </w:tcPr>
          <w:p>
            <w:pPr>
              <w:spacing w:before="0" w:after="0"/>
            </w:pPr>
            <w:r>
              <w:rPr>
                <w:rFonts w:ascii="Arial" w:hAnsi="Arial"/>
                <w:b w:val="0"/>
                <w:color w:val="1E293B"/>
                <w:sz w:val="18"/>
              </w:rPr>
              <w:t>tsvector for keyword search; pgvector for semantic search over risk_events and documents. Zero additional infrastructure cost.</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500" w:type="dxa"/>
          </w:tcPr>
          <w:p>
            <w:pPr>
              <w:spacing w:before="0" w:after="0"/>
            </w:pPr>
            <w:r>
              <w:rPr>
                <w:rFonts w:ascii="Arial" w:hAnsi="Arial"/>
                <w:b w:val="0"/>
                <w:color w:val="1E293B"/>
                <w:sz w:val="18"/>
              </w:rPr>
              <w:t>Billing</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000" w:type="dxa"/>
          </w:tcPr>
          <w:p>
            <w:pPr>
              <w:spacing w:before="0" w:after="0"/>
            </w:pPr>
            <w:r>
              <w:rPr>
                <w:rFonts w:ascii="Arial" w:hAnsi="Arial"/>
                <w:b w:val="0"/>
                <w:color w:val="1E293B"/>
                <w:sz w:val="18"/>
              </w:rPr>
              <w:t>Stripe + Lago</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300" w:type="dxa"/>
          </w:tcPr>
          <w:p>
            <w:pPr>
              <w:spacing w:before="0" w:after="0"/>
            </w:pPr>
            <w:r>
              <w:rPr>
                <w:rFonts w:ascii="Arial" w:hAnsi="Arial"/>
                <w:b w:val="0"/>
                <w:color w:val="1E293B"/>
                <w:sz w:val="18"/>
              </w:rPr>
              <w:t>Future</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560" w:type="dxa"/>
          </w:tcPr>
          <w:p>
            <w:pPr>
              <w:spacing w:before="0" w:after="0"/>
            </w:pPr>
            <w:r>
              <w:rPr>
                <w:rFonts w:ascii="Arial" w:hAnsi="Arial"/>
                <w:b w:val="0"/>
                <w:color w:val="1E293B"/>
                <w:sz w:val="18"/>
              </w:rPr>
              <w:t>Stripe for payments; Lago (open-source) for usage metering. usage_events table already designed for this.</w:t>
            </w:r>
          </w:p>
        </w:tc>
      </w:tr>
    </w:tbl>
    <w:p/>
    <w:p>
      <w:pPr>
        <w:pStyle w:val="Heading2"/>
        <w:spacing w:before="160" w:after="60"/>
      </w:pPr>
      <w:r>
        <w:rPr>
          <w:rFonts w:ascii="Arial" w:hAnsi="Arial"/>
          <w:color w:val="028090"/>
          <w:sz w:val="36"/>
        </w:rPr>
        <w:t>9.1  Infrastructure Cost Comparison</w:t>
      </w:r>
    </w:p>
    <w:tbl>
      <w:tblPr>
        <w:tblLook w:firstColumn="1" w:firstRow="1" w:lastColumn="0" w:lastRow="0" w:noHBand="0" w:noVBand="1" w:val="04A0"/>
        <w:tblStyle w:val="TableGrid"/>
        <w:tblW w:w="9360" w:type="dxa"/>
      </w:tblPr>
      <w:tblGrid>
        <w:gridCol w:w="3120"/>
        <w:gridCol w:w="3120"/>
        <w:gridCol w:w="3120"/>
      </w:tblGrid>
      <w:tr>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2400" w:type="dxa"/>
          </w:tcPr>
          <w:p>
            <w:pPr>
              <w:spacing w:before="0" w:after="0"/>
            </w:pPr>
            <w:r>
              <w:rPr>
                <w:rFonts w:ascii="Arial" w:hAnsi="Arial"/>
                <w:b/>
                <w:color w:val="FFFFFF"/>
                <w:sz w:val="19"/>
              </w:rPr>
              <w:t>Component</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2800" w:type="dxa"/>
          </w:tcPr>
          <w:p>
            <w:pPr>
              <w:spacing w:before="0" w:after="0"/>
            </w:pPr>
            <w:r>
              <w:rPr>
                <w:rFonts w:ascii="Arial" w:hAnsi="Arial"/>
                <w:b/>
                <w:color w:val="FFFFFF"/>
                <w:sz w:val="19"/>
              </w:rPr>
              <w:t>Current Stack</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4160" w:type="dxa"/>
          </w:tcPr>
          <w:p>
            <w:pPr>
              <w:spacing w:before="0" w:after="0"/>
            </w:pPr>
            <w:r>
              <w:rPr>
                <w:rFonts w:ascii="Arial" w:hAnsi="Arial"/>
                <w:b/>
                <w:color w:val="FFFFFF"/>
                <w:sz w:val="19"/>
              </w:rPr>
              <w:t>Target Stack</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FastAPI host</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Render ~$7/mo (always-on)</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160" w:type="dxa"/>
          </w:tcPr>
          <w:p>
            <w:pPr>
              <w:spacing w:before="0" w:after="0"/>
            </w:pPr>
            <w:r>
              <w:rPr>
                <w:rFonts w:ascii="Arial" w:hAnsi="Arial"/>
                <w:b w:val="0"/>
                <w:color w:val="1E293B"/>
                <w:sz w:val="18"/>
              </w:rPr>
              <w:t>Railway ~$3–5/mo (usage-based, no cold starts)</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Background workers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Render ~$7/mo per worker</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160" w:type="dxa"/>
          </w:tcPr>
          <w:p>
            <w:pPr>
              <w:spacing w:before="0" w:after="0"/>
            </w:pPr>
            <w:r>
              <w:rPr>
                <w:rFonts w:ascii="Arial" w:hAnsi="Arial"/>
                <w:b w:val="0"/>
                <w:color w:val="1E293B"/>
                <w:sz w:val="18"/>
              </w:rPr>
              <w:t>Modal.com ~$0–2/mo (serverless, pay-per-second)</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Cron scheduling</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Render ~$7/mo</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160" w:type="dxa"/>
          </w:tcPr>
          <w:p>
            <w:pPr>
              <w:spacing w:before="0" w:after="0"/>
            </w:pPr>
            <w:r>
              <w:rPr>
                <w:rFonts w:ascii="Arial" w:hAnsi="Arial"/>
                <w:b w:val="0"/>
                <w:color w:val="1E293B"/>
                <w:sz w:val="18"/>
              </w:rPr>
              <w:t>Inngest $0 (free tier)</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Queue / broker</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Redis ~$10–15/mo (implicit need)</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160" w:type="dxa"/>
          </w:tcPr>
          <w:p>
            <w:pPr>
              <w:spacing w:before="0" w:after="0"/>
            </w:pPr>
            <w:r>
              <w:rPr>
                <w:rFonts w:ascii="Arial" w:hAnsi="Arial"/>
                <w:b w:val="0"/>
                <w:color w:val="1E293B"/>
                <w:sz w:val="18"/>
              </w:rPr>
              <w:t>Inngest $0 (built-in, no broker needed)</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Auth</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Not addressed</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160" w:type="dxa"/>
          </w:tcPr>
          <w:p>
            <w:pPr>
              <w:spacing w:before="0" w:after="0"/>
            </w:pPr>
            <w:r>
              <w:rPr>
                <w:rFonts w:ascii="Arial" w:hAnsi="Arial"/>
                <w:b w:val="0"/>
                <w:color w:val="1E293B"/>
                <w:sz w:val="18"/>
              </w:rPr>
              <w:t>Clerk $0 (to 10k MAU)</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Observability</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Not addressed</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160" w:type="dxa"/>
          </w:tcPr>
          <w:p>
            <w:pPr>
              <w:spacing w:before="0" w:after="0"/>
            </w:pPr>
            <w:r>
              <w:rPr>
                <w:rFonts w:ascii="Arial" w:hAnsi="Arial"/>
                <w:b w:val="0"/>
                <w:color w:val="1E293B"/>
                <w:sz w:val="18"/>
              </w:rPr>
              <w:t>Sentry + Axiom $0 (free tiers)</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Database</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Neon $0 (free tier)</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160" w:type="dxa"/>
          </w:tcPr>
          <w:p>
            <w:pPr>
              <w:spacing w:before="0" w:after="0"/>
            </w:pPr>
            <w:r>
              <w:rPr>
                <w:rFonts w:ascii="Arial" w:hAnsi="Arial"/>
                <w:b w:val="0"/>
                <w:color w:val="1E293B"/>
                <w:sz w:val="18"/>
              </w:rPr>
              <w:t>Neon $0 (unchanged)</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val="0"/>
                <w:color w:val="1E293B"/>
                <w:sz w:val="18"/>
              </w:rPr>
              <w:t>Storage</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R2/S3 ~$0–1/mo</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160" w:type="dxa"/>
          </w:tcPr>
          <w:p>
            <w:pPr>
              <w:spacing w:before="0" w:after="0"/>
            </w:pPr>
            <w:r>
              <w:rPr>
                <w:rFonts w:ascii="Arial" w:hAnsi="Arial"/>
                <w:b w:val="0"/>
                <w:color w:val="1E293B"/>
                <w:sz w:val="18"/>
              </w:rPr>
              <w:t>R2 ~$0–1/mo (commit to R2, zero egress)</w:t>
            </w:r>
          </w:p>
        </w:tc>
      </w:tr>
      <w:tr>
        <w:tc>
          <w:tcPr>
            <w:shd w:val="clear" w:color="auto" w:fill="DBEAFE"/>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400" w:type="dxa"/>
          </w:tcPr>
          <w:p>
            <w:pPr>
              <w:spacing w:before="0" w:after="0"/>
            </w:pPr>
            <w:r>
              <w:rPr>
                <w:rFonts w:ascii="Arial" w:hAnsi="Arial"/>
                <w:b/>
                <w:color w:val="1E293B"/>
                <w:sz w:val="18"/>
              </w:rPr>
              <w:t>TOTAL (early stage)</w:t>
            </w:r>
          </w:p>
        </w:tc>
        <w:tc>
          <w:tcPr>
            <w:shd w:val="clear" w:color="auto" w:fill="DBEAFE"/>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~$31–37/mo (incomplete)</w:t>
            </w:r>
          </w:p>
        </w:tc>
        <w:tc>
          <w:tcPr>
            <w:shd w:val="clear" w:color="auto" w:fill="DBEAFE"/>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4160" w:type="dxa"/>
          </w:tcPr>
          <w:p>
            <w:pPr>
              <w:spacing w:before="0" w:after="0"/>
            </w:pPr>
            <w:r>
              <w:rPr>
                <w:rFonts w:ascii="Arial" w:hAnsi="Arial"/>
                <w:b/>
                <w:color w:val="028090"/>
                <w:sz w:val="18"/>
              </w:rPr>
              <w:t>~$5–8/mo (complete stack)</w:t>
            </w:r>
          </w:p>
        </w:tc>
      </w:tr>
    </w:tbl>
    <w:p/>
    <w:p>
      <w:pPr>
        <w:pStyle w:val="Heading1"/>
        <w:pageBreakBefore/>
        <w:spacing w:before="200" w:after="100"/>
      </w:pPr>
      <w:r>
        <w:rPr>
          <w:rFonts w:ascii="Arial" w:hAnsi="Arial"/>
          <w:color w:val="1E2761"/>
          <w:sz w:val="48"/>
        </w:rPr>
        <w:t>10.  Multi-Tenancy Architecture</w:t>
      </w:r>
    </w:p>
    <w:p>
      <w:pPr>
        <w:spacing w:before="40" w:after="60"/>
      </w:pPr>
      <w:r>
        <w:rPr>
          <w:rFonts w:ascii="Arial" w:hAnsi="Arial"/>
          <w:b w:val="0"/>
          <w:i w:val="0"/>
          <w:color w:val="1E293B"/>
          <w:sz w:val="22"/>
        </w:rPr>
        <w:t>The multi-tenancy schema is in place. The tenants, users, and usage_events tables exist in the database. Report templates, report runs, and report insights carry org_id foreign keys. The schema migration is already done — the remaining work is enforcement (Clerk integration, RLS policies, API key management) at the time of SaaS transition.</w:t>
      </w:r>
    </w:p>
    <w:p>
      <w:pPr>
        <w:spacing w:before="0" w:after="60"/>
      </w:pPr>
    </w:p>
    <w:p>
      <w:pPr>
        <w:pStyle w:val="ListBullet"/>
        <w:spacing w:before="20" w:after="30"/>
      </w:pPr>
      <w:r>
        <w:rPr>
          <w:rFonts w:ascii="Arial" w:hAnsi="Arial"/>
          <w:b w:val="0"/>
          <w:color w:val="1E293B"/>
          <w:sz w:val="20"/>
        </w:rPr>
        <w:t>tenants: clerk_org_id, name, plan (starter|pro|enterprise). One row per customer organization.</w:t>
      </w:r>
    </w:p>
    <w:p>
      <w:pPr>
        <w:pStyle w:val="ListBullet"/>
        <w:spacing w:before="20" w:after="30"/>
      </w:pPr>
      <w:r>
        <w:rPr>
          <w:rFonts w:ascii="Arial" w:hAnsi="Arial"/>
          <w:b w:val="0"/>
          <w:color w:val="1E293B"/>
          <w:sz w:val="20"/>
        </w:rPr>
        <w:t>users: tenant_id, clerk_user_id, email, role (owner|admin|analyst|member). Synced from Clerk on webhook.</w:t>
      </w:r>
    </w:p>
    <w:p>
      <w:pPr>
        <w:pStyle w:val="ListBullet"/>
        <w:spacing w:before="20" w:after="30"/>
      </w:pPr>
      <w:r>
        <w:rPr>
          <w:rFonts w:ascii="Arial" w:hAnsi="Arial"/>
          <w:b w:val="0"/>
          <w:color w:val="1E293B"/>
          <w:sz w:val="20"/>
        </w:rPr>
        <w:t>usage_events: tenant_id, user_id, event_type (report_generated|api_call|search_query|export_csv). Events defined; metering not yet enforced.</w:t>
      </w:r>
    </w:p>
    <w:p>
      <w:pPr>
        <w:pStyle w:val="ListBullet"/>
        <w:spacing w:before="20" w:after="30"/>
      </w:pPr>
      <w:r>
        <w:rPr>
          <w:rFonts w:ascii="Arial" w:hAnsi="Arial"/>
          <w:b w:val="0"/>
          <w:color w:val="1E293B"/>
          <w:sz w:val="20"/>
        </w:rPr>
        <w:t>report_templates: org_id nullable — NULL means platform template available to all tenants. Weight overrides allow per-template pillar adjustments for specialized reports (e.g., upweighting regulatory to 0.40 for a compliance report).</w:t>
      </w:r>
    </w:p>
    <w:p>
      <w:pPr>
        <w:spacing w:before="0" w:after="60"/>
      </w:pPr>
    </w:p>
    <w:p>
      <w:pPr>
        <w:spacing w:before="40" w:after="60"/>
      </w:pPr>
      <w:r>
        <w:rPr>
          <w:rFonts w:ascii="Arial" w:hAnsi="Arial"/>
          <w:b w:val="0"/>
          <w:i w:val="0"/>
          <w:color w:val="1E293B"/>
          <w:sz w:val="22"/>
        </w:rPr>
        <w:t>Neon supports row-level security (RLS) policies. RLS on org_id-bearing tables should be added when the tenants table has real data. Retrofitting RLS on a populated table is the harder path; defining policies on an empty table is straightforward.</w:t>
      </w:r>
    </w:p>
    <w:p>
      <w:pPr>
        <w:spacing w:before="0" w:after="60"/>
      </w:pPr>
    </w:p>
    <w:tbl>
      <w:tblPr>
        <w:tblLook w:firstColumn="1" w:firstRow="1" w:lastColumn="0" w:lastRow="0" w:noHBand="0" w:noVBand="1" w:val="04A0"/>
        <w:tblW w:w="9360" w:type="dxa"/>
      </w:tblPr>
      <w:tblGrid>
        <w:gridCol w:w="9360"/>
      </w:tblGrid>
      <w:tr>
        <w:tc>
          <w:tcPr>
            <w:shd w:val="clear" w:color="auto" w:fill="DBEAFE"/>
            <w:tcBorders>
              <w:top w:val="single" w:sz="6" w:space="0" w:color="93C5FD"/>
              <w:left w:val="single" w:sz="6" w:space="0" w:color="93C5FD"/>
              <w:bottom w:val="single" w:sz="6" w:space="0" w:color="93C5FD"/>
              <w:right w:val="single" w:sz="6" w:space="0" w:color="93C5FD"/>
            </w:tcBorders>
            <w:tcMar>
              <w:top w:w="100" w:type="dxa"/>
              <w:left w:w="140" w:type="dxa"/>
              <w:bottom w:w="100" w:type="dxa"/>
              <w:right w:w="140" w:type="dxa"/>
            </w:tcMar>
            <w:tcW w:w="9360" w:type="dxa"/>
          </w:tcPr>
          <w:p>
            <w:pPr>
              <w:spacing w:before="0" w:after="0"/>
            </w:pPr>
            <w:r>
              <w:rPr>
                <w:rFonts w:ascii="Arial" w:hAnsi="Arial"/>
                <w:i/>
                <w:color w:val="1E293B"/>
                <w:sz w:val="20"/>
              </w:rPr>
              <w:t>Clerk Organization IDs can serve directly as tenant_id, eliminating the need to sync organization records between Clerk and Neon. The clerk_org_id column in the tenants table is designed for this mapping.</w:t>
            </w:r>
          </w:p>
        </w:tc>
      </w:tr>
    </w:tbl>
    <w:p/>
    <w:p>
      <w:pPr>
        <w:pStyle w:val="Heading1"/>
        <w:pageBreakBefore/>
        <w:spacing w:before="200" w:after="100"/>
      </w:pPr>
      <w:r>
        <w:rPr>
          <w:rFonts w:ascii="Arial" w:hAnsi="Arial"/>
          <w:color w:val="1E2761"/>
          <w:sz w:val="48"/>
        </w:rPr>
        <w:t>11.  LLM Cost Strategy</w:t>
      </w:r>
    </w:p>
    <w:p>
      <w:pPr>
        <w:spacing w:before="40" w:after="60"/>
      </w:pPr>
      <w:r>
        <w:rPr>
          <w:rFonts w:ascii="Arial" w:hAnsi="Arial"/>
          <w:b w:val="0"/>
          <w:i w:val="0"/>
          <w:color w:val="1E293B"/>
          <w:sz w:val="22"/>
        </w:rPr>
        <w:t>LLM calls for summarization and insight generation are an ongoing variable cost. Without a cost strategy, LLM spend can become the largest operational line item as ingestion volume grows.</w:t>
      </w:r>
    </w:p>
    <w:p>
      <w:pPr>
        <w:spacing w:before="0" w:after="60"/>
      </w:pPr>
    </w:p>
    <w:p>
      <w:pPr>
        <w:pStyle w:val="ListBullet"/>
        <w:spacing w:before="20" w:after="30"/>
      </w:pPr>
      <w:r>
        <w:rPr>
          <w:rFonts w:ascii="Arial" w:hAnsi="Arial"/>
          <w:b w:val="0"/>
          <w:color w:val="1E293B"/>
          <w:sz w:val="20"/>
        </w:rPr>
        <w:t>Prompt caching: Both OpenAI and Anthropic support prompt caching. If the system prompt carries scoring context, regulatory framework definitions, or company entity data, caching that prefix reduces cost 50–80% on repeated calls. Enable from day one.</w:t>
      </w:r>
    </w:p>
    <w:p>
      <w:pPr>
        <w:pStyle w:val="ListBullet"/>
        <w:spacing w:before="20" w:after="30"/>
      </w:pPr>
      <w:r>
        <w:rPr>
          <w:rFonts w:ascii="Arial" w:hAnsi="Arial"/>
          <w:b w:val="0"/>
          <w:color w:val="1E293B"/>
          <w:sz w:val="20"/>
        </w:rPr>
        <w:t>Batch API for non-real-time processing: Report generation and nightly score narrative generation do not require real-time responses. Anthropic Message Batches API and OpenAI Batch API offer 50% cost reduction. Submit batch insight generation after score refresh completes.</w:t>
      </w:r>
    </w:p>
    <w:p>
      <w:pPr>
        <w:pStyle w:val="ListBullet"/>
        <w:spacing w:before="20" w:after="30"/>
      </w:pPr>
      <w:r>
        <w:rPr>
          <w:rFonts w:ascii="Arial" w:hAnsi="Arial"/>
          <w:b w:val="0"/>
          <w:color w:val="1E293B"/>
          <w:sz w:val="20"/>
        </w:rPr>
        <w:t>Call scope discipline: Rule-based scoring, data normalization, and entity resolution must not use LLMs. LLMs are for: summarizing top evidence into natural language, generating rationale_json notes fields, and producing report narrative sections. This boundary must be documented and enforced — LLM scope creep is a common cost driver.</w:t>
      </w:r>
    </w:p>
    <w:p>
      <w:pPr>
        <w:pStyle w:val="ListBullet"/>
        <w:spacing w:before="20" w:after="30"/>
      </w:pPr>
      <w:r>
        <w:rPr>
          <w:rFonts w:ascii="Arial" w:hAnsi="Arial"/>
          <w:b w:val="0"/>
          <w:color w:val="1E293B"/>
          <w:sz w:val="20"/>
        </w:rPr>
        <w:t>Cost threshold alerting: Set a monthly LLM spend alert at a defined threshold. Unexpected spikes usually indicate a prompt engineering bug (unbounded context) or a runaway loop. Sentry or Axiom can catch these before they compound.</w:t>
      </w:r>
    </w:p>
    <w:p>
      <w:pPr>
        <w:pStyle w:val="Heading1"/>
        <w:pageBreakBefore/>
        <w:spacing w:before="200" w:after="100"/>
      </w:pPr>
      <w:r>
        <w:rPr>
          <w:rFonts w:ascii="Arial" w:hAnsi="Arial"/>
          <w:color w:val="1E2761"/>
          <w:sz w:val="48"/>
        </w:rPr>
        <w:t>12.  SaaS Transition Readiness</w:t>
      </w:r>
    </w:p>
    <w:tbl>
      <w:tblPr>
        <w:tblLook w:firstColumn="1" w:firstRow="1" w:lastColumn="0" w:lastRow="0" w:noHBand="0" w:noVBand="1" w:val="04A0"/>
        <w:tblStyle w:val="TableGrid"/>
        <w:tblW w:w="9360" w:type="dxa"/>
      </w:tblPr>
      <w:tblGrid>
        <w:gridCol w:w="3120"/>
        <w:gridCol w:w="3120"/>
        <w:gridCol w:w="3120"/>
      </w:tblGrid>
      <w:tr>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2800" w:type="dxa"/>
          </w:tcPr>
          <w:p>
            <w:pPr>
              <w:spacing w:before="0" w:after="0"/>
            </w:pPr>
            <w:r>
              <w:rPr>
                <w:rFonts w:ascii="Arial" w:hAnsi="Arial"/>
                <w:b/>
                <w:color w:val="FFFFFF"/>
                <w:sz w:val="19"/>
              </w:rPr>
              <w:t>Requirement</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1400" w:type="dxa"/>
          </w:tcPr>
          <w:p>
            <w:pPr>
              <w:spacing w:before="0" w:after="0"/>
            </w:pPr>
            <w:r>
              <w:rPr>
                <w:rFonts w:ascii="Arial" w:hAnsi="Arial"/>
                <w:b/>
                <w:color w:val="FFFFFF"/>
                <w:sz w:val="19"/>
              </w:rPr>
              <w:t>Phase</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5160" w:type="dxa"/>
          </w:tcPr>
          <w:p>
            <w:pPr>
              <w:spacing w:before="0" w:after="0"/>
            </w:pPr>
            <w:r>
              <w:rPr>
                <w:rFonts w:ascii="Arial" w:hAnsi="Arial"/>
                <w:b/>
                <w:color w:val="FFFFFF"/>
                <w:sz w:val="19"/>
              </w:rPr>
              <w:t>Status / Notes</w:t>
            </w:r>
          </w:p>
        </w:tc>
      </w:tr>
      <w:tr>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Auth &amp; organization model</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Now</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160" w:type="dxa"/>
          </w:tcPr>
          <w:p>
            <w:pPr>
              <w:spacing w:before="0" w:after="0"/>
            </w:pPr>
            <w:r>
              <w:rPr>
                <w:rFonts w:ascii="Arial" w:hAnsi="Arial"/>
                <w:b w:val="0"/>
                <w:color w:val="1E293B"/>
                <w:sz w:val="18"/>
              </w:rPr>
              <w:t>Schema done. Clerk integration pending. Organization concept in DB — enforce at SaaS transition.</w:t>
            </w:r>
          </w:p>
        </w:tc>
      </w:tr>
      <w:tr>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Multi-tenant data isolation</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Now</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160" w:type="dxa"/>
          </w:tcPr>
          <w:p>
            <w:pPr>
              <w:spacing w:before="0" w:after="0"/>
            </w:pPr>
            <w:r>
              <w:rPr>
                <w:rFonts w:ascii="Arial" w:hAnsi="Arial"/>
                <w:b w:val="0"/>
                <w:color w:val="1E293B"/>
                <w:sz w:val="18"/>
              </w:rPr>
              <w:t>org_id present on report_templates, report_runs, report_insights. RLS policies not yet added.</w:t>
            </w:r>
          </w:p>
        </w:tc>
      </w:tr>
      <w:tr>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Usage tracking</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Now</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160" w:type="dxa"/>
          </w:tcPr>
          <w:p>
            <w:pPr>
              <w:spacing w:before="0" w:after="0"/>
            </w:pPr>
            <w:r>
              <w:rPr>
                <w:rFonts w:ascii="Arial" w:hAnsi="Arial"/>
                <w:b w:val="0"/>
                <w:color w:val="1E293B"/>
                <w:sz w:val="18"/>
              </w:rPr>
              <w:t>usage_events table ready. Events defined; metering not yet enforced.</w:t>
            </w:r>
          </w:p>
        </w:tc>
      </w:tr>
      <w:tr>
        <w:tc>
          <w:tcPr>
            <w:shd w:val="clear" w:color="auto" w:fill="FEF3C7"/>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Error tracking + logging</w:t>
            </w:r>
          </w:p>
        </w:tc>
        <w:tc>
          <w:tcPr>
            <w:shd w:val="clear" w:color="auto" w:fill="FEF3C7"/>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Now</w:t>
            </w:r>
          </w:p>
        </w:tc>
        <w:tc>
          <w:tcPr>
            <w:shd w:val="clear" w:color="auto" w:fill="FEF3C7"/>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160" w:type="dxa"/>
          </w:tcPr>
          <w:p>
            <w:pPr>
              <w:spacing w:before="0" w:after="0"/>
            </w:pPr>
            <w:r>
              <w:rPr>
                <w:rFonts w:ascii="Arial" w:hAnsi="Arial"/>
                <w:b w:val="0"/>
                <w:color w:val="1E293B"/>
                <w:sz w:val="18"/>
              </w:rPr>
              <w:t>Not yet installed. Sentry + Axiom required before any production ingestion runs.</w:t>
            </w:r>
          </w:p>
        </w:tc>
      </w:tr>
      <w:tr>
        <w:tc>
          <w:tcPr>
            <w:shd w:val="clear" w:color="auto" w:fill="FEF3C7"/>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Report generation</w:t>
            </w:r>
          </w:p>
        </w:tc>
        <w:tc>
          <w:tcPr>
            <w:shd w:val="clear" w:color="auto" w:fill="FEF3C7"/>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Now</w:t>
            </w:r>
          </w:p>
        </w:tc>
        <w:tc>
          <w:tcPr>
            <w:shd w:val="clear" w:color="auto" w:fill="FEF3C7"/>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160" w:type="dxa"/>
          </w:tcPr>
          <w:p>
            <w:pPr>
              <w:spacing w:before="0" w:after="0"/>
            </w:pPr>
            <w:r>
              <w:rPr>
                <w:rFonts w:ascii="Arial" w:hAnsi="Arial"/>
                <w:b w:val="0"/>
                <w:color w:val="1E293B"/>
                <w:sz w:val="18"/>
              </w:rPr>
              <w:t>Schema complete. build_oem_report.py is a stub. Primary near-term build priority.</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API endpoints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Phase 2</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160" w:type="dxa"/>
          </w:tcPr>
          <w:p>
            <w:pPr>
              <w:spacing w:before="0" w:after="0"/>
            </w:pPr>
            <w:r>
              <w:rPr>
                <w:rFonts w:ascii="Arial" w:hAnsi="Arial"/>
                <w:b w:val="0"/>
                <w:color w:val="1E293B"/>
                <w:sz w:val="18"/>
              </w:rPr>
              <w:t>/companies/{id}/risk-profile, /ingestion-runs/{id} not yet built.</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API key management</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Phase 2</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160" w:type="dxa"/>
          </w:tcPr>
          <w:p>
            <w:pPr>
              <w:spacing w:before="0" w:after="0"/>
            </w:pPr>
            <w:r>
              <w:rPr>
                <w:rFonts w:ascii="Arial" w:hAnsi="Arial"/>
                <w:b w:val="0"/>
                <w:color w:val="1E293B"/>
                <w:sz w:val="18"/>
              </w:rPr>
              <w:t>Per-tenant API keys for programmatic access. Store hashed keys; expose key management in settings UI.</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Billing integration</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Phase 2</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160" w:type="dxa"/>
          </w:tcPr>
          <w:p>
            <w:pPr>
              <w:spacing w:before="0" w:after="0"/>
            </w:pPr>
            <w:r>
              <w:rPr>
                <w:rFonts w:ascii="Arial" w:hAnsi="Arial"/>
                <w:b w:val="0"/>
                <w:color w:val="1E293B"/>
                <w:sz w:val="18"/>
              </w:rPr>
              <w:t>Stripe for payments + Lago for usage metering. usage_events table already designed for this.</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Rate limiting</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Phase 2</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160" w:type="dxa"/>
          </w:tcPr>
          <w:p>
            <w:pPr>
              <w:spacing w:before="0" w:after="0"/>
            </w:pPr>
            <w:r>
              <w:rPr>
                <w:rFonts w:ascii="Arial" w:hAnsi="Arial"/>
                <w:b w:val="0"/>
                <w:color w:val="1E293B"/>
                <w:sz w:val="18"/>
              </w:rPr>
              <w:t>Per-tenant rate limits on FastAPI layer. Redis (add at this point) for sliding window counters.</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Audit logging</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Phase 2</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160" w:type="dxa"/>
          </w:tcPr>
          <w:p>
            <w:pPr>
              <w:spacing w:before="0" w:after="0"/>
            </w:pPr>
            <w:r>
              <w:rPr>
                <w:rFonts w:ascii="Arial" w:hAnsi="Arial"/>
                <w:b w:val="0"/>
                <w:color w:val="1E293B"/>
                <w:sz w:val="18"/>
              </w:rPr>
              <w:t>Append-only log of who accessed what score/report and when. Required for enterprise sales.</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Semantic search (pgvector)</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Phase 2</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160" w:type="dxa"/>
          </w:tcPr>
          <w:p>
            <w:pPr>
              <w:spacing w:before="0" w:after="0"/>
            </w:pPr>
            <w:r>
              <w:rPr>
                <w:rFonts w:ascii="Arial" w:hAnsi="Arial"/>
                <w:b w:val="0"/>
                <w:color w:val="1E293B"/>
                <w:sz w:val="18"/>
              </w:rPr>
              <w:t>Neon supports pgvector natively. Add vector column to risk_events and source_documents. Embed regulatory text. Zero infrastructure cost.</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800" w:type="dxa"/>
          </w:tcPr>
          <w:p>
            <w:pPr>
              <w:spacing w:before="0" w:after="0"/>
            </w:pPr>
            <w:r>
              <w:rPr>
                <w:rFonts w:ascii="Arial" w:hAnsi="Arial"/>
                <w:b w:val="0"/>
                <w:color w:val="1E293B"/>
                <w:sz w:val="18"/>
              </w:rPr>
              <w:t>White-label / custom domains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1400" w:type="dxa"/>
          </w:tcPr>
          <w:p>
            <w:pPr>
              <w:spacing w:before="0" w:after="0"/>
            </w:pPr>
            <w:r>
              <w:rPr>
                <w:rFonts w:ascii="Arial" w:hAnsi="Arial"/>
                <w:b w:val="0"/>
                <w:color w:val="1E293B"/>
                <w:sz w:val="18"/>
              </w:rPr>
              <w:t>Phase 3</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160" w:type="dxa"/>
          </w:tcPr>
          <w:p>
            <w:pPr>
              <w:spacing w:before="0" w:after="0"/>
            </w:pPr>
            <w:r>
              <w:rPr>
                <w:rFonts w:ascii="Arial" w:hAnsi="Arial"/>
                <w:b w:val="0"/>
                <w:color w:val="1E293B"/>
                <w:sz w:val="18"/>
              </w:rPr>
              <w:t>Vercel custom domain support. Useful for OEM customers who want reports under their own domain.</w:t>
            </w:r>
          </w:p>
        </w:tc>
      </w:tr>
    </w:tbl>
    <w:p/>
    <w:p>
      <w:pPr>
        <w:pStyle w:val="Heading1"/>
        <w:pageBreakBefore/>
        <w:spacing w:before="200" w:after="100"/>
      </w:pPr>
      <w:r>
        <w:rPr>
          <w:rFonts w:ascii="Arial" w:hAnsi="Arial"/>
          <w:color w:val="1E2761"/>
          <w:sz w:val="48"/>
        </w:rPr>
        <w:t>13.  Recommended Next Build Steps</w:t>
      </w:r>
    </w:p>
    <w:p>
      <w:pPr>
        <w:spacing w:before="40" w:after="60"/>
      </w:pPr>
      <w:r>
        <w:rPr>
          <w:rFonts w:ascii="Arial" w:hAnsi="Arial"/>
          <w:b w:val="0"/>
          <w:i w:val="0"/>
          <w:color w:val="1E293B"/>
          <w:sz w:val="22"/>
        </w:rPr>
        <w:t>Steps 1–5 (green) should be completed before any production ingestion runs or report delivery. They are low-effort, high-consequence items.</w:t>
      </w:r>
    </w:p>
    <w:p>
      <w:pPr>
        <w:spacing w:before="0" w:after="60"/>
      </w:pPr>
    </w:p>
    <w:tbl>
      <w:tblPr>
        <w:tblLook w:firstColumn="1" w:firstRow="1" w:lastColumn="0" w:lastRow="0" w:noHBand="0" w:noVBand="1" w:val="04A0"/>
        <w:tblStyle w:val="TableGrid"/>
        <w:tblW w:w="9360" w:type="dxa"/>
      </w:tblPr>
      <w:tblGrid>
        <w:gridCol w:w="3120"/>
        <w:gridCol w:w="3120"/>
        <w:gridCol w:w="3120"/>
      </w:tblGrid>
      <w:tr>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500" w:type="dxa"/>
          </w:tcPr>
          <w:p>
            <w:pPr>
              <w:spacing w:before="0" w:after="0"/>
            </w:pPr>
            <w:r>
              <w:rPr>
                <w:rFonts w:ascii="Arial" w:hAnsi="Arial"/>
                <w:b/>
                <w:color w:val="FFFFFF"/>
                <w:sz w:val="19"/>
              </w:rPr>
              <w:t>#</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2500" w:type="dxa"/>
          </w:tcPr>
          <w:p>
            <w:pPr>
              <w:spacing w:before="0" w:after="0"/>
            </w:pPr>
            <w:r>
              <w:rPr>
                <w:rFonts w:ascii="Arial" w:hAnsi="Arial"/>
                <w:b/>
                <w:color w:val="FFFFFF"/>
                <w:sz w:val="19"/>
              </w:rPr>
              <w:t>Action</w:t>
            </w:r>
          </w:p>
        </w:tc>
        <w:tc>
          <w:tcPr>
            <w:shd w:val="clear" w:color="auto" w:fill="1E2761"/>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W w:w="6360" w:type="dxa"/>
          </w:tcPr>
          <w:p>
            <w:pPr>
              <w:spacing w:before="0" w:after="0"/>
            </w:pPr>
            <w:r>
              <w:rPr>
                <w:rFonts w:ascii="Arial" w:hAnsi="Arial"/>
                <w:b/>
                <w:color w:val="FFFFFF"/>
                <w:sz w:val="19"/>
              </w:rPr>
              <w:t>Detail</w:t>
            </w:r>
          </w:p>
        </w:tc>
      </w:tr>
      <w:tr>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00" w:type="dxa"/>
          </w:tcPr>
          <w:p>
            <w:pPr>
              <w:spacing w:before="0" w:after="0"/>
            </w:pPr>
            <w:r>
              <w:rPr>
                <w:rFonts w:ascii="Arial" w:hAnsi="Arial"/>
                <w:b w:val="0"/>
                <w:color w:val="1E293B"/>
                <w:sz w:val="18"/>
              </w:rPr>
              <w:t>1</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500" w:type="dxa"/>
          </w:tcPr>
          <w:p>
            <w:pPr>
              <w:spacing w:before="0" w:after="0"/>
            </w:pPr>
            <w:r>
              <w:rPr>
                <w:rFonts w:ascii="Arial" w:hAnsi="Arial"/>
                <w:b w:val="0"/>
                <w:color w:val="1E293B"/>
                <w:sz w:val="18"/>
              </w:rPr>
              <w:t>Install Sentry + Axiom</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6360" w:type="dxa"/>
          </w:tcPr>
          <w:p>
            <w:pPr>
              <w:spacing w:before="0" w:after="0"/>
            </w:pPr>
            <w:r>
              <w:rPr>
                <w:rFonts w:ascii="Arial" w:hAnsi="Arial"/>
                <w:b w:val="0"/>
                <w:color w:val="1E293B"/>
                <w:sz w:val="18"/>
              </w:rPr>
              <w:t>Error tracking and structured logging before any production ingestion runs. Silent pipeline failures are the biggest credibility risk. Under 2 hours to integrate with FastAPI.</w:t>
            </w:r>
          </w:p>
        </w:tc>
      </w:tr>
      <w:tr>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00" w:type="dxa"/>
          </w:tcPr>
          <w:p>
            <w:pPr>
              <w:spacing w:before="0" w:after="0"/>
            </w:pPr>
            <w:r>
              <w:rPr>
                <w:rFonts w:ascii="Arial" w:hAnsi="Arial"/>
                <w:b w:val="0"/>
                <w:color w:val="1E293B"/>
                <w:sz w:val="18"/>
              </w:rPr>
              <w:t>2</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500" w:type="dxa"/>
          </w:tcPr>
          <w:p>
            <w:pPr>
              <w:spacing w:before="0" w:after="0"/>
            </w:pPr>
            <w:r>
              <w:rPr>
                <w:rFonts w:ascii="Arial" w:hAnsi="Arial"/>
                <w:b w:val="0"/>
                <w:color w:val="1E293B"/>
                <w:sz w:val="18"/>
              </w:rPr>
              <w:t>Install Clerk</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6360" w:type="dxa"/>
          </w:tcPr>
          <w:p>
            <w:pPr>
              <w:spacing w:before="0" w:after="0"/>
            </w:pPr>
            <w:r>
              <w:rPr>
                <w:rFonts w:ascii="Arial" w:hAnsi="Arial"/>
                <w:b w:val="0"/>
                <w:color w:val="1E293B"/>
                <w:sz w:val="18"/>
              </w:rPr>
              <w:t>Even if only one user. Sets up the org model and prevents a painful auth retrofit before SaaS launch. Webhooks sync to tenants + users tables already in schema.</w:t>
            </w:r>
          </w:p>
        </w:tc>
      </w:tr>
      <w:tr>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00" w:type="dxa"/>
          </w:tcPr>
          <w:p>
            <w:pPr>
              <w:spacing w:before="0" w:after="0"/>
            </w:pPr>
            <w:r>
              <w:rPr>
                <w:rFonts w:ascii="Arial" w:hAnsi="Arial"/>
                <w:b w:val="0"/>
                <w:color w:val="1E293B"/>
                <w:sz w:val="18"/>
              </w:rPr>
              <w:t>3</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500" w:type="dxa"/>
          </w:tcPr>
          <w:p>
            <w:pPr>
              <w:spacing w:before="0" w:after="0"/>
            </w:pPr>
            <w:r>
              <w:rPr>
                <w:rFonts w:ascii="Arial" w:hAnsi="Arial"/>
                <w:b w:val="0"/>
                <w:color w:val="1E293B"/>
                <w:sz w:val="18"/>
              </w:rPr>
              <w:t>Commit to R2 for raw storage</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6360" w:type="dxa"/>
          </w:tcPr>
          <w:p>
            <w:pPr>
              <w:spacing w:before="0" w:after="0"/>
            </w:pPr>
            <w:r>
              <w:rPr>
                <w:rFonts w:ascii="Arial" w:hAnsi="Arial"/>
                <w:b w:val="0"/>
                <w:color w:val="1E293B"/>
                <w:sz w:val="18"/>
              </w:rPr>
              <w:t>Update raw_storage_path writes in ingestion adapters. R2 SDK is S3-compatible — change is minimal. Zero egress cost vs. $0.09/GB on S3.</w:t>
            </w:r>
          </w:p>
        </w:tc>
      </w:tr>
      <w:tr>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00" w:type="dxa"/>
          </w:tcPr>
          <w:p>
            <w:pPr>
              <w:spacing w:before="0" w:after="0"/>
            </w:pPr>
            <w:r>
              <w:rPr>
                <w:rFonts w:ascii="Arial" w:hAnsi="Arial"/>
                <w:b w:val="0"/>
                <w:color w:val="1E293B"/>
                <w:sz w:val="18"/>
              </w:rPr>
              <w:t>4</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500" w:type="dxa"/>
          </w:tcPr>
          <w:p>
            <w:pPr>
              <w:spacing w:before="0" w:after="0"/>
            </w:pPr>
            <w:r>
              <w:rPr>
                <w:rFonts w:ascii="Arial" w:hAnsi="Arial"/>
                <w:b w:val="0"/>
                <w:color w:val="1E293B"/>
                <w:sz w:val="18"/>
              </w:rPr>
              <w:t>Build report generation logic</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6360" w:type="dxa"/>
          </w:tcPr>
          <w:p>
            <w:pPr>
              <w:spacing w:before="0" w:after="0"/>
            </w:pPr>
            <w:r>
              <w:rPr>
                <w:rFonts w:ascii="Arial" w:hAnsi="Arial"/>
                <w:b w:val="0"/>
                <w:color w:val="1E293B"/>
                <w:sz w:val="18"/>
              </w:rPr>
              <w:t>build_oem_report.py stub needs completion. Query report_insights ordered by sort_order, render to PDF or HTML. Primary near-term value delivery mechanism.</w:t>
            </w:r>
          </w:p>
        </w:tc>
      </w:tr>
      <w:tr>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00" w:type="dxa"/>
          </w:tcPr>
          <w:p>
            <w:pPr>
              <w:spacing w:before="0" w:after="0"/>
            </w:pPr>
            <w:r>
              <w:rPr>
                <w:rFonts w:ascii="Arial" w:hAnsi="Arial"/>
                <w:b w:val="0"/>
                <w:color w:val="1E293B"/>
                <w:sz w:val="18"/>
              </w:rPr>
              <w:t>5</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500" w:type="dxa"/>
          </w:tcPr>
          <w:p>
            <w:pPr>
              <w:spacing w:before="0" w:after="0"/>
            </w:pPr>
            <w:r>
              <w:rPr>
                <w:rFonts w:ascii="Arial" w:hAnsi="Arial"/>
                <w:b w:val="0"/>
                <w:color w:val="1E293B"/>
                <w:sz w:val="18"/>
              </w:rPr>
              <w:t>Seed vehicle model + chemistry data</w:t>
            </w:r>
          </w:p>
        </w:tc>
        <w:tc>
          <w:tcPr>
            <w:shd w:val="clear" w:color="auto" w:fill="D1FAE5"/>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6360" w:type="dxa"/>
          </w:tcPr>
          <w:p>
            <w:pPr>
              <w:spacing w:before="0" w:after="0"/>
            </w:pPr>
            <w:r>
              <w:rPr>
                <w:rFonts w:ascii="Arial" w:hAnsi="Arial"/>
                <w:b w:val="0"/>
                <w:color w:val="1E293B"/>
                <w:sz w:val="18"/>
              </w:rPr>
              <w:t>Populate company_vehicle_models and vehicle_model_chemistries for the 20 OEMs in the companies table. Use blended share approach for models with market-level chemistry splits. Sources: ev-database.org, manufacturer IR reports.</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00" w:type="dxa"/>
          </w:tcPr>
          <w:p>
            <w:pPr>
              <w:spacing w:before="0" w:after="0"/>
            </w:pPr>
            <w:r>
              <w:rPr>
                <w:rFonts w:ascii="Arial" w:hAnsi="Arial"/>
                <w:b w:val="0"/>
                <w:color w:val="1E293B"/>
                <w:sz w:val="18"/>
              </w:rPr>
              <w:t>6</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500" w:type="dxa"/>
          </w:tcPr>
          <w:p>
            <w:pPr>
              <w:spacing w:before="0" w:after="0"/>
            </w:pPr>
            <w:r>
              <w:rPr>
                <w:rFonts w:ascii="Arial" w:hAnsi="Arial"/>
                <w:b w:val="0"/>
                <w:color w:val="1E293B"/>
                <w:sz w:val="18"/>
              </w:rPr>
              <w:t>Evaluate Railway over Render</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6360" w:type="dxa"/>
          </w:tcPr>
          <w:p>
            <w:pPr>
              <w:spacing w:before="0" w:after="0"/>
            </w:pPr>
            <w:r>
              <w:rPr>
                <w:rFonts w:ascii="Arial" w:hAnsi="Arial"/>
                <w:b w:val="0"/>
                <w:color w:val="1E293B"/>
                <w:sz w:val="18"/>
              </w:rPr>
              <w:t>If cold starts are already an issue, move FastAPI to Railway. Usage-based billing at ~$3–5/mo vs $7/mo Render always-on. FastAPI migration is straightforward.</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00" w:type="dxa"/>
          </w:tcPr>
          <w:p>
            <w:pPr>
              <w:spacing w:before="0" w:after="0"/>
            </w:pPr>
            <w:r>
              <w:rPr>
                <w:rFonts w:ascii="Arial" w:hAnsi="Arial"/>
                <w:b w:val="0"/>
                <w:color w:val="1E293B"/>
                <w:sz w:val="18"/>
              </w:rPr>
              <w:t>7</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500" w:type="dxa"/>
          </w:tcPr>
          <w:p>
            <w:pPr>
              <w:spacing w:before="0" w:after="0"/>
            </w:pPr>
            <w:r>
              <w:rPr>
                <w:rFonts w:ascii="Arial" w:hAnsi="Arial"/>
                <w:b w:val="0"/>
                <w:color w:val="1E293B"/>
                <w:sz w:val="18"/>
              </w:rPr>
              <w:t>Test Modal for one ingestion worker</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6360" w:type="dxa"/>
          </w:tcPr>
          <w:p>
            <w:pPr>
              <w:spacing w:before="0" w:after="0"/>
            </w:pPr>
            <w:r>
              <w:rPr>
                <w:rFonts w:ascii="Arial" w:hAnsi="Arial"/>
                <w:b w:val="0"/>
                <w:color w:val="1E293B"/>
                <w:sz w:val="18"/>
              </w:rPr>
              <w:t>Replace one CLI ingestion command with a Modal function. Validate cost, latency, and retry behavior before committing fully to serverless workers.</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00" w:type="dxa"/>
          </w:tcPr>
          <w:p>
            <w:pPr>
              <w:spacing w:before="0" w:after="0"/>
            </w:pPr>
            <w:r>
              <w:rPr>
                <w:rFonts w:ascii="Arial" w:hAnsi="Arial"/>
                <w:b w:val="0"/>
                <w:color w:val="1E293B"/>
                <w:sz w:val="18"/>
              </w:rPr>
              <w:t>8</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500" w:type="dxa"/>
          </w:tcPr>
          <w:p>
            <w:pPr>
              <w:spacing w:before="0" w:after="0"/>
            </w:pPr>
            <w:r>
              <w:rPr>
                <w:rFonts w:ascii="Arial" w:hAnsi="Arial"/>
                <w:b w:val="0"/>
                <w:color w:val="1E293B"/>
                <w:sz w:val="18"/>
              </w:rPr>
              <w:t>Add Inngest for score refresh workflow</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6360" w:type="dxa"/>
          </w:tcPr>
          <w:p>
            <w:pPr>
              <w:spacing w:before="0" w:after="0"/>
            </w:pPr>
            <w:r>
              <w:rPr>
                <w:rFonts w:ascii="Arial" w:hAnsi="Arial"/>
                <w:b w:val="0"/>
                <w:color w:val="1E293B"/>
                <w:sz w:val="18"/>
              </w:rPr>
              <w:t>Start with nightly rescore-all. Validate Inngest retry and observability before replacing all scheduled jobs. Eliminates Redis dependency.</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00" w:type="dxa"/>
          </w:tcPr>
          <w:p>
            <w:pPr>
              <w:spacing w:before="0" w:after="0"/>
            </w:pPr>
            <w:r>
              <w:rPr>
                <w:rFonts w:ascii="Arial" w:hAnsi="Arial"/>
                <w:b w:val="0"/>
                <w:color w:val="1E293B"/>
                <w:sz w:val="18"/>
              </w:rPr>
              <w:t>9</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500" w:type="dxa"/>
          </w:tcPr>
          <w:p>
            <w:pPr>
              <w:spacing w:before="0" w:after="0"/>
            </w:pPr>
            <w:r>
              <w:rPr>
                <w:rFonts w:ascii="Arial" w:hAnsi="Arial"/>
                <w:b w:val="0"/>
                <w:color w:val="1E293B"/>
                <w:sz w:val="18"/>
              </w:rPr>
              <w:t>Add pgvector to risk_events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6360" w:type="dxa"/>
          </w:tcPr>
          <w:p>
            <w:pPr>
              <w:spacing w:before="0" w:after="0"/>
            </w:pPr>
            <w:r>
              <w:rPr>
                <w:rFonts w:ascii="Arial" w:hAnsi="Arial"/>
                <w:b w:val="0"/>
                <w:color w:val="1E293B"/>
                <w:sz w:val="18"/>
              </w:rPr>
              <w:t>Enable vector column on risk_events and source_documents. Embed regulatory text using a small embedding model. Zero additional infrastructure cost.</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00" w:type="dxa"/>
          </w:tcPr>
          <w:p>
            <w:pPr>
              <w:spacing w:before="0" w:after="0"/>
            </w:pPr>
            <w:r>
              <w:rPr>
                <w:rFonts w:ascii="Arial" w:hAnsi="Arial"/>
                <w:b w:val="0"/>
                <w:color w:val="1E293B"/>
                <w:sz w:val="18"/>
              </w:rPr>
              <w:t>10</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500" w:type="dxa"/>
          </w:tcPr>
          <w:p>
            <w:pPr>
              <w:spacing w:before="0" w:after="0"/>
            </w:pPr>
            <w:r>
              <w:rPr>
                <w:rFonts w:ascii="Arial" w:hAnsi="Arial"/>
                <w:b w:val="0"/>
                <w:color w:val="1E293B"/>
                <w:sz w:val="18"/>
              </w:rPr>
              <w:t>Expose core API endpoints</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6360" w:type="dxa"/>
          </w:tcPr>
          <w:p>
            <w:pPr>
              <w:spacing w:before="0" w:after="0"/>
            </w:pPr>
            <w:r>
              <w:rPr>
                <w:rFonts w:ascii="Arial" w:hAnsi="Arial"/>
                <w:b w:val="0"/>
                <w:color w:val="1E293B"/>
                <w:sz w:val="18"/>
              </w:rPr>
              <w:t>/companies/{id}/risk-profile: current scores, component breakdown, top evidence, score trend. /ingestion-runs/{id}: operational visibility. Core endpoints for reports and future SaaS dashboard.</w:t>
            </w:r>
          </w:p>
        </w:tc>
      </w:tr>
      <w:tr>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00" w:type="dxa"/>
          </w:tcPr>
          <w:p>
            <w:pPr>
              <w:spacing w:before="0" w:after="0"/>
            </w:pPr>
            <w:r>
              <w:rPr>
                <w:rFonts w:ascii="Arial" w:hAnsi="Arial"/>
                <w:b w:val="0"/>
                <w:color w:val="1E293B"/>
                <w:sz w:val="18"/>
              </w:rPr>
              <w:t>11</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500" w:type="dxa"/>
          </w:tcPr>
          <w:p>
            <w:pPr>
              <w:spacing w:before="0" w:after="0"/>
            </w:pPr>
            <w:r>
              <w:rPr>
                <w:rFonts w:ascii="Arial" w:hAnsi="Arial"/>
                <w:b w:val="0"/>
                <w:color w:val="1E293B"/>
                <w:sz w:val="18"/>
              </w:rPr>
              <w:t>Define LLM cost controls</w:t>
            </w:r>
          </w:p>
        </w:tc>
        <w:tc>
          <w:tcPr>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6360" w:type="dxa"/>
          </w:tcPr>
          <w:p>
            <w:pPr>
              <w:spacing w:before="0" w:after="0"/>
            </w:pPr>
            <w:r>
              <w:rPr>
                <w:rFonts w:ascii="Arial" w:hAnsi="Arial"/>
                <w:b w:val="0"/>
                <w:color w:val="1E293B"/>
                <w:sz w:val="18"/>
              </w:rPr>
              <w:t>Choose provider, enable prompt caching, document which calls use batch API vs. real-time. Set a monthly cost threshold alert before first LLM-powered report generation.</w:t>
            </w:r>
          </w:p>
        </w:tc>
      </w:tr>
      <w:tr>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500" w:type="dxa"/>
          </w:tcPr>
          <w:p>
            <w:pPr>
              <w:spacing w:before="0" w:after="0"/>
            </w:pPr>
            <w:r>
              <w:rPr>
                <w:rFonts w:ascii="Arial" w:hAnsi="Arial"/>
                <w:b w:val="0"/>
                <w:color w:val="1E293B"/>
                <w:sz w:val="18"/>
              </w:rPr>
              <w:t>12</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2500" w:type="dxa"/>
          </w:tcPr>
          <w:p>
            <w:pPr>
              <w:spacing w:before="0" w:after="0"/>
            </w:pPr>
            <w:r>
              <w:rPr>
                <w:rFonts w:ascii="Arial" w:hAnsi="Arial"/>
                <w:b w:val="0"/>
                <w:color w:val="1E293B"/>
                <w:sz w:val="18"/>
              </w:rPr>
              <w:t>Run full ingestion + rescore-all</w:t>
            </w:r>
          </w:p>
        </w:tc>
        <w:tc>
          <w:tcPr>
            <w:shd w:val="clear" w:color="auto" w:fill="F8FAFC"/>
            <w:tcBorders>
              <w:top w:val="single" w:sz="4" w:space="0" w:color="CCCCCC"/>
              <w:left w:val="single" w:sz="4" w:space="0" w:color="CCCCCC"/>
              <w:bottom w:val="single" w:sz="4" w:space="0" w:color="CCCCCC"/>
              <w:right w:val="single" w:sz="4" w:space="0" w:color="CCCCCC"/>
            </w:tcBorders>
            <w:tcMar>
              <w:top w:w="70" w:type="dxa"/>
              <w:left w:w="100" w:type="dxa"/>
              <w:bottom w:w="70" w:type="dxa"/>
              <w:right w:w="100" w:type="dxa"/>
            </w:tcMar>
            <w:tcW w:w="6360" w:type="dxa"/>
          </w:tcPr>
          <w:p>
            <w:pPr>
              <w:spacing w:before="0" w:after="0"/>
            </w:pPr>
            <w:r>
              <w:rPr>
                <w:rFonts w:ascii="Arial" w:hAnsi="Arial"/>
                <w:b w:val="0"/>
                <w:color w:val="1E293B"/>
                <w:sz w:val="18"/>
              </w:rPr>
              <w:t>Execute: seed-regulations, build-trade-signals, ingest-federal-register, rescore-all. Validate outputs for known-state companies: CATL UFLPA non-compliance, Northvolt operational risk, BHP Nickel West care+maintenance.</w:t>
            </w:r>
          </w:p>
        </w:tc>
      </w:tr>
    </w:tbl>
    <w:p/>
    <w:p>
      <w:pPr>
        <w:spacing w:before="0" w:after="60"/>
      </w:pPr>
    </w:p>
    <w:p>
      <w:pPr>
        <w:spacing w:before="120" w:after="0"/>
      </w:pPr>
      <w:r>
        <w:rPr>
          <w:rFonts w:ascii="Arial" w:hAnsi="Arial"/>
          <w:b w:val="0"/>
          <w:i/>
          <w:color w:val="64748B"/>
          <w:sz w:val="18"/>
        </w:rPr>
        <w:t>Document version: 3.0  |  Scoring version: 3.0  |  April 2026  |  Update this document when the scoring formula, service topology, or evidence window parameters change.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