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Ejecutivo Diario</w:t>
      </w:r>
    </w:p>
    <w:p>
      <w:r>
        <w:t>Fecha: 2026-04-06</w:t>
      </w:r>
    </w:p>
    <w:p>
      <w:r>
        <w:t>Autor: Sistema Automatizado de Análisis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