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93D8" w14:textId="77777777" w:rsidR="00A77559" w:rsidRDefault="00A77559" w:rsidP="00A77559">
      <w:pPr>
        <w:spacing w:line="240" w:lineRule="auto"/>
        <w:jc w:val="center"/>
        <w:rPr>
          <w:rFonts w:ascii="Arial" w:eastAsia="Times New Roman" w:hAnsi="Arial" w:cs="Arial"/>
          <w:bCs/>
          <w:color w:val="000000"/>
          <w:sz w:val="24"/>
          <w:szCs w:val="24"/>
          <w:lang w:val="es-US" w:eastAsia="es-MX"/>
        </w:rPr>
      </w:pPr>
    </w:p>
    <w:p w14:paraId="46D3ED79" w14:textId="0B193994" w:rsidR="00A77559" w:rsidRPr="00A77559" w:rsidRDefault="00A77559" w:rsidP="00A77559">
      <w:pPr>
        <w:spacing w:line="240" w:lineRule="auto"/>
        <w:jc w:val="center"/>
        <w:rPr>
          <w:rFonts w:ascii="Times New Roman" w:eastAsia="Times New Roman" w:hAnsi="Times New Roman"/>
          <w:b w:val="0"/>
          <w:color w:val="000000"/>
          <w:sz w:val="24"/>
          <w:szCs w:val="24"/>
          <w:lang w:val="es-US" w:eastAsia="es-MX"/>
        </w:rPr>
      </w:pPr>
      <w:r w:rsidRPr="00A77559">
        <w:rPr>
          <w:rFonts w:ascii="Arial" w:eastAsia="Times New Roman" w:hAnsi="Arial" w:cs="Arial"/>
          <w:bCs/>
          <w:color w:val="000000"/>
          <w:sz w:val="24"/>
          <w:szCs w:val="24"/>
          <w:lang w:val="es-US" w:eastAsia="es-MX"/>
        </w:rPr>
        <w:t>EVALUACIÓN DE LA INCLUSIÓN DE EDUCACIÓN EN SALUD MENTAL EN LOS PROGRAMAS DE FORMACIÓN EN INGENIERÍA</w:t>
      </w:r>
    </w:p>
    <w:p w14:paraId="3EC79B31" w14:textId="77777777" w:rsidR="00A77559" w:rsidRDefault="00A77559" w:rsidP="00A77559">
      <w:pPr>
        <w:spacing w:line="240" w:lineRule="auto"/>
        <w:jc w:val="both"/>
        <w:rPr>
          <w:rFonts w:ascii="Arial" w:eastAsia="Times New Roman" w:hAnsi="Arial" w:cs="Arial"/>
          <w:b w:val="0"/>
          <w:color w:val="333333"/>
          <w:sz w:val="24"/>
          <w:szCs w:val="24"/>
          <w:shd w:val="clear" w:color="auto" w:fill="FFFFFF"/>
          <w:lang w:val="es-US" w:eastAsia="es-MX"/>
        </w:rPr>
      </w:pPr>
    </w:p>
    <w:p w14:paraId="707ABEBA" w14:textId="54C4A8C3"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shd w:val="clear" w:color="auto" w:fill="FFFFFF"/>
          <w:lang w:val="es-US" w:eastAsia="es-MX"/>
        </w:rPr>
        <w:t xml:space="preserve">Los desafíos de salud mental de los estudiantes son cada vez más un dilema que las universidades deben abordar. El número de estudiantes que se enfrenta a la depresión está aumentando, y una encuesta nacional de 26000 estudiantes de pregrado encontró que el 40% había estado deprimido y era difícil de funcionar </w:t>
      </w:r>
      <w:sdt>
        <w:sdtPr>
          <w:rPr>
            <w:rFonts w:ascii="Arial" w:eastAsia="Times New Roman" w:hAnsi="Arial" w:cs="Arial"/>
            <w:b w:val="0"/>
            <w:color w:val="auto"/>
            <w:sz w:val="24"/>
            <w:szCs w:val="24"/>
            <w:shd w:val="clear" w:color="auto" w:fill="FFFFFF"/>
            <w:lang w:val="es-US" w:eastAsia="es-MX"/>
          </w:rPr>
          <w:id w:val="-1391179097"/>
          <w:citation/>
        </w:sdtPr>
        <w:sdtContent>
          <w:r w:rsidRPr="005C5BCC">
            <w:rPr>
              <w:rFonts w:ascii="Arial" w:eastAsia="Times New Roman" w:hAnsi="Arial" w:cs="Arial"/>
              <w:b w:val="0"/>
              <w:color w:val="auto"/>
              <w:sz w:val="24"/>
              <w:szCs w:val="24"/>
              <w:shd w:val="clear" w:color="auto" w:fill="FFFFFF"/>
              <w:lang w:val="es-US" w:eastAsia="es-MX"/>
            </w:rPr>
            <w:fldChar w:fldCharType="begin"/>
          </w:r>
          <w:r w:rsidRPr="005C5BCC">
            <w:rPr>
              <w:rFonts w:ascii="Arial" w:eastAsia="Times New Roman" w:hAnsi="Arial" w:cs="Arial"/>
              <w:b w:val="0"/>
              <w:color w:val="auto"/>
              <w:sz w:val="24"/>
              <w:szCs w:val="24"/>
              <w:shd w:val="clear" w:color="auto" w:fill="FFFFFF"/>
              <w:lang w:val="es-US" w:eastAsia="es-MX"/>
            </w:rPr>
            <w:instrText xml:space="preserve"> CITATION And22 \l 1033 </w:instrText>
          </w:r>
          <w:r w:rsidRPr="005C5BCC">
            <w:rPr>
              <w:rFonts w:ascii="Arial" w:eastAsia="Times New Roman" w:hAnsi="Arial" w:cs="Arial"/>
              <w:b w:val="0"/>
              <w:color w:val="auto"/>
              <w:sz w:val="24"/>
              <w:szCs w:val="24"/>
              <w:shd w:val="clear" w:color="auto" w:fill="FFFFFF"/>
              <w:lang w:val="es-US" w:eastAsia="es-MX"/>
            </w:rPr>
            <w:fldChar w:fldCharType="separate"/>
          </w:r>
          <w:r w:rsidRPr="005C5BCC">
            <w:rPr>
              <w:rFonts w:ascii="Arial" w:eastAsia="Times New Roman" w:hAnsi="Arial" w:cs="Arial"/>
              <w:b w:val="0"/>
              <w:color w:val="auto"/>
              <w:sz w:val="24"/>
              <w:szCs w:val="24"/>
              <w:shd w:val="clear" w:color="auto" w:fill="FFFFFF"/>
              <w:lang w:val="es-US" w:eastAsia="es-MX"/>
            </w:rPr>
            <w:t>(Andrew Danowitz &amp; Kacey Beddoes, 2022)</w:t>
          </w:r>
          <w:r w:rsidRPr="005C5BCC">
            <w:rPr>
              <w:rFonts w:ascii="Arial" w:eastAsia="Times New Roman" w:hAnsi="Arial" w:cs="Arial"/>
              <w:b w:val="0"/>
              <w:color w:val="auto"/>
              <w:sz w:val="24"/>
              <w:szCs w:val="24"/>
              <w:shd w:val="clear" w:color="auto" w:fill="FFFFFF"/>
              <w:lang w:val="es-US" w:eastAsia="es-MX"/>
            </w:rPr>
            <w:fldChar w:fldCharType="end"/>
          </w:r>
        </w:sdtContent>
      </w:sdt>
      <w:r w:rsidR="005C5BCC" w:rsidRPr="005C5BCC">
        <w:rPr>
          <w:rFonts w:ascii="Arial" w:eastAsia="Times New Roman" w:hAnsi="Arial" w:cs="Arial"/>
          <w:b w:val="0"/>
          <w:color w:val="auto"/>
          <w:sz w:val="24"/>
          <w:szCs w:val="24"/>
          <w:shd w:val="clear" w:color="auto" w:fill="FFFFFF"/>
          <w:lang w:val="es-US" w:eastAsia="es-MX"/>
        </w:rPr>
        <w:t xml:space="preserve"> </w:t>
      </w:r>
      <w:sdt>
        <w:sdtPr>
          <w:rPr>
            <w:rFonts w:ascii="Arial" w:eastAsia="Times New Roman" w:hAnsi="Arial" w:cs="Arial"/>
            <w:b w:val="0"/>
            <w:color w:val="auto"/>
            <w:sz w:val="24"/>
            <w:szCs w:val="24"/>
            <w:shd w:val="clear" w:color="auto" w:fill="FFFFFF"/>
            <w:lang w:val="es-US" w:eastAsia="es-MX"/>
          </w:rPr>
          <w:id w:val="-763917761"/>
          <w:citation/>
        </w:sdtPr>
        <w:sdtContent>
          <w:r w:rsidR="005C5BCC" w:rsidRPr="005C5BCC">
            <w:rPr>
              <w:rFonts w:ascii="Arial" w:eastAsia="Times New Roman" w:hAnsi="Arial" w:cs="Arial"/>
              <w:b w:val="0"/>
              <w:color w:val="auto"/>
              <w:sz w:val="24"/>
              <w:szCs w:val="24"/>
              <w:shd w:val="clear" w:color="auto" w:fill="FFFFFF"/>
              <w:lang w:val="es-US" w:eastAsia="es-MX"/>
            </w:rPr>
            <w:fldChar w:fldCharType="begin"/>
          </w:r>
          <w:r w:rsidR="005C5BCC" w:rsidRPr="005C5BCC">
            <w:rPr>
              <w:rFonts w:ascii="Arial" w:eastAsia="Times New Roman" w:hAnsi="Arial" w:cs="Arial"/>
              <w:b w:val="0"/>
              <w:color w:val="auto"/>
              <w:sz w:val="24"/>
              <w:szCs w:val="24"/>
              <w:shd w:val="clear" w:color="auto" w:fill="FFFFFF"/>
              <w:lang w:eastAsia="es-MX"/>
            </w:rPr>
            <w:instrText xml:space="preserve"> CITATION Chi13 \l 3082 </w:instrText>
          </w:r>
          <w:r w:rsidR="005C5BCC" w:rsidRPr="005C5BCC">
            <w:rPr>
              <w:rFonts w:ascii="Arial" w:eastAsia="Times New Roman" w:hAnsi="Arial" w:cs="Arial"/>
              <w:b w:val="0"/>
              <w:color w:val="auto"/>
              <w:sz w:val="24"/>
              <w:szCs w:val="24"/>
              <w:shd w:val="clear" w:color="auto" w:fill="FFFFFF"/>
              <w:lang w:val="es-US" w:eastAsia="es-MX"/>
            </w:rPr>
            <w:fldChar w:fldCharType="separate"/>
          </w:r>
          <w:r w:rsidR="005C5BCC" w:rsidRPr="005C5BCC">
            <w:rPr>
              <w:rFonts w:ascii="Arial" w:eastAsia="Times New Roman" w:hAnsi="Arial" w:cs="Arial"/>
              <w:b w:val="0"/>
              <w:noProof/>
              <w:color w:val="auto"/>
              <w:sz w:val="24"/>
              <w:szCs w:val="24"/>
              <w:shd w:val="clear" w:color="auto" w:fill="FFFFFF"/>
              <w:lang w:eastAsia="es-MX"/>
            </w:rPr>
            <w:t>(Chisholm &amp; Dan, 2013)</w:t>
          </w:r>
          <w:r w:rsidR="005C5BCC" w:rsidRPr="005C5BCC">
            <w:rPr>
              <w:rFonts w:ascii="Arial" w:eastAsia="Times New Roman" w:hAnsi="Arial" w:cs="Arial"/>
              <w:b w:val="0"/>
              <w:color w:val="auto"/>
              <w:sz w:val="24"/>
              <w:szCs w:val="24"/>
              <w:shd w:val="clear" w:color="auto" w:fill="FFFFFF"/>
              <w:lang w:val="es-US" w:eastAsia="es-MX"/>
            </w:rPr>
            <w:fldChar w:fldCharType="end"/>
          </w:r>
        </w:sdtContent>
      </w:sdt>
      <w:r w:rsidRPr="005C5BCC">
        <w:rPr>
          <w:rFonts w:ascii="Arial" w:eastAsia="Times New Roman" w:hAnsi="Arial" w:cs="Arial"/>
          <w:b w:val="0"/>
          <w:color w:val="auto"/>
          <w:sz w:val="24"/>
          <w:szCs w:val="24"/>
          <w:shd w:val="clear" w:color="auto" w:fill="FFFFFF"/>
          <w:lang w:val="es-US" w:eastAsia="es-MX"/>
        </w:rPr>
        <w:t>.</w:t>
      </w:r>
    </w:p>
    <w:p w14:paraId="2FF3EA45" w14:textId="77777777"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 </w:t>
      </w:r>
    </w:p>
    <w:p w14:paraId="3B6F26EB" w14:textId="215F914F"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 xml:space="preserve">Las condiciones de salud mental reportadas han aumentado a nivel mundial del 1,4 % al 3,5 % entre 2012 y 2018 en Reino Unido, afectan a una de cada cuatro personas de entre 15 y 24 años. En los EE. UU se informó de un aumento del 50 % en las condiciones de salud mental en los estudiantes estadounidenses de 2013 a 2021 y la Red de Mentes Saludables informó que el 60 % de los estudiantes en el estudio tuvieron un problema de salud mental con un aumento del 52% </w:t>
      </w:r>
      <w:sdt>
        <w:sdtPr>
          <w:rPr>
            <w:rFonts w:ascii="Arial" w:eastAsia="Times New Roman" w:hAnsi="Arial" w:cs="Arial"/>
            <w:b w:val="0"/>
            <w:color w:val="auto"/>
            <w:sz w:val="24"/>
            <w:szCs w:val="24"/>
            <w:lang w:val="es-US" w:eastAsia="es-MX"/>
          </w:rPr>
          <w:id w:val="-1554378394"/>
          <w:citation/>
        </w:sdtPr>
        <w:sdtContent>
          <w:r w:rsidRPr="005C5BCC">
            <w:rPr>
              <w:rFonts w:ascii="Arial" w:eastAsia="Times New Roman" w:hAnsi="Arial" w:cs="Arial"/>
              <w:b w:val="0"/>
              <w:color w:val="auto"/>
              <w:sz w:val="24"/>
              <w:szCs w:val="24"/>
              <w:lang w:val="es-US" w:eastAsia="es-MX"/>
            </w:rPr>
            <w:fldChar w:fldCharType="begin"/>
          </w:r>
          <w:r w:rsidRPr="005C5BCC">
            <w:rPr>
              <w:rFonts w:ascii="Arial" w:eastAsia="Times New Roman" w:hAnsi="Arial" w:cs="Arial"/>
              <w:b w:val="0"/>
              <w:color w:val="auto"/>
              <w:sz w:val="24"/>
              <w:szCs w:val="24"/>
              <w:lang w:val="es-US" w:eastAsia="es-MX"/>
            </w:rPr>
            <w:instrText xml:space="preserve"> CITATION JET24 \l 1033 </w:instrText>
          </w:r>
          <w:r w:rsidRPr="005C5BCC">
            <w:rPr>
              <w:rFonts w:ascii="Arial" w:eastAsia="Times New Roman" w:hAnsi="Arial" w:cs="Arial"/>
              <w:b w:val="0"/>
              <w:color w:val="auto"/>
              <w:sz w:val="24"/>
              <w:szCs w:val="24"/>
              <w:lang w:val="es-US" w:eastAsia="es-MX"/>
            </w:rPr>
            <w:fldChar w:fldCharType="separate"/>
          </w:r>
          <w:r w:rsidRPr="005C5BCC">
            <w:rPr>
              <w:rFonts w:ascii="Arial" w:eastAsia="Times New Roman" w:hAnsi="Arial" w:cs="Arial"/>
              <w:b w:val="0"/>
              <w:color w:val="auto"/>
              <w:sz w:val="24"/>
              <w:szCs w:val="24"/>
              <w:lang w:val="es-US" w:eastAsia="es-MX"/>
            </w:rPr>
            <w:t>(J. E. Tait, 2024)</w:t>
          </w:r>
          <w:r w:rsidRPr="005C5BCC">
            <w:rPr>
              <w:rFonts w:ascii="Arial" w:eastAsia="Times New Roman" w:hAnsi="Arial" w:cs="Arial"/>
              <w:b w:val="0"/>
              <w:color w:val="auto"/>
              <w:sz w:val="24"/>
              <w:szCs w:val="24"/>
              <w:lang w:val="es-US" w:eastAsia="es-MX"/>
            </w:rPr>
            <w:fldChar w:fldCharType="end"/>
          </w:r>
        </w:sdtContent>
      </w:sdt>
      <w:r w:rsidRPr="005C5BCC">
        <w:rPr>
          <w:rFonts w:ascii="Arial" w:eastAsia="Times New Roman" w:hAnsi="Arial" w:cs="Arial"/>
          <w:b w:val="0"/>
          <w:color w:val="auto"/>
          <w:sz w:val="24"/>
          <w:szCs w:val="24"/>
          <w:lang w:val="es-US" w:eastAsia="es-MX"/>
        </w:rPr>
        <w:t>.</w:t>
      </w:r>
    </w:p>
    <w:p w14:paraId="3234D4A5" w14:textId="77777777" w:rsidR="00A77559" w:rsidRPr="005C5BCC" w:rsidRDefault="00A77559" w:rsidP="00A77559">
      <w:pPr>
        <w:spacing w:line="240" w:lineRule="auto"/>
        <w:rPr>
          <w:rFonts w:ascii="Arial" w:eastAsia="Times New Roman" w:hAnsi="Arial" w:cs="Arial"/>
          <w:b w:val="0"/>
          <w:color w:val="auto"/>
          <w:sz w:val="24"/>
          <w:szCs w:val="24"/>
          <w:lang w:val="es-US" w:eastAsia="es-MX"/>
        </w:rPr>
      </w:pPr>
    </w:p>
    <w:p w14:paraId="2FCE9E86" w14:textId="0282D3C3"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shd w:val="clear" w:color="auto" w:fill="FFFFFF"/>
          <w:lang w:val="es-US" w:eastAsia="es-MX"/>
        </w:rPr>
        <w:t xml:space="preserve">El </w:t>
      </w:r>
      <w:r w:rsidRPr="005C5BCC">
        <w:rPr>
          <w:rFonts w:ascii="Arial" w:eastAsia="Times New Roman" w:hAnsi="Arial" w:cs="Arial"/>
          <w:b w:val="0"/>
          <w:color w:val="auto"/>
          <w:sz w:val="24"/>
          <w:szCs w:val="24"/>
          <w:shd w:val="clear" w:color="auto" w:fill="FAFAFA"/>
          <w:lang w:val="es-US" w:eastAsia="es-MX"/>
        </w:rPr>
        <w:t xml:space="preserve">incremento de desafíos de salud mental entre estudiantes se está </w:t>
      </w:r>
      <w:r w:rsidRPr="005C5BCC">
        <w:rPr>
          <w:rFonts w:ascii="Arial" w:eastAsia="Times New Roman" w:hAnsi="Arial" w:cs="Arial"/>
          <w:b w:val="0"/>
          <w:color w:val="auto"/>
          <w:sz w:val="24"/>
          <w:szCs w:val="24"/>
          <w:lang w:val="es-US" w:eastAsia="es-MX"/>
        </w:rPr>
        <w:t>reflejando en un aumento de casos de depresión, ansiedad y condiciones psicológicas, el 40% de los estudiantes tiene al menos un problema relacionado con la salud mental. Del mismo modo, el 59% de los estudiantes de una universidad canadiense tiene niveles de depresión de moderados a altos, y el 56,3% informó de lo mismo en los niveles de ansiedad</w:t>
      </w:r>
      <w:r w:rsidR="00DA195A"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818867244"/>
          <w:citation/>
        </w:sdtPr>
        <w:sdtContent>
          <w:r w:rsidR="00DA195A" w:rsidRPr="005C5BCC">
            <w:rPr>
              <w:rFonts w:ascii="Arial" w:eastAsia="Times New Roman" w:hAnsi="Arial" w:cs="Arial"/>
              <w:b w:val="0"/>
              <w:color w:val="auto"/>
              <w:sz w:val="24"/>
              <w:szCs w:val="24"/>
              <w:lang w:val="es-US" w:eastAsia="es-MX"/>
            </w:rPr>
            <w:fldChar w:fldCharType="begin"/>
          </w:r>
          <w:r w:rsidR="00DA195A" w:rsidRPr="005C5BCC">
            <w:rPr>
              <w:rFonts w:ascii="Arial" w:eastAsia="Times New Roman" w:hAnsi="Arial" w:cs="Arial"/>
              <w:b w:val="0"/>
              <w:color w:val="auto"/>
              <w:sz w:val="24"/>
              <w:szCs w:val="24"/>
              <w:lang w:eastAsia="es-MX"/>
            </w:rPr>
            <w:instrText xml:space="preserve"> CITATION Sav22 \l 3082 </w:instrText>
          </w:r>
          <w:r w:rsidR="00DA195A" w:rsidRPr="005C5BCC">
            <w:rPr>
              <w:rFonts w:ascii="Arial" w:eastAsia="Times New Roman" w:hAnsi="Arial" w:cs="Arial"/>
              <w:b w:val="0"/>
              <w:color w:val="auto"/>
              <w:sz w:val="24"/>
              <w:szCs w:val="24"/>
              <w:lang w:val="es-US" w:eastAsia="es-MX"/>
            </w:rPr>
            <w:fldChar w:fldCharType="separate"/>
          </w:r>
          <w:r w:rsidR="00DA195A" w:rsidRPr="005C5BCC">
            <w:rPr>
              <w:rFonts w:ascii="Arial" w:eastAsia="Times New Roman" w:hAnsi="Arial" w:cs="Arial"/>
              <w:b w:val="0"/>
              <w:noProof/>
              <w:color w:val="auto"/>
              <w:sz w:val="24"/>
              <w:szCs w:val="24"/>
              <w:lang w:eastAsia="es-MX"/>
            </w:rPr>
            <w:t>(Savio, Galantini, &amp; Pachas, 2022)</w:t>
          </w:r>
          <w:r w:rsidR="00DA195A" w:rsidRPr="005C5BCC">
            <w:rPr>
              <w:rFonts w:ascii="Arial" w:eastAsia="Times New Roman" w:hAnsi="Arial" w:cs="Arial"/>
              <w:b w:val="0"/>
              <w:color w:val="auto"/>
              <w:sz w:val="24"/>
              <w:szCs w:val="24"/>
              <w:lang w:val="es-US" w:eastAsia="es-MX"/>
            </w:rPr>
            <w:fldChar w:fldCharType="end"/>
          </w:r>
        </w:sdtContent>
      </w:sdt>
      <w:r w:rsidR="005C5BC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272542487"/>
          <w:citation/>
        </w:sdtPr>
        <w:sdtContent>
          <w:r w:rsidR="005C5BCC" w:rsidRPr="005C5BCC">
            <w:rPr>
              <w:rFonts w:ascii="Arial" w:eastAsia="Times New Roman" w:hAnsi="Arial" w:cs="Arial"/>
              <w:b w:val="0"/>
              <w:color w:val="auto"/>
              <w:sz w:val="24"/>
              <w:szCs w:val="24"/>
              <w:lang w:val="es-US" w:eastAsia="es-MX"/>
            </w:rPr>
            <w:fldChar w:fldCharType="begin"/>
          </w:r>
          <w:r w:rsidR="005C5BCC" w:rsidRPr="005C5BCC">
            <w:rPr>
              <w:rFonts w:ascii="Arial" w:eastAsia="Times New Roman" w:hAnsi="Arial" w:cs="Arial"/>
              <w:b w:val="0"/>
              <w:color w:val="auto"/>
              <w:sz w:val="24"/>
              <w:szCs w:val="24"/>
              <w:lang w:eastAsia="es-MX"/>
            </w:rPr>
            <w:instrText xml:space="preserve"> CITATION Dez14 \l 3082 </w:instrText>
          </w:r>
          <w:r w:rsidR="005C5BCC" w:rsidRPr="005C5BCC">
            <w:rPr>
              <w:rFonts w:ascii="Arial" w:eastAsia="Times New Roman" w:hAnsi="Arial" w:cs="Arial"/>
              <w:b w:val="0"/>
              <w:color w:val="auto"/>
              <w:sz w:val="24"/>
              <w:szCs w:val="24"/>
              <w:lang w:val="es-US" w:eastAsia="es-MX"/>
            </w:rPr>
            <w:fldChar w:fldCharType="separate"/>
          </w:r>
          <w:r w:rsidR="005C5BCC" w:rsidRPr="005C5BCC">
            <w:rPr>
              <w:rFonts w:ascii="Arial" w:eastAsia="Times New Roman" w:hAnsi="Arial" w:cs="Arial"/>
              <w:b w:val="0"/>
              <w:noProof/>
              <w:color w:val="auto"/>
              <w:sz w:val="24"/>
              <w:szCs w:val="24"/>
              <w:lang w:eastAsia="es-MX"/>
            </w:rPr>
            <w:t>(Deziel, Olawo, Truchon, &amp; Golab, 2014)</w:t>
          </w:r>
          <w:r w:rsidR="005C5BCC" w:rsidRPr="005C5BCC">
            <w:rPr>
              <w:rFonts w:ascii="Arial" w:eastAsia="Times New Roman" w:hAnsi="Arial" w:cs="Arial"/>
              <w:b w:val="0"/>
              <w:color w:val="auto"/>
              <w:sz w:val="24"/>
              <w:szCs w:val="24"/>
              <w:lang w:val="es-US" w:eastAsia="es-MX"/>
            </w:rPr>
            <w:fldChar w:fldCharType="end"/>
          </w:r>
        </w:sdtContent>
      </w:sdt>
      <w:r w:rsidR="00DA195A" w:rsidRPr="005C5BCC">
        <w:rPr>
          <w:rFonts w:ascii="Arial" w:eastAsia="Times New Roman" w:hAnsi="Arial" w:cs="Arial"/>
          <w:b w:val="0"/>
          <w:color w:val="auto"/>
          <w:sz w:val="24"/>
          <w:szCs w:val="24"/>
          <w:lang w:val="es-US" w:eastAsia="es-MX"/>
        </w:rPr>
        <w:t>.</w:t>
      </w:r>
    </w:p>
    <w:p w14:paraId="24A459B1" w14:textId="77777777"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 </w:t>
      </w:r>
    </w:p>
    <w:p w14:paraId="50119B10" w14:textId="0B94ED5F"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La depresión es un problema común entre estos estudiantes, y la falta de tratamiento adecuado puede llevar a complicaciones como la suicidalidad. La OMS estima que, entre los estudiantes, la tasa media de depresión es de 1 de cada 20, es decir, el 5% de la población general de estudiantes universitarios y graduados</w:t>
      </w:r>
      <w:r w:rsidR="00DA195A"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691134014"/>
          <w:citation/>
        </w:sdtPr>
        <w:sdtContent>
          <w:r w:rsidR="00DA195A" w:rsidRPr="005C5BCC">
            <w:rPr>
              <w:rFonts w:ascii="Arial" w:eastAsia="Times New Roman" w:hAnsi="Arial" w:cs="Arial"/>
              <w:b w:val="0"/>
              <w:color w:val="auto"/>
              <w:sz w:val="24"/>
              <w:szCs w:val="24"/>
              <w:lang w:val="es-US" w:eastAsia="es-MX"/>
            </w:rPr>
            <w:fldChar w:fldCharType="begin"/>
          </w:r>
          <w:r w:rsidR="00DA195A" w:rsidRPr="005C5BCC">
            <w:rPr>
              <w:rFonts w:ascii="Arial" w:eastAsia="Times New Roman" w:hAnsi="Arial" w:cs="Arial"/>
              <w:b w:val="0"/>
              <w:color w:val="auto"/>
              <w:sz w:val="24"/>
              <w:szCs w:val="24"/>
              <w:lang w:eastAsia="es-MX"/>
            </w:rPr>
            <w:instrText xml:space="preserve"> CITATION Sav22 \l 3082 </w:instrText>
          </w:r>
          <w:r w:rsidR="00DA195A" w:rsidRPr="005C5BCC">
            <w:rPr>
              <w:rFonts w:ascii="Arial" w:eastAsia="Times New Roman" w:hAnsi="Arial" w:cs="Arial"/>
              <w:b w:val="0"/>
              <w:color w:val="auto"/>
              <w:sz w:val="24"/>
              <w:szCs w:val="24"/>
              <w:lang w:val="es-US" w:eastAsia="es-MX"/>
            </w:rPr>
            <w:fldChar w:fldCharType="separate"/>
          </w:r>
          <w:r w:rsidR="00DA195A" w:rsidRPr="005C5BCC">
            <w:rPr>
              <w:rFonts w:ascii="Arial" w:eastAsia="Times New Roman" w:hAnsi="Arial" w:cs="Arial"/>
              <w:b w:val="0"/>
              <w:noProof/>
              <w:color w:val="auto"/>
              <w:sz w:val="24"/>
              <w:szCs w:val="24"/>
              <w:lang w:eastAsia="es-MX"/>
            </w:rPr>
            <w:t>(Savio, Galantini, &amp; Pachas, 2022)</w:t>
          </w:r>
          <w:r w:rsidR="00DA195A" w:rsidRPr="005C5BCC">
            <w:rPr>
              <w:rFonts w:ascii="Arial" w:eastAsia="Times New Roman" w:hAnsi="Arial" w:cs="Arial"/>
              <w:b w:val="0"/>
              <w:color w:val="auto"/>
              <w:sz w:val="24"/>
              <w:szCs w:val="24"/>
              <w:lang w:val="es-US" w:eastAsia="es-MX"/>
            </w:rPr>
            <w:fldChar w:fldCharType="end"/>
          </w:r>
        </w:sdtContent>
      </w:sdt>
      <w:r w:rsidR="00DA195A" w:rsidRPr="005C5BCC">
        <w:rPr>
          <w:rFonts w:ascii="Arial" w:eastAsia="Times New Roman" w:hAnsi="Arial" w:cs="Arial"/>
          <w:b w:val="0"/>
          <w:i/>
          <w:iCs/>
          <w:color w:val="auto"/>
          <w:sz w:val="24"/>
          <w:szCs w:val="24"/>
          <w:lang w:val="es-US" w:eastAsia="es-MX"/>
        </w:rPr>
        <w:t xml:space="preserve"> </w:t>
      </w:r>
      <w:sdt>
        <w:sdtPr>
          <w:rPr>
            <w:rFonts w:ascii="Arial" w:eastAsia="Times New Roman" w:hAnsi="Arial" w:cs="Arial"/>
            <w:b w:val="0"/>
            <w:i/>
            <w:iCs/>
            <w:color w:val="auto"/>
            <w:sz w:val="24"/>
            <w:szCs w:val="24"/>
            <w:lang w:val="es-US" w:eastAsia="es-MX"/>
          </w:rPr>
          <w:id w:val="1425139914"/>
          <w:citation/>
        </w:sdtPr>
        <w:sdtContent>
          <w:r w:rsidR="00DA195A" w:rsidRPr="005C5BCC">
            <w:rPr>
              <w:rFonts w:ascii="Arial" w:eastAsia="Times New Roman" w:hAnsi="Arial" w:cs="Arial"/>
              <w:b w:val="0"/>
              <w:i/>
              <w:iCs/>
              <w:color w:val="auto"/>
              <w:sz w:val="24"/>
              <w:szCs w:val="24"/>
              <w:lang w:val="es-US" w:eastAsia="es-MX"/>
            </w:rPr>
            <w:fldChar w:fldCharType="begin"/>
          </w:r>
          <w:r w:rsidR="00DA195A" w:rsidRPr="005C5BCC">
            <w:rPr>
              <w:rFonts w:ascii="Arial" w:eastAsia="Times New Roman" w:hAnsi="Arial" w:cs="Arial"/>
              <w:b w:val="0"/>
              <w:i/>
              <w:iCs/>
              <w:color w:val="auto"/>
              <w:sz w:val="24"/>
              <w:szCs w:val="24"/>
              <w:lang w:eastAsia="es-MX"/>
            </w:rPr>
            <w:instrText xml:space="preserve"> CITATION Jen22 \l 3082 </w:instrText>
          </w:r>
          <w:r w:rsidR="00DA195A" w:rsidRPr="005C5BCC">
            <w:rPr>
              <w:rFonts w:ascii="Arial" w:eastAsia="Times New Roman" w:hAnsi="Arial" w:cs="Arial"/>
              <w:b w:val="0"/>
              <w:i/>
              <w:iCs/>
              <w:color w:val="auto"/>
              <w:sz w:val="24"/>
              <w:szCs w:val="24"/>
              <w:lang w:val="es-US" w:eastAsia="es-MX"/>
            </w:rPr>
            <w:fldChar w:fldCharType="separate"/>
          </w:r>
          <w:r w:rsidR="00DA195A" w:rsidRPr="005C5BCC">
            <w:rPr>
              <w:rFonts w:ascii="Arial" w:eastAsia="Times New Roman" w:hAnsi="Arial" w:cs="Arial"/>
              <w:b w:val="0"/>
              <w:noProof/>
              <w:color w:val="auto"/>
              <w:sz w:val="24"/>
              <w:szCs w:val="24"/>
              <w:lang w:eastAsia="es-MX"/>
            </w:rPr>
            <w:t>(Jensen, Johnson, Mirabelli, &amp; Vohra, 2022)</w:t>
          </w:r>
          <w:r w:rsidR="00DA195A" w:rsidRPr="005C5BCC">
            <w:rPr>
              <w:rFonts w:ascii="Arial" w:eastAsia="Times New Roman" w:hAnsi="Arial" w:cs="Arial"/>
              <w:b w:val="0"/>
              <w:i/>
              <w:iCs/>
              <w:color w:val="auto"/>
              <w:sz w:val="24"/>
              <w:szCs w:val="24"/>
              <w:lang w:val="es-US" w:eastAsia="es-MX"/>
            </w:rPr>
            <w:fldChar w:fldCharType="end"/>
          </w:r>
        </w:sdtContent>
      </w:sdt>
    </w:p>
    <w:p w14:paraId="3CF8DEBE" w14:textId="77777777" w:rsidR="00A77559" w:rsidRPr="005C5BCC" w:rsidRDefault="00A77559" w:rsidP="00A77559">
      <w:pPr>
        <w:spacing w:line="240" w:lineRule="auto"/>
        <w:rPr>
          <w:rFonts w:ascii="Arial" w:eastAsia="Times New Roman" w:hAnsi="Arial" w:cs="Arial"/>
          <w:b w:val="0"/>
          <w:color w:val="auto"/>
          <w:sz w:val="24"/>
          <w:szCs w:val="24"/>
          <w:lang w:val="es-US" w:eastAsia="es-MX"/>
        </w:rPr>
      </w:pPr>
    </w:p>
    <w:p w14:paraId="3285E8AE" w14:textId="0F83C79E"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 xml:space="preserve">El suicidio se considera la segunda causa principal de muerte entre los estudiantes universitarios, con tasas de intento del 25,6%. Según </w:t>
      </w:r>
      <w:proofErr w:type="spellStart"/>
      <w:r w:rsidRPr="005C5BCC">
        <w:rPr>
          <w:rFonts w:ascii="Arial" w:eastAsia="Times New Roman" w:hAnsi="Arial" w:cs="Arial"/>
          <w:b w:val="0"/>
          <w:color w:val="auto"/>
          <w:sz w:val="24"/>
          <w:szCs w:val="24"/>
          <w:lang w:val="es-US" w:eastAsia="es-MX"/>
        </w:rPr>
        <w:t>Danowitz</w:t>
      </w:r>
      <w:proofErr w:type="spellEnd"/>
      <w:r w:rsidRPr="005C5BCC">
        <w:rPr>
          <w:rFonts w:ascii="Arial" w:eastAsia="Times New Roman" w:hAnsi="Arial" w:cs="Arial"/>
          <w:b w:val="0"/>
          <w:color w:val="auto"/>
          <w:sz w:val="24"/>
          <w:szCs w:val="24"/>
          <w:lang w:val="es-US" w:eastAsia="es-MX"/>
        </w:rPr>
        <w:t xml:space="preserve"> y </w:t>
      </w:r>
      <w:proofErr w:type="spellStart"/>
      <w:r w:rsidRPr="005C5BCC">
        <w:rPr>
          <w:rFonts w:ascii="Arial" w:eastAsia="Times New Roman" w:hAnsi="Arial" w:cs="Arial"/>
          <w:b w:val="0"/>
          <w:color w:val="auto"/>
          <w:sz w:val="24"/>
          <w:szCs w:val="24"/>
          <w:lang w:val="es-US" w:eastAsia="es-MX"/>
        </w:rPr>
        <w:t>Beddoes</w:t>
      </w:r>
      <w:proofErr w:type="spellEnd"/>
      <w:r w:rsidR="00DA195A" w:rsidRPr="005C5BCC">
        <w:rPr>
          <w:rFonts w:ascii="Arial" w:eastAsia="Times New Roman" w:hAnsi="Arial" w:cs="Arial"/>
          <w:b w:val="0"/>
          <w:color w:val="auto"/>
          <w:sz w:val="24"/>
          <w:szCs w:val="24"/>
          <w:lang w:val="es-US" w:eastAsia="es-MX"/>
        </w:rPr>
        <w:t xml:space="preserve">, </w:t>
      </w:r>
      <w:r w:rsidRPr="005C5BCC">
        <w:rPr>
          <w:rFonts w:ascii="Arial" w:eastAsia="Times New Roman" w:hAnsi="Arial" w:cs="Arial"/>
          <w:b w:val="0"/>
          <w:color w:val="auto"/>
          <w:sz w:val="24"/>
          <w:szCs w:val="24"/>
          <w:lang w:val="es-US" w:eastAsia="es-MX"/>
        </w:rPr>
        <w:t>el 13 % de los estudiantes universitarios han considerado el suicidio. Sin embargo, solo el 52 % de los estudiantes que informaron ideas suicidas recibieron ayuda profesional en el último año</w:t>
      </w:r>
      <w:r w:rsidR="0010113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674761351"/>
          <w:citation/>
        </w:sdtPr>
        <w:sdtContent>
          <w:r w:rsidR="0010113C" w:rsidRPr="005C5BCC">
            <w:rPr>
              <w:rFonts w:ascii="Arial" w:eastAsia="Times New Roman" w:hAnsi="Arial" w:cs="Arial"/>
              <w:b w:val="0"/>
              <w:color w:val="auto"/>
              <w:sz w:val="24"/>
              <w:szCs w:val="24"/>
              <w:lang w:val="es-US" w:eastAsia="es-MX"/>
            </w:rPr>
            <w:fldChar w:fldCharType="begin"/>
          </w:r>
          <w:r w:rsidR="0010113C" w:rsidRPr="005C5BCC">
            <w:rPr>
              <w:rFonts w:ascii="Arial" w:eastAsia="Times New Roman" w:hAnsi="Arial" w:cs="Arial"/>
              <w:b w:val="0"/>
              <w:color w:val="auto"/>
              <w:sz w:val="24"/>
              <w:szCs w:val="24"/>
              <w:lang w:eastAsia="es-MX"/>
            </w:rPr>
            <w:instrText xml:space="preserve"> CITATION Gor211 \l 3082 </w:instrText>
          </w:r>
          <w:r w:rsidR="0010113C" w:rsidRPr="005C5BCC">
            <w:rPr>
              <w:rFonts w:ascii="Arial" w:eastAsia="Times New Roman" w:hAnsi="Arial" w:cs="Arial"/>
              <w:b w:val="0"/>
              <w:color w:val="auto"/>
              <w:sz w:val="24"/>
              <w:szCs w:val="24"/>
              <w:lang w:val="es-US" w:eastAsia="es-MX"/>
            </w:rPr>
            <w:fldChar w:fldCharType="separate"/>
          </w:r>
          <w:r w:rsidR="0010113C" w:rsidRPr="005C5BCC">
            <w:rPr>
              <w:rFonts w:ascii="Arial" w:eastAsia="Times New Roman" w:hAnsi="Arial" w:cs="Arial"/>
              <w:b w:val="0"/>
              <w:noProof/>
              <w:color w:val="auto"/>
              <w:sz w:val="24"/>
              <w:szCs w:val="24"/>
              <w:lang w:eastAsia="es-MX"/>
            </w:rPr>
            <w:t>(Gormaz, Galarce, &amp; Hortsch, 2021)</w:t>
          </w:r>
          <w:r w:rsidR="0010113C"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716663430"/>
          <w:citation/>
        </w:sdtPr>
        <w:sdtContent>
          <w:r w:rsidR="00DA195A" w:rsidRPr="005C5BCC">
            <w:rPr>
              <w:rFonts w:ascii="Arial" w:eastAsia="Times New Roman" w:hAnsi="Arial" w:cs="Arial"/>
              <w:b w:val="0"/>
              <w:color w:val="auto"/>
              <w:sz w:val="24"/>
              <w:szCs w:val="24"/>
              <w:lang w:val="es-US" w:eastAsia="es-MX"/>
            </w:rPr>
            <w:fldChar w:fldCharType="begin"/>
          </w:r>
          <w:r w:rsidR="00DA195A" w:rsidRPr="005C5BCC">
            <w:rPr>
              <w:rFonts w:ascii="Arial" w:eastAsia="Times New Roman" w:hAnsi="Arial" w:cs="Arial"/>
              <w:b w:val="0"/>
              <w:color w:val="auto"/>
              <w:sz w:val="24"/>
              <w:szCs w:val="24"/>
              <w:lang w:eastAsia="es-MX"/>
            </w:rPr>
            <w:instrText xml:space="preserve"> CITATION And22 \l 3082 </w:instrText>
          </w:r>
          <w:r w:rsidR="00DA195A" w:rsidRPr="005C5BCC">
            <w:rPr>
              <w:rFonts w:ascii="Arial" w:eastAsia="Times New Roman" w:hAnsi="Arial" w:cs="Arial"/>
              <w:b w:val="0"/>
              <w:color w:val="auto"/>
              <w:sz w:val="24"/>
              <w:szCs w:val="24"/>
              <w:lang w:val="es-US" w:eastAsia="es-MX"/>
            </w:rPr>
            <w:fldChar w:fldCharType="separate"/>
          </w:r>
          <w:r w:rsidR="00DA195A" w:rsidRPr="005C5BCC">
            <w:rPr>
              <w:rFonts w:ascii="Arial" w:eastAsia="Times New Roman" w:hAnsi="Arial" w:cs="Arial"/>
              <w:b w:val="0"/>
              <w:noProof/>
              <w:color w:val="auto"/>
              <w:sz w:val="24"/>
              <w:szCs w:val="24"/>
              <w:lang w:eastAsia="es-MX"/>
            </w:rPr>
            <w:t>(Andrew Danowitz &amp; Kacey Beddoes, 2022)</w:t>
          </w:r>
          <w:r w:rsidR="00DA195A" w:rsidRPr="005C5BCC">
            <w:rPr>
              <w:rFonts w:ascii="Arial" w:eastAsia="Times New Roman" w:hAnsi="Arial" w:cs="Arial"/>
              <w:b w:val="0"/>
              <w:color w:val="auto"/>
              <w:sz w:val="24"/>
              <w:szCs w:val="24"/>
              <w:lang w:val="es-US" w:eastAsia="es-MX"/>
            </w:rPr>
            <w:fldChar w:fldCharType="end"/>
          </w:r>
        </w:sdtContent>
      </w:sdt>
      <w:r w:rsidRPr="005C5BCC">
        <w:rPr>
          <w:rFonts w:ascii="Arial" w:eastAsia="Times New Roman" w:hAnsi="Arial" w:cs="Arial"/>
          <w:b w:val="0"/>
          <w:color w:val="auto"/>
          <w:sz w:val="24"/>
          <w:szCs w:val="24"/>
          <w:lang w:val="es-US" w:eastAsia="es-MX"/>
        </w:rPr>
        <w:t>.</w:t>
      </w:r>
    </w:p>
    <w:p w14:paraId="563C23E4" w14:textId="77777777" w:rsidR="00A77559" w:rsidRPr="005C5BCC" w:rsidRDefault="00A77559" w:rsidP="00A77559">
      <w:pPr>
        <w:spacing w:line="240" w:lineRule="auto"/>
        <w:rPr>
          <w:rFonts w:ascii="Arial" w:eastAsia="Times New Roman" w:hAnsi="Arial" w:cs="Arial"/>
          <w:b w:val="0"/>
          <w:color w:val="auto"/>
          <w:sz w:val="24"/>
          <w:szCs w:val="24"/>
          <w:lang w:val="es-US" w:eastAsia="es-MX"/>
        </w:rPr>
      </w:pPr>
    </w:p>
    <w:p w14:paraId="5C39C302" w14:textId="044AA9AD"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shd w:val="clear" w:color="auto" w:fill="FFFFFF"/>
          <w:lang w:val="es-US" w:eastAsia="es-MX"/>
        </w:rPr>
        <w:t xml:space="preserve">De manera específica, la identificación del género como mujer en ingeniería es un predictor estadísticamente significativo de las tasas de detección positivas con cuatro veces más probabilidades de dar positivo para el trastorno de pánico que los hombres y 1,8 veces más probabilidades de dar positivo para síntomas similares al trastorno de estrés postraumático </w:t>
      </w:r>
      <w:sdt>
        <w:sdtPr>
          <w:rPr>
            <w:rFonts w:ascii="Arial" w:eastAsia="Times New Roman" w:hAnsi="Arial" w:cs="Arial"/>
            <w:b w:val="0"/>
            <w:color w:val="auto"/>
            <w:sz w:val="24"/>
            <w:szCs w:val="24"/>
            <w:shd w:val="clear" w:color="auto" w:fill="FFFFFF"/>
            <w:lang w:val="es-US" w:eastAsia="es-MX"/>
          </w:rPr>
          <w:id w:val="29611946"/>
          <w:citation/>
        </w:sdtPr>
        <w:sdtContent>
          <w:r w:rsidRPr="005C5BCC">
            <w:rPr>
              <w:rFonts w:ascii="Arial" w:eastAsia="Times New Roman" w:hAnsi="Arial" w:cs="Arial"/>
              <w:b w:val="0"/>
              <w:color w:val="auto"/>
              <w:sz w:val="24"/>
              <w:szCs w:val="24"/>
              <w:shd w:val="clear" w:color="auto" w:fill="FFFFFF"/>
              <w:lang w:val="es-US" w:eastAsia="es-MX"/>
            </w:rPr>
            <w:fldChar w:fldCharType="begin"/>
          </w:r>
          <w:r w:rsidRPr="005C5BCC">
            <w:rPr>
              <w:rFonts w:ascii="Arial" w:eastAsia="Times New Roman" w:hAnsi="Arial" w:cs="Arial"/>
              <w:b w:val="0"/>
              <w:color w:val="auto"/>
              <w:sz w:val="24"/>
              <w:szCs w:val="24"/>
              <w:shd w:val="clear" w:color="auto" w:fill="FFFFFF"/>
              <w:lang w:val="es-US" w:eastAsia="es-MX"/>
            </w:rPr>
            <w:instrText xml:space="preserve"> CITATION And22 \l 1033 </w:instrText>
          </w:r>
          <w:r w:rsidRPr="005C5BCC">
            <w:rPr>
              <w:rFonts w:ascii="Arial" w:eastAsia="Times New Roman" w:hAnsi="Arial" w:cs="Arial"/>
              <w:b w:val="0"/>
              <w:color w:val="auto"/>
              <w:sz w:val="24"/>
              <w:szCs w:val="24"/>
              <w:shd w:val="clear" w:color="auto" w:fill="FFFFFF"/>
              <w:lang w:val="es-US" w:eastAsia="es-MX"/>
            </w:rPr>
            <w:fldChar w:fldCharType="separate"/>
          </w:r>
          <w:r w:rsidRPr="005C5BCC">
            <w:rPr>
              <w:rFonts w:ascii="Arial" w:eastAsia="Times New Roman" w:hAnsi="Arial" w:cs="Arial"/>
              <w:b w:val="0"/>
              <w:noProof/>
              <w:color w:val="auto"/>
              <w:sz w:val="24"/>
              <w:szCs w:val="24"/>
              <w:shd w:val="clear" w:color="auto" w:fill="FFFFFF"/>
              <w:lang w:val="es-US" w:eastAsia="es-MX"/>
            </w:rPr>
            <w:t>(Andrew Danowitz &amp; Kacey Beddoes, 2022)</w:t>
          </w:r>
          <w:r w:rsidRPr="005C5BCC">
            <w:rPr>
              <w:rFonts w:ascii="Arial" w:eastAsia="Times New Roman" w:hAnsi="Arial" w:cs="Arial"/>
              <w:b w:val="0"/>
              <w:color w:val="auto"/>
              <w:sz w:val="24"/>
              <w:szCs w:val="24"/>
              <w:shd w:val="clear" w:color="auto" w:fill="FFFFFF"/>
              <w:lang w:val="es-US" w:eastAsia="es-MX"/>
            </w:rPr>
            <w:fldChar w:fldCharType="end"/>
          </w:r>
        </w:sdtContent>
      </w:sdt>
      <w:r w:rsidR="005C5BCC" w:rsidRPr="005C5BCC">
        <w:rPr>
          <w:rFonts w:ascii="Arial" w:eastAsia="Times New Roman" w:hAnsi="Arial" w:cs="Arial"/>
          <w:b w:val="0"/>
          <w:color w:val="auto"/>
          <w:sz w:val="24"/>
          <w:szCs w:val="24"/>
          <w:shd w:val="clear" w:color="auto" w:fill="FFFFFF"/>
          <w:lang w:val="es-US" w:eastAsia="es-MX"/>
        </w:rPr>
        <w:t xml:space="preserve"> </w:t>
      </w:r>
      <w:sdt>
        <w:sdtPr>
          <w:rPr>
            <w:rFonts w:ascii="Arial" w:eastAsia="Times New Roman" w:hAnsi="Arial" w:cs="Arial"/>
            <w:b w:val="0"/>
            <w:color w:val="auto"/>
            <w:sz w:val="24"/>
            <w:szCs w:val="24"/>
            <w:shd w:val="clear" w:color="auto" w:fill="FFFFFF"/>
            <w:lang w:val="es-US" w:eastAsia="es-MX"/>
          </w:rPr>
          <w:id w:val="-602419711"/>
          <w:citation/>
        </w:sdtPr>
        <w:sdtContent>
          <w:r w:rsidR="005C5BCC" w:rsidRPr="005C5BCC">
            <w:rPr>
              <w:rFonts w:ascii="Arial" w:eastAsia="Times New Roman" w:hAnsi="Arial" w:cs="Arial"/>
              <w:b w:val="0"/>
              <w:color w:val="auto"/>
              <w:sz w:val="24"/>
              <w:szCs w:val="24"/>
              <w:shd w:val="clear" w:color="auto" w:fill="FFFFFF"/>
              <w:lang w:val="es-US" w:eastAsia="es-MX"/>
            </w:rPr>
            <w:fldChar w:fldCharType="begin"/>
          </w:r>
          <w:r w:rsidR="005C5BCC" w:rsidRPr="005C5BCC">
            <w:rPr>
              <w:rFonts w:ascii="Arial" w:eastAsia="Times New Roman" w:hAnsi="Arial" w:cs="Arial"/>
              <w:b w:val="0"/>
              <w:color w:val="auto"/>
              <w:sz w:val="24"/>
              <w:szCs w:val="24"/>
              <w:shd w:val="clear" w:color="auto" w:fill="FFFFFF"/>
              <w:lang w:eastAsia="es-MX"/>
            </w:rPr>
            <w:instrText xml:space="preserve"> CITATION Hua23 \l 3082 </w:instrText>
          </w:r>
          <w:r w:rsidR="005C5BCC" w:rsidRPr="005C5BCC">
            <w:rPr>
              <w:rFonts w:ascii="Arial" w:eastAsia="Times New Roman" w:hAnsi="Arial" w:cs="Arial"/>
              <w:b w:val="0"/>
              <w:color w:val="auto"/>
              <w:sz w:val="24"/>
              <w:szCs w:val="24"/>
              <w:shd w:val="clear" w:color="auto" w:fill="FFFFFF"/>
              <w:lang w:val="es-US" w:eastAsia="es-MX"/>
            </w:rPr>
            <w:fldChar w:fldCharType="separate"/>
          </w:r>
          <w:r w:rsidR="005C5BCC" w:rsidRPr="005C5BCC">
            <w:rPr>
              <w:rFonts w:ascii="Arial" w:eastAsia="Times New Roman" w:hAnsi="Arial" w:cs="Arial"/>
              <w:b w:val="0"/>
              <w:noProof/>
              <w:color w:val="auto"/>
              <w:sz w:val="24"/>
              <w:szCs w:val="24"/>
              <w:shd w:val="clear" w:color="auto" w:fill="FFFFFF"/>
              <w:lang w:eastAsia="es-MX"/>
            </w:rPr>
            <w:t>(Huang, y otros, 2023)</w:t>
          </w:r>
          <w:r w:rsidR="005C5BCC" w:rsidRPr="005C5BCC">
            <w:rPr>
              <w:rFonts w:ascii="Arial" w:eastAsia="Times New Roman" w:hAnsi="Arial" w:cs="Arial"/>
              <w:b w:val="0"/>
              <w:color w:val="auto"/>
              <w:sz w:val="24"/>
              <w:szCs w:val="24"/>
              <w:shd w:val="clear" w:color="auto" w:fill="FFFFFF"/>
              <w:lang w:val="es-US" w:eastAsia="es-MX"/>
            </w:rPr>
            <w:fldChar w:fldCharType="end"/>
          </w:r>
        </w:sdtContent>
      </w:sdt>
      <w:r w:rsidRPr="005C5BCC">
        <w:rPr>
          <w:rFonts w:ascii="Arial" w:eastAsia="Times New Roman" w:hAnsi="Arial" w:cs="Arial"/>
          <w:b w:val="0"/>
          <w:color w:val="auto"/>
          <w:sz w:val="24"/>
          <w:szCs w:val="24"/>
          <w:shd w:val="clear" w:color="auto" w:fill="FFFFFF"/>
          <w:lang w:val="es-US" w:eastAsia="es-MX"/>
        </w:rPr>
        <w:t>.</w:t>
      </w:r>
    </w:p>
    <w:p w14:paraId="2EFB141F" w14:textId="77777777"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shd w:val="clear" w:color="auto" w:fill="FFFFFF"/>
          <w:lang w:val="es-US" w:eastAsia="es-MX"/>
        </w:rPr>
        <w:t> </w:t>
      </w:r>
    </w:p>
    <w:p w14:paraId="713FAE6B" w14:textId="264793CB"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lastRenderedPageBreak/>
        <w:t>Estadísticamente, las mujeres tienen más probabilidades que los hombres de dar positivo para todos los trastornos relacionados con la ansiedad y la depresión. La discrepancia general, calculada como el promedio de las diferencias absolutas entre las proporciones de mujeres y hombres con cada trastorno, es aproximadamente del 2.43%</w:t>
      </w:r>
      <w:r w:rsidR="00DA195A"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601038316"/>
          <w:citation/>
        </w:sdtPr>
        <w:sdtContent>
          <w:r w:rsidR="00DA195A" w:rsidRPr="005C5BCC">
            <w:rPr>
              <w:rFonts w:ascii="Arial" w:eastAsia="Times New Roman" w:hAnsi="Arial" w:cs="Arial"/>
              <w:b w:val="0"/>
              <w:color w:val="auto"/>
              <w:sz w:val="24"/>
              <w:szCs w:val="24"/>
              <w:lang w:val="es-US" w:eastAsia="es-MX"/>
            </w:rPr>
            <w:fldChar w:fldCharType="begin"/>
          </w:r>
          <w:r w:rsidR="00DA195A" w:rsidRPr="005C5BCC">
            <w:rPr>
              <w:rFonts w:ascii="Arial" w:eastAsia="Times New Roman" w:hAnsi="Arial" w:cs="Arial"/>
              <w:b w:val="0"/>
              <w:color w:val="auto"/>
              <w:sz w:val="24"/>
              <w:szCs w:val="24"/>
              <w:lang w:eastAsia="es-MX"/>
            </w:rPr>
            <w:instrText xml:space="preserve"> CITATION MTo14 \l 3082 </w:instrText>
          </w:r>
          <w:r w:rsidR="00DA195A" w:rsidRPr="005C5BCC">
            <w:rPr>
              <w:rFonts w:ascii="Arial" w:eastAsia="Times New Roman" w:hAnsi="Arial" w:cs="Arial"/>
              <w:b w:val="0"/>
              <w:color w:val="auto"/>
              <w:sz w:val="24"/>
              <w:szCs w:val="24"/>
              <w:lang w:val="es-US" w:eastAsia="es-MX"/>
            </w:rPr>
            <w:fldChar w:fldCharType="separate"/>
          </w:r>
          <w:r w:rsidR="00DA195A" w:rsidRPr="005C5BCC">
            <w:rPr>
              <w:rFonts w:ascii="Arial" w:eastAsia="Times New Roman" w:hAnsi="Arial" w:cs="Arial"/>
              <w:b w:val="0"/>
              <w:noProof/>
              <w:color w:val="auto"/>
              <w:sz w:val="24"/>
              <w:szCs w:val="24"/>
              <w:lang w:eastAsia="es-MX"/>
            </w:rPr>
            <w:t>(M, y otros, 2014)</w:t>
          </w:r>
          <w:r w:rsidR="00DA195A" w:rsidRPr="005C5BCC">
            <w:rPr>
              <w:rFonts w:ascii="Arial" w:eastAsia="Times New Roman" w:hAnsi="Arial" w:cs="Arial"/>
              <w:b w:val="0"/>
              <w:color w:val="auto"/>
              <w:sz w:val="24"/>
              <w:szCs w:val="24"/>
              <w:lang w:val="es-US" w:eastAsia="es-MX"/>
            </w:rPr>
            <w:fldChar w:fldCharType="end"/>
          </w:r>
        </w:sdtContent>
      </w:sdt>
      <w:r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shd w:val="clear" w:color="auto" w:fill="FFFFFF"/>
            <w:lang w:val="es-US" w:eastAsia="es-MX"/>
          </w:rPr>
          <w:id w:val="20900256"/>
          <w:citation/>
        </w:sdtPr>
        <w:sdtContent>
          <w:r w:rsidRPr="005C5BCC">
            <w:rPr>
              <w:rFonts w:ascii="Arial" w:eastAsia="Times New Roman" w:hAnsi="Arial" w:cs="Arial"/>
              <w:b w:val="0"/>
              <w:color w:val="auto"/>
              <w:sz w:val="24"/>
              <w:szCs w:val="24"/>
              <w:shd w:val="clear" w:color="auto" w:fill="FFFFFF"/>
              <w:lang w:val="es-US" w:eastAsia="es-MX"/>
            </w:rPr>
            <w:fldChar w:fldCharType="begin"/>
          </w:r>
          <w:r w:rsidRPr="005C5BCC">
            <w:rPr>
              <w:rFonts w:ascii="Arial" w:eastAsia="Times New Roman" w:hAnsi="Arial" w:cs="Arial"/>
              <w:b w:val="0"/>
              <w:color w:val="auto"/>
              <w:sz w:val="24"/>
              <w:szCs w:val="24"/>
              <w:shd w:val="clear" w:color="auto" w:fill="FFFFFF"/>
              <w:lang w:val="es-US" w:eastAsia="es-MX"/>
            </w:rPr>
            <w:instrText xml:space="preserve"> CITATION And22 \l 1033 </w:instrText>
          </w:r>
          <w:r w:rsidRPr="005C5BCC">
            <w:rPr>
              <w:rFonts w:ascii="Arial" w:eastAsia="Times New Roman" w:hAnsi="Arial" w:cs="Arial"/>
              <w:b w:val="0"/>
              <w:color w:val="auto"/>
              <w:sz w:val="24"/>
              <w:szCs w:val="24"/>
              <w:shd w:val="clear" w:color="auto" w:fill="FFFFFF"/>
              <w:lang w:val="es-US" w:eastAsia="es-MX"/>
            </w:rPr>
            <w:fldChar w:fldCharType="separate"/>
          </w:r>
          <w:r w:rsidRPr="005C5BCC">
            <w:rPr>
              <w:rFonts w:ascii="Arial" w:eastAsia="Times New Roman" w:hAnsi="Arial" w:cs="Arial"/>
              <w:b w:val="0"/>
              <w:noProof/>
              <w:color w:val="auto"/>
              <w:sz w:val="24"/>
              <w:szCs w:val="24"/>
              <w:shd w:val="clear" w:color="auto" w:fill="FFFFFF"/>
              <w:lang w:val="es-US" w:eastAsia="es-MX"/>
            </w:rPr>
            <w:t>(Andrew Danowitz &amp; Kacey Beddoes, 2022)</w:t>
          </w:r>
          <w:r w:rsidRPr="005C5BCC">
            <w:rPr>
              <w:rFonts w:ascii="Arial" w:eastAsia="Times New Roman" w:hAnsi="Arial" w:cs="Arial"/>
              <w:b w:val="0"/>
              <w:color w:val="auto"/>
              <w:sz w:val="24"/>
              <w:szCs w:val="24"/>
              <w:shd w:val="clear" w:color="auto" w:fill="FFFFFF"/>
              <w:lang w:val="es-US" w:eastAsia="es-MX"/>
            </w:rPr>
            <w:fldChar w:fldCharType="end"/>
          </w:r>
        </w:sdtContent>
      </w:sdt>
      <w:r w:rsidRPr="005C5BCC">
        <w:rPr>
          <w:rFonts w:ascii="Arial" w:eastAsia="Times New Roman" w:hAnsi="Arial" w:cs="Arial"/>
          <w:b w:val="0"/>
          <w:color w:val="auto"/>
          <w:sz w:val="24"/>
          <w:szCs w:val="24"/>
          <w:shd w:val="clear" w:color="auto" w:fill="FFFFFF"/>
          <w:lang w:val="es-US" w:eastAsia="es-MX"/>
        </w:rPr>
        <w:t>.</w:t>
      </w:r>
    </w:p>
    <w:p w14:paraId="331331D0" w14:textId="77777777" w:rsidR="00A77559" w:rsidRPr="005C5BCC" w:rsidRDefault="00A77559" w:rsidP="00A77559">
      <w:pPr>
        <w:spacing w:line="240" w:lineRule="auto"/>
        <w:rPr>
          <w:rFonts w:ascii="Arial" w:eastAsia="Times New Roman" w:hAnsi="Arial" w:cs="Arial"/>
          <w:b w:val="0"/>
          <w:color w:val="auto"/>
          <w:sz w:val="24"/>
          <w:szCs w:val="24"/>
          <w:lang w:val="es-US" w:eastAsia="es-MX"/>
        </w:rPr>
      </w:pPr>
    </w:p>
    <w:p w14:paraId="026AC49E" w14:textId="60F68022"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En hombres, la prevalencia es más baja, con un 91.4% sin trastorno, mientras que en mujeres esta cifra desciende al 76.9%. Sin embargo, la discrepancia entre los sexos se destaca particularmente en trastornos específicos, como la bulimia, con un 9.9% en mujeres frente al 2.9% en hombres, generando una discrepancia del 7%</w:t>
      </w:r>
      <w:r w:rsidR="00DA195A"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206172424"/>
          <w:citation/>
        </w:sdtPr>
        <w:sdtContent>
          <w:r w:rsidR="00DA195A" w:rsidRPr="005C5BCC">
            <w:rPr>
              <w:rFonts w:ascii="Arial" w:eastAsia="Times New Roman" w:hAnsi="Arial" w:cs="Arial"/>
              <w:b w:val="0"/>
              <w:color w:val="auto"/>
              <w:sz w:val="24"/>
              <w:szCs w:val="24"/>
              <w:lang w:val="es-US" w:eastAsia="es-MX"/>
            </w:rPr>
            <w:fldChar w:fldCharType="begin"/>
          </w:r>
          <w:r w:rsidR="00DA195A" w:rsidRPr="005C5BCC">
            <w:rPr>
              <w:rFonts w:ascii="Arial" w:eastAsia="Times New Roman" w:hAnsi="Arial" w:cs="Arial"/>
              <w:b w:val="0"/>
              <w:color w:val="auto"/>
              <w:sz w:val="24"/>
              <w:szCs w:val="24"/>
              <w:lang w:eastAsia="es-MX"/>
            </w:rPr>
            <w:instrText xml:space="preserve"> CITATION MTo14 \l 3082 </w:instrText>
          </w:r>
          <w:r w:rsidR="00DA195A" w:rsidRPr="005C5BCC">
            <w:rPr>
              <w:rFonts w:ascii="Arial" w:eastAsia="Times New Roman" w:hAnsi="Arial" w:cs="Arial"/>
              <w:b w:val="0"/>
              <w:color w:val="auto"/>
              <w:sz w:val="24"/>
              <w:szCs w:val="24"/>
              <w:lang w:val="es-US" w:eastAsia="es-MX"/>
            </w:rPr>
            <w:fldChar w:fldCharType="separate"/>
          </w:r>
          <w:r w:rsidR="00DA195A" w:rsidRPr="005C5BCC">
            <w:rPr>
              <w:rFonts w:ascii="Arial" w:eastAsia="Times New Roman" w:hAnsi="Arial" w:cs="Arial"/>
              <w:b w:val="0"/>
              <w:noProof/>
              <w:color w:val="auto"/>
              <w:sz w:val="24"/>
              <w:szCs w:val="24"/>
              <w:lang w:eastAsia="es-MX"/>
            </w:rPr>
            <w:t>(M, y otros, 2014)</w:t>
          </w:r>
          <w:r w:rsidR="00DA195A"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w:t>
      </w:r>
    </w:p>
    <w:p w14:paraId="7C693230" w14:textId="77777777" w:rsidR="00A77559" w:rsidRPr="005C5BCC" w:rsidRDefault="00A77559" w:rsidP="00A77559">
      <w:pPr>
        <w:spacing w:line="240" w:lineRule="auto"/>
        <w:rPr>
          <w:rFonts w:ascii="Arial" w:eastAsia="Times New Roman" w:hAnsi="Arial" w:cs="Arial"/>
          <w:b w:val="0"/>
          <w:color w:val="auto"/>
          <w:sz w:val="24"/>
          <w:szCs w:val="24"/>
          <w:lang w:val="es-US" w:eastAsia="es-MX"/>
        </w:rPr>
      </w:pPr>
    </w:p>
    <w:p w14:paraId="14525636" w14:textId="52494C07"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Se relaciona 41% de la prevalencia en depresión a la sobrecarga de información en los estudiantes con un sentimiento de decepción, incapacidad para manejar los conocimientos y una mayor incidencia de errores que rompen la estabilidad del bienestar del estudiante</w:t>
      </w:r>
      <w:r w:rsidR="0010113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762073503"/>
          <w:citation/>
        </w:sdtPr>
        <w:sdtContent>
          <w:r w:rsidR="0010113C" w:rsidRPr="005C5BCC">
            <w:rPr>
              <w:rFonts w:ascii="Arial" w:eastAsia="Times New Roman" w:hAnsi="Arial" w:cs="Arial"/>
              <w:b w:val="0"/>
              <w:color w:val="auto"/>
              <w:sz w:val="24"/>
              <w:szCs w:val="24"/>
              <w:lang w:val="es-US" w:eastAsia="es-MX"/>
            </w:rPr>
            <w:fldChar w:fldCharType="begin"/>
          </w:r>
          <w:r w:rsidR="0010113C" w:rsidRPr="005C5BCC">
            <w:rPr>
              <w:rFonts w:ascii="Arial" w:eastAsia="Times New Roman" w:hAnsi="Arial" w:cs="Arial"/>
              <w:b w:val="0"/>
              <w:color w:val="auto"/>
              <w:sz w:val="24"/>
              <w:szCs w:val="24"/>
              <w:lang w:eastAsia="es-MX"/>
            </w:rPr>
            <w:instrText xml:space="preserve"> CITATION Wan22 \l 3082 </w:instrText>
          </w:r>
          <w:r w:rsidR="0010113C" w:rsidRPr="005C5BCC">
            <w:rPr>
              <w:rFonts w:ascii="Arial" w:eastAsia="Times New Roman" w:hAnsi="Arial" w:cs="Arial"/>
              <w:b w:val="0"/>
              <w:color w:val="auto"/>
              <w:sz w:val="24"/>
              <w:szCs w:val="24"/>
              <w:lang w:val="es-US" w:eastAsia="es-MX"/>
            </w:rPr>
            <w:fldChar w:fldCharType="separate"/>
          </w:r>
          <w:r w:rsidR="0010113C" w:rsidRPr="005C5BCC">
            <w:rPr>
              <w:rFonts w:ascii="Arial" w:eastAsia="Times New Roman" w:hAnsi="Arial" w:cs="Arial"/>
              <w:b w:val="0"/>
              <w:noProof/>
              <w:color w:val="auto"/>
              <w:sz w:val="24"/>
              <w:szCs w:val="24"/>
              <w:lang w:eastAsia="es-MX"/>
            </w:rPr>
            <w:t>(Wang, Zhou, Wu, &amp; Chen, 2022)</w:t>
          </w:r>
          <w:r w:rsidR="0010113C"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557965384"/>
          <w:citation/>
        </w:sdtPr>
        <w:sdtContent>
          <w:r w:rsidR="0010113C" w:rsidRPr="005C5BCC">
            <w:rPr>
              <w:rFonts w:ascii="Arial" w:eastAsia="Times New Roman" w:hAnsi="Arial" w:cs="Arial"/>
              <w:b w:val="0"/>
              <w:color w:val="auto"/>
              <w:sz w:val="24"/>
              <w:szCs w:val="24"/>
              <w:lang w:val="es-US" w:eastAsia="es-MX"/>
            </w:rPr>
            <w:fldChar w:fldCharType="begin"/>
          </w:r>
          <w:r w:rsidR="0010113C" w:rsidRPr="005C5BCC">
            <w:rPr>
              <w:rFonts w:ascii="Arial" w:eastAsia="Times New Roman" w:hAnsi="Arial" w:cs="Arial"/>
              <w:b w:val="0"/>
              <w:color w:val="auto"/>
              <w:sz w:val="24"/>
              <w:szCs w:val="24"/>
              <w:lang w:eastAsia="es-MX"/>
            </w:rPr>
            <w:instrText xml:space="preserve"> CITATION Tai23 \l 3082 </w:instrText>
          </w:r>
          <w:r w:rsidR="0010113C" w:rsidRPr="005C5BCC">
            <w:rPr>
              <w:rFonts w:ascii="Arial" w:eastAsia="Times New Roman" w:hAnsi="Arial" w:cs="Arial"/>
              <w:b w:val="0"/>
              <w:color w:val="auto"/>
              <w:sz w:val="24"/>
              <w:szCs w:val="24"/>
              <w:lang w:val="es-US" w:eastAsia="es-MX"/>
            </w:rPr>
            <w:fldChar w:fldCharType="separate"/>
          </w:r>
          <w:r w:rsidR="0010113C" w:rsidRPr="005C5BCC">
            <w:rPr>
              <w:rFonts w:ascii="Arial" w:eastAsia="Times New Roman" w:hAnsi="Arial" w:cs="Arial"/>
              <w:b w:val="0"/>
              <w:noProof/>
              <w:color w:val="auto"/>
              <w:sz w:val="24"/>
              <w:szCs w:val="24"/>
              <w:lang w:eastAsia="es-MX"/>
            </w:rPr>
            <w:t>(Tait, Alexander, Hancock, &amp; Bisset, 2023)</w:t>
          </w:r>
          <w:r w:rsidR="0010113C"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w:t>
      </w:r>
    </w:p>
    <w:p w14:paraId="3C2E1C77" w14:textId="77777777"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p>
    <w:p w14:paraId="35C21528" w14:textId="6B9E7F27"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Como alternativa, se propone realizar un estudio exhaustivo sobre las causas de la discrepancia de género en la prevalencia de trastornos mentales entre estudiantes. Este estudio abordará aspectos biológicos, sociales y ambientales, como las respuestas al estrés, la influencia del entorno académico y laboral en la salud mental de las mujeres en ingeniería. El objetivo es identificar las causas de disparidad y proponer estrategias efectivas para promover un entorno inclusivo, con un respaldo del 30%</w:t>
      </w:r>
      <w:r w:rsidR="00DA195A"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598138653"/>
          <w:citation/>
        </w:sdtPr>
        <w:sdtContent>
          <w:r w:rsidR="00DA195A" w:rsidRPr="005C5BCC">
            <w:rPr>
              <w:rFonts w:ascii="Arial" w:eastAsia="Times New Roman" w:hAnsi="Arial" w:cs="Arial"/>
              <w:b w:val="0"/>
              <w:color w:val="auto"/>
              <w:sz w:val="24"/>
              <w:szCs w:val="24"/>
              <w:lang w:val="es-US" w:eastAsia="es-MX"/>
            </w:rPr>
            <w:fldChar w:fldCharType="begin"/>
          </w:r>
          <w:r w:rsidR="00DA195A" w:rsidRPr="005C5BCC">
            <w:rPr>
              <w:rFonts w:ascii="Arial" w:eastAsia="Times New Roman" w:hAnsi="Arial" w:cs="Arial"/>
              <w:b w:val="0"/>
              <w:color w:val="auto"/>
              <w:sz w:val="24"/>
              <w:szCs w:val="24"/>
              <w:lang w:eastAsia="es-MX"/>
            </w:rPr>
            <w:instrText xml:space="preserve"> CITATION MTo14 \l 3082 </w:instrText>
          </w:r>
          <w:r w:rsidR="00DA195A" w:rsidRPr="005C5BCC">
            <w:rPr>
              <w:rFonts w:ascii="Arial" w:eastAsia="Times New Roman" w:hAnsi="Arial" w:cs="Arial"/>
              <w:b w:val="0"/>
              <w:color w:val="auto"/>
              <w:sz w:val="24"/>
              <w:szCs w:val="24"/>
              <w:lang w:val="es-US" w:eastAsia="es-MX"/>
            </w:rPr>
            <w:fldChar w:fldCharType="separate"/>
          </w:r>
          <w:r w:rsidR="00DA195A" w:rsidRPr="005C5BCC">
            <w:rPr>
              <w:rFonts w:ascii="Arial" w:eastAsia="Times New Roman" w:hAnsi="Arial" w:cs="Arial"/>
              <w:b w:val="0"/>
              <w:noProof/>
              <w:color w:val="auto"/>
              <w:sz w:val="24"/>
              <w:szCs w:val="24"/>
              <w:lang w:eastAsia="es-MX"/>
            </w:rPr>
            <w:t>(M, y otros, 2014)</w:t>
          </w:r>
          <w:r w:rsidR="00DA195A"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522407989"/>
          <w:citation/>
        </w:sdtPr>
        <w:sdtContent>
          <w:r w:rsidR="0010113C" w:rsidRPr="005C5BCC">
            <w:rPr>
              <w:rFonts w:ascii="Arial" w:eastAsia="Times New Roman" w:hAnsi="Arial" w:cs="Arial"/>
              <w:b w:val="0"/>
              <w:color w:val="auto"/>
              <w:sz w:val="24"/>
              <w:szCs w:val="24"/>
              <w:lang w:val="es-US" w:eastAsia="es-MX"/>
            </w:rPr>
            <w:fldChar w:fldCharType="begin"/>
          </w:r>
          <w:r w:rsidR="0010113C" w:rsidRPr="005C5BCC">
            <w:rPr>
              <w:rFonts w:ascii="Arial" w:eastAsia="Times New Roman" w:hAnsi="Arial" w:cs="Arial"/>
              <w:b w:val="0"/>
              <w:color w:val="auto"/>
              <w:sz w:val="24"/>
              <w:szCs w:val="24"/>
              <w:lang w:eastAsia="es-MX"/>
            </w:rPr>
            <w:instrText xml:space="preserve"> CITATION Sav22 \l 3082 </w:instrText>
          </w:r>
          <w:r w:rsidR="0010113C" w:rsidRPr="005C5BCC">
            <w:rPr>
              <w:rFonts w:ascii="Arial" w:eastAsia="Times New Roman" w:hAnsi="Arial" w:cs="Arial"/>
              <w:b w:val="0"/>
              <w:color w:val="auto"/>
              <w:sz w:val="24"/>
              <w:szCs w:val="24"/>
              <w:lang w:val="es-US" w:eastAsia="es-MX"/>
            </w:rPr>
            <w:fldChar w:fldCharType="separate"/>
          </w:r>
          <w:r w:rsidR="0010113C" w:rsidRPr="005C5BCC">
            <w:rPr>
              <w:rFonts w:ascii="Arial" w:eastAsia="Times New Roman" w:hAnsi="Arial" w:cs="Arial"/>
              <w:b w:val="0"/>
              <w:noProof/>
              <w:color w:val="auto"/>
              <w:sz w:val="24"/>
              <w:szCs w:val="24"/>
              <w:lang w:eastAsia="es-MX"/>
            </w:rPr>
            <w:t>(Savio, Galantini, &amp; Pachas, 2022)</w:t>
          </w:r>
          <w:r w:rsidR="0010113C"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w:t>
      </w:r>
    </w:p>
    <w:p w14:paraId="71B27A91" w14:textId="77777777" w:rsidR="00A77559" w:rsidRPr="005C5BCC" w:rsidRDefault="00A77559" w:rsidP="00A77559">
      <w:pPr>
        <w:spacing w:line="240" w:lineRule="auto"/>
        <w:rPr>
          <w:rFonts w:ascii="Arial" w:eastAsia="Times New Roman" w:hAnsi="Arial" w:cs="Arial"/>
          <w:b w:val="0"/>
          <w:color w:val="auto"/>
          <w:sz w:val="24"/>
          <w:szCs w:val="24"/>
          <w:lang w:val="es-US" w:eastAsia="es-MX"/>
        </w:rPr>
      </w:pPr>
    </w:p>
    <w:p w14:paraId="01D33274" w14:textId="692A7AB3"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 xml:space="preserve">Además, es imperativo desarrollar modelos de aprendizaje que se ajusten a un sistema basado en metodologías y directrices para guiar el proceso educativo. Estos hallazgos resaltan la necesidad de promover las instrucciones con un marco de Diseño Universal para el Aprendizaje (UDL), con un respaldo del 40%. El tratamiento de salud mental puede ofrecer a estudiantes diagnósticos, medicamentos, adaptaciones y planes de tratamiento para gestionar su salud mental </w:t>
      </w:r>
      <w:sdt>
        <w:sdtPr>
          <w:rPr>
            <w:rFonts w:ascii="Arial" w:eastAsia="Times New Roman" w:hAnsi="Arial" w:cs="Arial"/>
            <w:b w:val="0"/>
            <w:color w:val="auto"/>
            <w:sz w:val="24"/>
            <w:szCs w:val="24"/>
            <w:lang w:val="es-US" w:eastAsia="es-MX"/>
          </w:rPr>
          <w:id w:val="469643292"/>
          <w:citation/>
        </w:sdtPr>
        <w:sdtContent>
          <w:r w:rsidRPr="005C5BCC">
            <w:rPr>
              <w:rFonts w:ascii="Arial" w:eastAsia="Times New Roman" w:hAnsi="Arial" w:cs="Arial"/>
              <w:b w:val="0"/>
              <w:color w:val="auto"/>
              <w:sz w:val="24"/>
              <w:szCs w:val="24"/>
              <w:lang w:val="es-US" w:eastAsia="es-MX"/>
            </w:rPr>
            <w:fldChar w:fldCharType="begin"/>
          </w:r>
          <w:r w:rsidRPr="005C5BCC">
            <w:rPr>
              <w:rFonts w:ascii="Arial" w:eastAsia="Times New Roman" w:hAnsi="Arial" w:cs="Arial"/>
              <w:b w:val="0"/>
              <w:color w:val="auto"/>
              <w:sz w:val="24"/>
              <w:szCs w:val="24"/>
              <w:lang w:val="es-US" w:eastAsia="es-MX"/>
            </w:rPr>
            <w:instrText xml:space="preserve"> CITATION Cou23 \l 1033 </w:instrText>
          </w:r>
          <w:r w:rsidRPr="005C5BCC">
            <w:rPr>
              <w:rFonts w:ascii="Arial" w:eastAsia="Times New Roman" w:hAnsi="Arial" w:cs="Arial"/>
              <w:b w:val="0"/>
              <w:color w:val="auto"/>
              <w:sz w:val="24"/>
              <w:szCs w:val="24"/>
              <w:lang w:val="es-US" w:eastAsia="es-MX"/>
            </w:rPr>
            <w:fldChar w:fldCharType="separate"/>
          </w:r>
          <w:r w:rsidRPr="005C5BCC">
            <w:rPr>
              <w:rFonts w:ascii="Arial" w:eastAsia="Times New Roman" w:hAnsi="Arial" w:cs="Arial"/>
              <w:b w:val="0"/>
              <w:color w:val="auto"/>
              <w:sz w:val="24"/>
              <w:szCs w:val="24"/>
              <w:lang w:val="es-US" w:eastAsia="es-MX"/>
            </w:rPr>
            <w:t>(Courtney J. Wright, Sarah A. Wilson, &amp; Joseph H. Hammer, 2023)</w:t>
          </w:r>
          <w:r w:rsidRPr="005C5BCC">
            <w:rPr>
              <w:rFonts w:ascii="Arial" w:eastAsia="Times New Roman" w:hAnsi="Arial" w:cs="Arial"/>
              <w:b w:val="0"/>
              <w:color w:val="auto"/>
              <w:sz w:val="24"/>
              <w:szCs w:val="24"/>
              <w:lang w:val="es-US" w:eastAsia="es-MX"/>
            </w:rPr>
            <w:fldChar w:fldCharType="end"/>
          </w:r>
        </w:sdtContent>
      </w:sdt>
      <w:r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324246983"/>
          <w:citation/>
        </w:sdtPr>
        <w:sdtContent>
          <w:r w:rsidRPr="005C5BCC">
            <w:rPr>
              <w:rFonts w:ascii="Arial" w:eastAsia="Times New Roman" w:hAnsi="Arial" w:cs="Arial"/>
              <w:b w:val="0"/>
              <w:color w:val="auto"/>
              <w:sz w:val="24"/>
              <w:szCs w:val="24"/>
              <w:lang w:val="es-US" w:eastAsia="es-MX"/>
            </w:rPr>
            <w:fldChar w:fldCharType="begin"/>
          </w:r>
          <w:r w:rsidRPr="005C5BCC">
            <w:rPr>
              <w:rFonts w:ascii="Arial" w:eastAsia="Times New Roman" w:hAnsi="Arial" w:cs="Arial"/>
              <w:b w:val="0"/>
              <w:color w:val="auto"/>
              <w:sz w:val="24"/>
              <w:szCs w:val="24"/>
              <w:lang w:val="es-US" w:eastAsia="es-MX"/>
            </w:rPr>
            <w:instrText xml:space="preserve"> CITATION Bus23 \l 1033 </w:instrText>
          </w:r>
          <w:r w:rsidRPr="005C5BCC">
            <w:rPr>
              <w:rFonts w:ascii="Arial" w:eastAsia="Times New Roman" w:hAnsi="Arial" w:cs="Arial"/>
              <w:b w:val="0"/>
              <w:color w:val="auto"/>
              <w:sz w:val="24"/>
              <w:szCs w:val="24"/>
              <w:lang w:val="es-US" w:eastAsia="es-MX"/>
            </w:rPr>
            <w:fldChar w:fldCharType="separate"/>
          </w:r>
          <w:r w:rsidRPr="005C5BCC">
            <w:rPr>
              <w:rFonts w:ascii="Arial" w:eastAsia="Times New Roman" w:hAnsi="Arial" w:cs="Arial"/>
              <w:b w:val="0"/>
              <w:color w:val="auto"/>
              <w:sz w:val="24"/>
              <w:szCs w:val="24"/>
              <w:lang w:val="es-US" w:eastAsia="es-MX"/>
            </w:rPr>
            <w:t>(Bustmante-Mora, Diéguez-Rebolledo, Hormazábal, Valdés, &amp; Cadena, 2023)</w:t>
          </w:r>
          <w:r w:rsidRPr="005C5BCC">
            <w:rPr>
              <w:rFonts w:ascii="Arial" w:eastAsia="Times New Roman" w:hAnsi="Arial" w:cs="Arial"/>
              <w:b w:val="0"/>
              <w:color w:val="auto"/>
              <w:sz w:val="24"/>
              <w:szCs w:val="24"/>
              <w:lang w:val="es-US" w:eastAsia="es-MX"/>
            </w:rPr>
            <w:fldChar w:fldCharType="end"/>
          </w:r>
        </w:sdtContent>
      </w:sdt>
      <w:r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491803445"/>
          <w:citation/>
        </w:sdtPr>
        <w:sdtContent>
          <w:r w:rsidRPr="005C5BCC">
            <w:rPr>
              <w:rFonts w:ascii="Arial" w:eastAsia="Times New Roman" w:hAnsi="Arial" w:cs="Arial"/>
              <w:b w:val="0"/>
              <w:color w:val="auto"/>
              <w:sz w:val="24"/>
              <w:szCs w:val="24"/>
              <w:lang w:val="es-US" w:eastAsia="es-MX"/>
            </w:rPr>
            <w:fldChar w:fldCharType="begin"/>
          </w:r>
          <w:r w:rsidRPr="005C5BCC">
            <w:rPr>
              <w:rFonts w:ascii="Arial" w:eastAsia="Times New Roman" w:hAnsi="Arial" w:cs="Arial"/>
              <w:b w:val="0"/>
              <w:color w:val="auto"/>
              <w:sz w:val="24"/>
              <w:szCs w:val="24"/>
              <w:lang w:val="es-US" w:eastAsia="es-MX"/>
            </w:rPr>
            <w:instrText xml:space="preserve"> CITATION Sol24 \l 1033 </w:instrText>
          </w:r>
          <w:r w:rsidRPr="005C5BCC">
            <w:rPr>
              <w:rFonts w:ascii="Arial" w:eastAsia="Times New Roman" w:hAnsi="Arial" w:cs="Arial"/>
              <w:b w:val="0"/>
              <w:color w:val="auto"/>
              <w:sz w:val="24"/>
              <w:szCs w:val="24"/>
              <w:lang w:val="es-US" w:eastAsia="es-MX"/>
            </w:rPr>
            <w:fldChar w:fldCharType="separate"/>
          </w:r>
          <w:r w:rsidRPr="005C5BCC">
            <w:rPr>
              <w:rFonts w:ascii="Arial" w:eastAsia="Times New Roman" w:hAnsi="Arial" w:cs="Arial"/>
              <w:b w:val="0"/>
              <w:color w:val="auto"/>
              <w:sz w:val="24"/>
              <w:szCs w:val="24"/>
              <w:lang w:val="es-US" w:eastAsia="es-MX"/>
            </w:rPr>
            <w:t xml:space="preserve"> (Solís García, Real Castelao, &amp; Barreiro-Collazo , 2024)</w:t>
          </w:r>
          <w:r w:rsidRPr="005C5BCC">
            <w:rPr>
              <w:rFonts w:ascii="Arial" w:eastAsia="Times New Roman" w:hAnsi="Arial" w:cs="Arial"/>
              <w:b w:val="0"/>
              <w:color w:val="auto"/>
              <w:sz w:val="24"/>
              <w:szCs w:val="24"/>
              <w:lang w:val="es-US" w:eastAsia="es-MX"/>
            </w:rPr>
            <w:fldChar w:fldCharType="end"/>
          </w:r>
        </w:sdtContent>
      </w:sdt>
      <w:r w:rsidRPr="005C5BCC">
        <w:rPr>
          <w:rFonts w:ascii="Arial" w:eastAsia="Times New Roman" w:hAnsi="Arial" w:cs="Arial"/>
          <w:b w:val="0"/>
          <w:color w:val="auto"/>
          <w:sz w:val="24"/>
          <w:szCs w:val="24"/>
          <w:lang w:val="es-US" w:eastAsia="es-MX"/>
        </w:rPr>
        <w:t>.</w:t>
      </w:r>
    </w:p>
    <w:p w14:paraId="4BD8E7F1" w14:textId="77777777" w:rsidR="00A77559" w:rsidRPr="005C5BCC" w:rsidRDefault="00A77559" w:rsidP="00A77559">
      <w:pPr>
        <w:spacing w:line="240" w:lineRule="auto"/>
        <w:rPr>
          <w:rFonts w:ascii="Arial" w:eastAsia="Times New Roman" w:hAnsi="Arial" w:cs="Arial"/>
          <w:b w:val="0"/>
          <w:color w:val="auto"/>
          <w:sz w:val="24"/>
          <w:szCs w:val="24"/>
          <w:lang w:val="es-US" w:eastAsia="es-MX"/>
        </w:rPr>
      </w:pPr>
    </w:p>
    <w:p w14:paraId="5B46E4DC" w14:textId="68AABC97"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Los estudiantes de la muestra experimentaron niveles moderados a extremadamente graves de estrés (13,03%), ansiedad (15,96%) y depresión (14,36%), lo que destaca la necesidad de investigaciones adicionales para comprender mejor estos porcentajes. Estos hallazgos pueden aportar intervenciones proactivas para abordar los trastornos mentales en estudiantes de ingeniería</w:t>
      </w:r>
      <w:r w:rsidR="0010113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410614687"/>
          <w:citation/>
        </w:sdtPr>
        <w:sdtContent>
          <w:r w:rsidR="0010113C" w:rsidRPr="005C5BCC">
            <w:rPr>
              <w:rFonts w:ascii="Arial" w:eastAsia="Times New Roman" w:hAnsi="Arial" w:cs="Arial"/>
              <w:b w:val="0"/>
              <w:color w:val="auto"/>
              <w:sz w:val="24"/>
              <w:szCs w:val="24"/>
              <w:lang w:val="es-US" w:eastAsia="es-MX"/>
            </w:rPr>
            <w:fldChar w:fldCharType="begin"/>
          </w:r>
          <w:r w:rsidR="0010113C" w:rsidRPr="005C5BCC">
            <w:rPr>
              <w:rFonts w:ascii="Arial" w:eastAsia="Times New Roman" w:hAnsi="Arial" w:cs="Arial"/>
              <w:b w:val="0"/>
              <w:color w:val="auto"/>
              <w:sz w:val="24"/>
              <w:szCs w:val="24"/>
              <w:lang w:eastAsia="es-MX"/>
            </w:rPr>
            <w:instrText xml:space="preserve"> CITATION Wan22 \l 3082 </w:instrText>
          </w:r>
          <w:r w:rsidR="0010113C" w:rsidRPr="005C5BCC">
            <w:rPr>
              <w:rFonts w:ascii="Arial" w:eastAsia="Times New Roman" w:hAnsi="Arial" w:cs="Arial"/>
              <w:b w:val="0"/>
              <w:color w:val="auto"/>
              <w:sz w:val="24"/>
              <w:szCs w:val="24"/>
              <w:lang w:val="es-US" w:eastAsia="es-MX"/>
            </w:rPr>
            <w:fldChar w:fldCharType="separate"/>
          </w:r>
          <w:r w:rsidR="0010113C" w:rsidRPr="005C5BCC">
            <w:rPr>
              <w:rFonts w:ascii="Arial" w:eastAsia="Times New Roman" w:hAnsi="Arial" w:cs="Arial"/>
              <w:b w:val="0"/>
              <w:noProof/>
              <w:color w:val="auto"/>
              <w:sz w:val="24"/>
              <w:szCs w:val="24"/>
              <w:lang w:eastAsia="es-MX"/>
            </w:rPr>
            <w:t>(Wang, Zhou, Wu, &amp; Chen, 2022)</w:t>
          </w:r>
          <w:r w:rsidR="0010113C" w:rsidRPr="005C5BCC">
            <w:rPr>
              <w:rFonts w:ascii="Arial" w:eastAsia="Times New Roman" w:hAnsi="Arial" w:cs="Arial"/>
              <w:b w:val="0"/>
              <w:color w:val="auto"/>
              <w:sz w:val="24"/>
              <w:szCs w:val="24"/>
              <w:lang w:val="es-US" w:eastAsia="es-MX"/>
            </w:rPr>
            <w:fldChar w:fldCharType="end"/>
          </w:r>
        </w:sdtContent>
      </w:sdt>
      <w:r w:rsidR="005C5BCC" w:rsidRPr="005C5BCC">
        <w:rPr>
          <w:rFonts w:ascii="Arial" w:eastAsia="Times New Roman" w:hAnsi="Arial" w:cs="Arial"/>
          <w:b w:val="0"/>
          <w:color w:val="auto"/>
          <w:sz w:val="24"/>
          <w:szCs w:val="24"/>
          <w:lang w:val="es-US" w:eastAsia="es-MX"/>
        </w:rPr>
        <w:t>.</w:t>
      </w:r>
    </w:p>
    <w:p w14:paraId="49C6C3BB" w14:textId="77777777" w:rsidR="00A77559" w:rsidRPr="005C5BCC" w:rsidRDefault="00A77559" w:rsidP="00A77559">
      <w:pPr>
        <w:spacing w:line="240" w:lineRule="auto"/>
        <w:rPr>
          <w:rFonts w:ascii="Arial" w:eastAsia="Times New Roman" w:hAnsi="Arial" w:cs="Arial"/>
          <w:b w:val="0"/>
          <w:color w:val="auto"/>
          <w:sz w:val="24"/>
          <w:szCs w:val="24"/>
          <w:lang w:val="es-US" w:eastAsia="es-MX"/>
        </w:rPr>
      </w:pPr>
    </w:p>
    <w:p w14:paraId="694FC7C7" w14:textId="0CB15C47" w:rsidR="00A77559" w:rsidRPr="005C5BCC" w:rsidRDefault="00A77559" w:rsidP="00A77559">
      <w:pPr>
        <w:spacing w:line="240" w:lineRule="auto"/>
        <w:jc w:val="both"/>
        <w:rPr>
          <w:rFonts w:ascii="Arial" w:eastAsia="Times New Roman" w:hAnsi="Arial" w:cs="Arial"/>
          <w:b w:val="0"/>
          <w:color w:val="auto"/>
          <w:sz w:val="24"/>
          <w:szCs w:val="24"/>
          <w:lang w:val="es-US" w:eastAsia="es-MX"/>
        </w:rPr>
      </w:pPr>
      <w:r w:rsidRPr="005C5BCC">
        <w:rPr>
          <w:rFonts w:ascii="Arial" w:eastAsia="Times New Roman" w:hAnsi="Arial" w:cs="Arial"/>
          <w:b w:val="0"/>
          <w:color w:val="auto"/>
          <w:sz w:val="24"/>
          <w:szCs w:val="24"/>
          <w:lang w:val="es-US" w:eastAsia="es-MX"/>
        </w:rPr>
        <w:t xml:space="preserve">La comprensión de la salud mental en mujeres de ingeniería conduce a beneficios significativos, como el desarrollo de intervenciones más efectivas y la reducción de disparidades, creando nuevas oportunidades laborales, contribuyendo en un 67%.  Este estudio contribuye a los Objetivos de Desarrollo Sostenible (ONU), </w:t>
      </w:r>
      <w:r w:rsidRPr="005C5BCC">
        <w:rPr>
          <w:rFonts w:ascii="Arial" w:eastAsia="Times New Roman" w:hAnsi="Arial" w:cs="Arial"/>
          <w:b w:val="0"/>
          <w:color w:val="auto"/>
          <w:sz w:val="24"/>
          <w:szCs w:val="24"/>
          <w:lang w:val="es-US" w:eastAsia="es-MX"/>
        </w:rPr>
        <w:lastRenderedPageBreak/>
        <w:t xml:space="preserve">específicamente los relacionados con la salud y la educación de calidad  </w:t>
      </w:r>
      <w:sdt>
        <w:sdtPr>
          <w:rPr>
            <w:rFonts w:ascii="Arial" w:eastAsia="Times New Roman" w:hAnsi="Arial" w:cs="Arial"/>
            <w:b w:val="0"/>
            <w:color w:val="auto"/>
            <w:sz w:val="24"/>
            <w:szCs w:val="24"/>
            <w:lang w:val="es-US" w:eastAsia="es-MX"/>
          </w:rPr>
          <w:id w:val="1452754563"/>
          <w:citation/>
        </w:sdtPr>
        <w:sdtContent>
          <w:r w:rsidRPr="005C5BCC">
            <w:rPr>
              <w:rFonts w:ascii="Arial" w:eastAsia="Times New Roman" w:hAnsi="Arial" w:cs="Arial"/>
              <w:b w:val="0"/>
              <w:color w:val="auto"/>
              <w:sz w:val="24"/>
              <w:szCs w:val="24"/>
              <w:lang w:val="es-US" w:eastAsia="es-MX"/>
            </w:rPr>
            <w:fldChar w:fldCharType="begin"/>
          </w:r>
          <w:r w:rsidRPr="005C5BCC">
            <w:rPr>
              <w:rFonts w:ascii="Arial" w:eastAsia="Times New Roman" w:hAnsi="Arial" w:cs="Arial"/>
              <w:b w:val="0"/>
              <w:color w:val="auto"/>
              <w:sz w:val="24"/>
              <w:szCs w:val="24"/>
              <w:lang w:val="es-US" w:eastAsia="es-MX"/>
            </w:rPr>
            <w:instrText xml:space="preserve"> CITATION Sol24 \l 1033 </w:instrText>
          </w:r>
          <w:r w:rsidRPr="005C5BCC">
            <w:rPr>
              <w:rFonts w:ascii="Arial" w:eastAsia="Times New Roman" w:hAnsi="Arial" w:cs="Arial"/>
              <w:b w:val="0"/>
              <w:color w:val="auto"/>
              <w:sz w:val="24"/>
              <w:szCs w:val="24"/>
              <w:lang w:val="es-US" w:eastAsia="es-MX"/>
            </w:rPr>
            <w:fldChar w:fldCharType="separate"/>
          </w:r>
          <w:r w:rsidRPr="005C5BCC">
            <w:rPr>
              <w:rFonts w:ascii="Arial" w:eastAsia="Times New Roman" w:hAnsi="Arial" w:cs="Arial"/>
              <w:b w:val="0"/>
              <w:noProof/>
              <w:color w:val="auto"/>
              <w:sz w:val="24"/>
              <w:szCs w:val="24"/>
              <w:lang w:val="es-US" w:eastAsia="es-MX"/>
            </w:rPr>
            <w:t>(Solís García, Real Castelao, &amp; Barreiro-Collazo , 2024)</w:t>
          </w:r>
          <w:r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223520597"/>
          <w:citation/>
        </w:sdtPr>
        <w:sdtContent>
          <w:r w:rsidR="0010113C" w:rsidRPr="005C5BCC">
            <w:rPr>
              <w:rFonts w:ascii="Arial" w:eastAsia="Times New Roman" w:hAnsi="Arial" w:cs="Arial"/>
              <w:b w:val="0"/>
              <w:color w:val="auto"/>
              <w:sz w:val="24"/>
              <w:szCs w:val="24"/>
              <w:lang w:val="es-US" w:eastAsia="es-MX"/>
            </w:rPr>
            <w:fldChar w:fldCharType="begin"/>
          </w:r>
          <w:r w:rsidR="0010113C" w:rsidRPr="005C5BCC">
            <w:rPr>
              <w:rFonts w:ascii="Arial" w:eastAsia="Times New Roman" w:hAnsi="Arial" w:cs="Arial"/>
              <w:b w:val="0"/>
              <w:color w:val="auto"/>
              <w:sz w:val="24"/>
              <w:szCs w:val="24"/>
              <w:lang w:eastAsia="es-MX"/>
            </w:rPr>
            <w:instrText xml:space="preserve"> CITATION OEC141 \l 3082 </w:instrText>
          </w:r>
          <w:r w:rsidR="0010113C" w:rsidRPr="005C5BCC">
            <w:rPr>
              <w:rFonts w:ascii="Arial" w:eastAsia="Times New Roman" w:hAnsi="Arial" w:cs="Arial"/>
              <w:b w:val="0"/>
              <w:color w:val="auto"/>
              <w:sz w:val="24"/>
              <w:szCs w:val="24"/>
              <w:lang w:val="es-US" w:eastAsia="es-MX"/>
            </w:rPr>
            <w:fldChar w:fldCharType="separate"/>
          </w:r>
          <w:r w:rsidR="0010113C" w:rsidRPr="005C5BCC">
            <w:rPr>
              <w:rFonts w:ascii="Arial" w:eastAsia="Times New Roman" w:hAnsi="Arial" w:cs="Arial"/>
              <w:b w:val="0"/>
              <w:noProof/>
              <w:color w:val="auto"/>
              <w:sz w:val="24"/>
              <w:szCs w:val="24"/>
              <w:lang w:eastAsia="es-MX"/>
            </w:rPr>
            <w:t>(OECD Health Policy Studies, 2014)</w:t>
          </w:r>
          <w:r w:rsidR="0010113C"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 xml:space="preserve"> </w:t>
      </w:r>
      <w:sdt>
        <w:sdtPr>
          <w:rPr>
            <w:rFonts w:ascii="Arial" w:eastAsia="Times New Roman" w:hAnsi="Arial" w:cs="Arial"/>
            <w:b w:val="0"/>
            <w:color w:val="auto"/>
            <w:sz w:val="24"/>
            <w:szCs w:val="24"/>
            <w:lang w:val="es-US" w:eastAsia="es-MX"/>
          </w:rPr>
          <w:id w:val="1696187630"/>
          <w:citation/>
        </w:sdtPr>
        <w:sdtContent>
          <w:r w:rsidR="00DA195A" w:rsidRPr="005C5BCC">
            <w:rPr>
              <w:rFonts w:ascii="Arial" w:eastAsia="Times New Roman" w:hAnsi="Arial" w:cs="Arial"/>
              <w:b w:val="0"/>
              <w:color w:val="auto"/>
              <w:sz w:val="24"/>
              <w:szCs w:val="24"/>
              <w:lang w:val="es-US" w:eastAsia="es-MX"/>
            </w:rPr>
            <w:fldChar w:fldCharType="begin"/>
          </w:r>
          <w:r w:rsidR="00DA195A" w:rsidRPr="005C5BCC">
            <w:rPr>
              <w:rFonts w:ascii="Arial" w:eastAsia="Times New Roman" w:hAnsi="Arial" w:cs="Arial"/>
              <w:b w:val="0"/>
              <w:color w:val="auto"/>
              <w:sz w:val="24"/>
              <w:szCs w:val="24"/>
              <w:lang w:eastAsia="es-MX"/>
            </w:rPr>
            <w:instrText xml:space="preserve"> CITATION Jen22 \l 3082 </w:instrText>
          </w:r>
          <w:r w:rsidR="00DA195A" w:rsidRPr="005C5BCC">
            <w:rPr>
              <w:rFonts w:ascii="Arial" w:eastAsia="Times New Roman" w:hAnsi="Arial" w:cs="Arial"/>
              <w:b w:val="0"/>
              <w:color w:val="auto"/>
              <w:sz w:val="24"/>
              <w:szCs w:val="24"/>
              <w:lang w:val="es-US" w:eastAsia="es-MX"/>
            </w:rPr>
            <w:fldChar w:fldCharType="separate"/>
          </w:r>
          <w:r w:rsidR="00DA195A" w:rsidRPr="005C5BCC">
            <w:rPr>
              <w:rFonts w:ascii="Arial" w:eastAsia="Times New Roman" w:hAnsi="Arial" w:cs="Arial"/>
              <w:b w:val="0"/>
              <w:noProof/>
              <w:color w:val="auto"/>
              <w:sz w:val="24"/>
              <w:szCs w:val="24"/>
              <w:lang w:eastAsia="es-MX"/>
            </w:rPr>
            <w:t>(Jensen, Johnson, Mirabelli, &amp; Vohra, 2022)</w:t>
          </w:r>
          <w:r w:rsidR="00DA195A" w:rsidRPr="005C5BCC">
            <w:rPr>
              <w:rFonts w:ascii="Arial" w:eastAsia="Times New Roman" w:hAnsi="Arial" w:cs="Arial"/>
              <w:b w:val="0"/>
              <w:color w:val="auto"/>
              <w:sz w:val="24"/>
              <w:szCs w:val="24"/>
              <w:lang w:val="es-US" w:eastAsia="es-MX"/>
            </w:rPr>
            <w:fldChar w:fldCharType="end"/>
          </w:r>
        </w:sdtContent>
      </w:sdt>
      <w:r w:rsidR="0010113C" w:rsidRPr="005C5BCC">
        <w:rPr>
          <w:rFonts w:ascii="Arial" w:eastAsia="Times New Roman" w:hAnsi="Arial" w:cs="Arial"/>
          <w:b w:val="0"/>
          <w:color w:val="auto"/>
          <w:sz w:val="24"/>
          <w:szCs w:val="24"/>
          <w:lang w:val="es-US" w:eastAsia="es-MX"/>
        </w:rPr>
        <w:t>.</w:t>
      </w:r>
    </w:p>
    <w:p w14:paraId="34B01E3F" w14:textId="77777777" w:rsidR="00A77559" w:rsidRDefault="00A77559" w:rsidP="00A77559">
      <w:pPr>
        <w:spacing w:after="240" w:line="240" w:lineRule="auto"/>
        <w:rPr>
          <w:rFonts w:ascii="Arial" w:eastAsia="Times New Roman" w:hAnsi="Arial" w:cs="Arial"/>
          <w:b w:val="0"/>
          <w:color w:val="auto"/>
          <w:sz w:val="24"/>
          <w:szCs w:val="24"/>
          <w:lang w:val="es-US" w:eastAsia="es-MX"/>
        </w:rPr>
      </w:pPr>
    </w:p>
    <w:sdt>
      <w:sdtPr>
        <w:id w:val="1048192861"/>
        <w:docPartObj>
          <w:docPartGallery w:val="Bibliographies"/>
          <w:docPartUnique/>
        </w:docPartObj>
      </w:sdtPr>
      <w:sdtEndPr>
        <w:rPr>
          <w:rFonts w:eastAsia="MS Mincho" w:cs="Arial"/>
          <w:b w:val="0"/>
          <w:bCs/>
          <w:color w:val="auto"/>
          <w:kern w:val="0"/>
          <w:sz w:val="24"/>
          <w:szCs w:val="24"/>
        </w:rPr>
      </w:sdtEndPr>
      <w:sdtContent>
        <w:p w14:paraId="1BF632F2" w14:textId="14CD3380" w:rsidR="00F270CF" w:rsidRPr="00292486" w:rsidRDefault="00F270CF">
          <w:pPr>
            <w:pStyle w:val="Heading1"/>
            <w:rPr>
              <w:rFonts w:cs="Arial"/>
              <w:b w:val="0"/>
              <w:bCs/>
              <w:color w:val="auto"/>
              <w:sz w:val="24"/>
              <w:szCs w:val="24"/>
              <w:lang w:val="en-US"/>
            </w:rPr>
          </w:pPr>
          <w:r w:rsidRPr="00292486">
            <w:rPr>
              <w:rFonts w:cs="Arial"/>
              <w:b w:val="0"/>
              <w:bCs/>
              <w:color w:val="auto"/>
              <w:sz w:val="24"/>
              <w:szCs w:val="24"/>
              <w:lang w:val="en-US"/>
            </w:rPr>
            <w:t>References</w:t>
          </w:r>
        </w:p>
        <w:sdt>
          <w:sdtPr>
            <w:rPr>
              <w:rFonts w:ascii="Arial" w:hAnsi="Arial" w:cs="Arial"/>
              <w:b w:val="0"/>
              <w:bCs/>
              <w:color w:val="auto"/>
              <w:sz w:val="24"/>
              <w:szCs w:val="24"/>
            </w:rPr>
            <w:id w:val="-573587230"/>
            <w:bibliography/>
          </w:sdtPr>
          <w:sdtContent>
            <w:p w14:paraId="72B34C44" w14:textId="77777777" w:rsidR="00F270CF" w:rsidRPr="00292486" w:rsidRDefault="00F270CF" w:rsidP="00F270CF">
              <w:pPr>
                <w:pStyle w:val="Bibliography"/>
                <w:ind w:left="720" w:hanging="720"/>
                <w:rPr>
                  <w:rFonts w:ascii="Arial" w:hAnsi="Arial" w:cs="Arial"/>
                  <w:b w:val="0"/>
                  <w:bCs/>
                  <w:noProof/>
                  <w:color w:val="auto"/>
                  <w:sz w:val="24"/>
                  <w:szCs w:val="24"/>
                </w:rPr>
              </w:pPr>
              <w:r w:rsidRPr="00292486">
                <w:rPr>
                  <w:rFonts w:ascii="Arial" w:hAnsi="Arial" w:cs="Arial"/>
                  <w:b w:val="0"/>
                  <w:bCs/>
                  <w:color w:val="auto"/>
                  <w:sz w:val="24"/>
                  <w:szCs w:val="24"/>
                </w:rPr>
                <w:fldChar w:fldCharType="begin"/>
              </w:r>
              <w:r w:rsidRPr="00292486">
                <w:rPr>
                  <w:rFonts w:ascii="Arial" w:hAnsi="Arial" w:cs="Arial"/>
                  <w:b w:val="0"/>
                  <w:bCs/>
                  <w:color w:val="auto"/>
                  <w:sz w:val="24"/>
                  <w:szCs w:val="24"/>
                  <w:lang w:val="en-US"/>
                </w:rPr>
                <w:instrText xml:space="preserve"> BIBLIOGRAPHY </w:instrText>
              </w:r>
              <w:r w:rsidRPr="00292486">
                <w:rPr>
                  <w:rFonts w:ascii="Arial" w:hAnsi="Arial" w:cs="Arial"/>
                  <w:b w:val="0"/>
                  <w:bCs/>
                  <w:color w:val="auto"/>
                  <w:sz w:val="24"/>
                  <w:szCs w:val="24"/>
                </w:rPr>
                <w:fldChar w:fldCharType="separate"/>
              </w:r>
              <w:r w:rsidRPr="00292486">
                <w:rPr>
                  <w:rFonts w:ascii="Arial" w:hAnsi="Arial" w:cs="Arial"/>
                  <w:b w:val="0"/>
                  <w:bCs/>
                  <w:noProof/>
                  <w:color w:val="auto"/>
                  <w:sz w:val="24"/>
                  <w:szCs w:val="24"/>
                  <w:lang w:val="en-US"/>
                </w:rPr>
                <w:t xml:space="preserve">Andrew Danowitz, &amp; Kacey Beddoes. (2022). Mental Health in Engineering Education: Identifying Population and Intersectional Variation. </w:t>
              </w:r>
              <w:r w:rsidRPr="00292486">
                <w:rPr>
                  <w:rFonts w:ascii="Arial" w:hAnsi="Arial" w:cs="Arial"/>
                  <w:b w:val="0"/>
                  <w:bCs/>
                  <w:i/>
                  <w:iCs/>
                  <w:noProof/>
                  <w:color w:val="auto"/>
                  <w:sz w:val="24"/>
                  <w:szCs w:val="24"/>
                </w:rPr>
                <w:t>SJSU ScholarWorks</w:t>
              </w:r>
              <w:r w:rsidRPr="00292486">
                <w:rPr>
                  <w:rFonts w:ascii="Arial" w:hAnsi="Arial" w:cs="Arial"/>
                  <w:b w:val="0"/>
                  <w:bCs/>
                  <w:noProof/>
                  <w:color w:val="auto"/>
                  <w:sz w:val="24"/>
                  <w:szCs w:val="24"/>
                </w:rPr>
                <w:t>, 257-266.</w:t>
              </w:r>
            </w:p>
            <w:p w14:paraId="6381B8E6"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s-CO"/>
                </w:rPr>
                <w:t xml:space="preserve">Bustmante-Mora, A., Diéguez-Rebolledo, M., Hormazábal, Y., Valdés, Y., &amp; Cadena, R. (2023). </w:t>
              </w:r>
              <w:r w:rsidRPr="00292486">
                <w:rPr>
                  <w:rFonts w:ascii="Arial" w:hAnsi="Arial" w:cs="Arial"/>
                  <w:b w:val="0"/>
                  <w:bCs/>
                  <w:noProof/>
                  <w:color w:val="auto"/>
                  <w:sz w:val="24"/>
                  <w:szCs w:val="24"/>
                  <w:lang w:val="en-US"/>
                </w:rPr>
                <w:t xml:space="preserve">Learning Models for Higher Education in Engineering: Motivation, Self-Determination, and the Role of Information and Communication Technologies. </w:t>
              </w:r>
              <w:r w:rsidRPr="00292486">
                <w:rPr>
                  <w:rFonts w:ascii="Arial" w:hAnsi="Arial" w:cs="Arial"/>
                  <w:b w:val="0"/>
                  <w:bCs/>
                  <w:i/>
                  <w:iCs/>
                  <w:noProof/>
                  <w:color w:val="auto"/>
                  <w:sz w:val="24"/>
                  <w:szCs w:val="24"/>
                  <w:lang w:val="en-US"/>
                </w:rPr>
                <w:t>sustainability</w:t>
              </w:r>
              <w:r w:rsidRPr="00292486">
                <w:rPr>
                  <w:rFonts w:ascii="Arial" w:hAnsi="Arial" w:cs="Arial"/>
                  <w:b w:val="0"/>
                  <w:bCs/>
                  <w:noProof/>
                  <w:color w:val="auto"/>
                  <w:sz w:val="24"/>
                  <w:szCs w:val="24"/>
                  <w:lang w:val="en-US"/>
                </w:rPr>
                <w:t>, 12869.</w:t>
              </w:r>
            </w:p>
            <w:p w14:paraId="029F347D"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Chisholm, &amp; Dan. (2013). Investing in Mental Health: Evidence for Action. </w:t>
              </w:r>
              <w:r w:rsidRPr="00292486">
                <w:rPr>
                  <w:rFonts w:ascii="Arial" w:hAnsi="Arial" w:cs="Arial"/>
                  <w:b w:val="0"/>
                  <w:bCs/>
                  <w:i/>
                  <w:iCs/>
                  <w:noProof/>
                  <w:color w:val="auto"/>
                  <w:sz w:val="24"/>
                  <w:szCs w:val="24"/>
                  <w:lang w:val="en-US"/>
                </w:rPr>
                <w:t>World Health Organization</w:t>
              </w:r>
              <w:r w:rsidRPr="00292486">
                <w:rPr>
                  <w:rFonts w:ascii="Arial" w:hAnsi="Arial" w:cs="Arial"/>
                  <w:b w:val="0"/>
                  <w:bCs/>
                  <w:noProof/>
                  <w:color w:val="auto"/>
                  <w:sz w:val="24"/>
                  <w:szCs w:val="24"/>
                  <w:lang w:val="en-US"/>
                </w:rPr>
                <w:t>.</w:t>
              </w:r>
            </w:p>
            <w:p w14:paraId="30AD4639"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Courtney J. Wright, Sarah A. Wilson, &amp; Joseph H. Hammer. (2023). Mental health in undergraduate engineering students: Identifying facilitators and barriers to seeking help. </w:t>
              </w:r>
              <w:r w:rsidRPr="00292486">
                <w:rPr>
                  <w:rFonts w:ascii="Arial" w:hAnsi="Arial" w:cs="Arial"/>
                  <w:b w:val="0"/>
                  <w:bCs/>
                  <w:i/>
                  <w:iCs/>
                  <w:noProof/>
                  <w:color w:val="auto"/>
                  <w:sz w:val="24"/>
                  <w:szCs w:val="24"/>
                  <w:lang w:val="en-US"/>
                </w:rPr>
                <w:t>Journal of Engineering Education</w:t>
              </w:r>
              <w:r w:rsidRPr="00292486">
                <w:rPr>
                  <w:rFonts w:ascii="Arial" w:hAnsi="Arial" w:cs="Arial"/>
                  <w:b w:val="0"/>
                  <w:bCs/>
                  <w:noProof/>
                  <w:color w:val="auto"/>
                  <w:sz w:val="24"/>
                  <w:szCs w:val="24"/>
                  <w:lang w:val="en-US"/>
                </w:rPr>
                <w:t>, 963-986.</w:t>
              </w:r>
            </w:p>
            <w:p w14:paraId="026BD600"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Deziel, M., Olawo, D., Truchon, L., &amp; Golab, L. (2014). Analyzing the Mental Health of Engineering Students using Classification and Regression. </w:t>
              </w:r>
              <w:r w:rsidRPr="00292486">
                <w:rPr>
                  <w:rFonts w:ascii="Arial" w:hAnsi="Arial" w:cs="Arial"/>
                  <w:b w:val="0"/>
                  <w:bCs/>
                  <w:i/>
                  <w:iCs/>
                  <w:noProof/>
                  <w:color w:val="auto"/>
                  <w:sz w:val="24"/>
                  <w:szCs w:val="24"/>
                  <w:lang w:val="en-US"/>
                </w:rPr>
                <w:t>University of Waterloo</w:t>
              </w:r>
              <w:r w:rsidRPr="00292486">
                <w:rPr>
                  <w:rFonts w:ascii="Arial" w:hAnsi="Arial" w:cs="Arial"/>
                  <w:b w:val="0"/>
                  <w:bCs/>
                  <w:noProof/>
                  <w:color w:val="auto"/>
                  <w:sz w:val="24"/>
                  <w:szCs w:val="24"/>
                  <w:lang w:val="en-US"/>
                </w:rPr>
                <w:t>.</w:t>
              </w:r>
            </w:p>
            <w:p w14:paraId="7DFD6795"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Gormaz, D. L., Galarce, C. M., &amp; Hortsch, H. (2021). Evaluation of Teacher Training Needs in Engineering Pedagogy. </w:t>
              </w:r>
              <w:r w:rsidRPr="00292486">
                <w:rPr>
                  <w:rFonts w:ascii="Arial" w:hAnsi="Arial" w:cs="Arial"/>
                  <w:b w:val="0"/>
                  <w:bCs/>
                  <w:i/>
                  <w:iCs/>
                  <w:noProof/>
                  <w:color w:val="auto"/>
                  <w:sz w:val="24"/>
                  <w:szCs w:val="24"/>
                  <w:lang w:val="en-US"/>
                </w:rPr>
                <w:t>Higher Education in Russia</w:t>
              </w:r>
              <w:r w:rsidRPr="00292486">
                <w:rPr>
                  <w:rFonts w:ascii="Arial" w:hAnsi="Arial" w:cs="Arial"/>
                  <w:b w:val="0"/>
                  <w:bCs/>
                  <w:noProof/>
                  <w:color w:val="auto"/>
                  <w:sz w:val="24"/>
                  <w:szCs w:val="24"/>
                  <w:lang w:val="en-US"/>
                </w:rPr>
                <w:t>.</w:t>
              </w:r>
            </w:p>
            <w:p w14:paraId="7D7BB810"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Huang, Y., Wongpakaran, T., Wongpakaran, N., Bhatarasakoon, P., Pichayapan, P., &amp; Worland, S. (2023). Depression and Its Associated Factors among Undergraduate Engineering Students: A Cross-Sectional Survey in Thailand. </w:t>
              </w:r>
              <w:r w:rsidRPr="00292486">
                <w:rPr>
                  <w:rFonts w:ascii="Arial" w:hAnsi="Arial" w:cs="Arial"/>
                  <w:b w:val="0"/>
                  <w:bCs/>
                  <w:i/>
                  <w:iCs/>
                  <w:noProof/>
                  <w:color w:val="auto"/>
                  <w:sz w:val="24"/>
                  <w:szCs w:val="24"/>
                  <w:lang w:val="en-US"/>
                </w:rPr>
                <w:t>healthcare</w:t>
              </w:r>
              <w:r w:rsidRPr="00292486">
                <w:rPr>
                  <w:rFonts w:ascii="Arial" w:hAnsi="Arial" w:cs="Arial"/>
                  <w:b w:val="0"/>
                  <w:bCs/>
                  <w:noProof/>
                  <w:color w:val="auto"/>
                  <w:sz w:val="24"/>
                  <w:szCs w:val="24"/>
                  <w:lang w:val="en-US"/>
                </w:rPr>
                <w:t>.</w:t>
              </w:r>
            </w:p>
            <w:p w14:paraId="0E51352D"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J. E. Tait, L. A. (2024). Interventions to support the mental health and wellbeing of engineering students: a scoping review. </w:t>
              </w:r>
              <w:r w:rsidRPr="00292486">
                <w:rPr>
                  <w:rFonts w:ascii="Arial" w:hAnsi="Arial" w:cs="Arial"/>
                  <w:b w:val="0"/>
                  <w:bCs/>
                  <w:i/>
                  <w:iCs/>
                  <w:noProof/>
                  <w:color w:val="auto"/>
                  <w:sz w:val="24"/>
                  <w:szCs w:val="24"/>
                  <w:lang w:val="en-US"/>
                </w:rPr>
                <w:t>European Journal of Engineering Education</w:t>
              </w:r>
              <w:r w:rsidRPr="00292486">
                <w:rPr>
                  <w:rFonts w:ascii="Arial" w:hAnsi="Arial" w:cs="Arial"/>
                  <w:b w:val="0"/>
                  <w:bCs/>
                  <w:noProof/>
                  <w:color w:val="auto"/>
                  <w:sz w:val="24"/>
                  <w:szCs w:val="24"/>
                  <w:lang w:val="en-US"/>
                </w:rPr>
                <w:t>, 45-69.</w:t>
              </w:r>
            </w:p>
            <w:p w14:paraId="5C71C075"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Jensen, K., Johnson, E., Mirabelli, J., &amp; Vohra, S. R. (2022). American Society for Engineering Education. </w:t>
              </w:r>
              <w:r w:rsidRPr="00292486">
                <w:rPr>
                  <w:rFonts w:ascii="Arial" w:hAnsi="Arial" w:cs="Arial"/>
                  <w:b w:val="0"/>
                  <w:bCs/>
                  <w:i/>
                  <w:iCs/>
                  <w:noProof/>
                  <w:color w:val="auto"/>
                  <w:sz w:val="24"/>
                  <w:szCs w:val="24"/>
                  <w:lang w:val="en-US"/>
                </w:rPr>
                <w:t>American Society for Engineering Education</w:t>
              </w:r>
              <w:r w:rsidRPr="00292486">
                <w:rPr>
                  <w:rFonts w:ascii="Arial" w:hAnsi="Arial" w:cs="Arial"/>
                  <w:b w:val="0"/>
                  <w:bCs/>
                  <w:noProof/>
                  <w:color w:val="auto"/>
                  <w:sz w:val="24"/>
                  <w:szCs w:val="24"/>
                  <w:lang w:val="en-US"/>
                </w:rPr>
                <w:t>.</w:t>
              </w:r>
            </w:p>
            <w:p w14:paraId="12F142CA"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M, T. B., C, C. R., F, J. L., V, M. G., P, C. A., F, C. F., . . . </w:t>
              </w:r>
              <w:r w:rsidRPr="00292486">
                <w:rPr>
                  <w:rFonts w:ascii="Arial" w:hAnsi="Arial" w:cs="Arial"/>
                  <w:b w:val="0"/>
                  <w:bCs/>
                  <w:noProof/>
                  <w:color w:val="auto"/>
                  <w:sz w:val="24"/>
                  <w:szCs w:val="24"/>
                </w:rPr>
                <w:t xml:space="preserve">B, P. D. (2014). Diagnóstico de la prevalencia de trastornos de la salud mental en estudiantes universitarios y los factores de riesgo emocionales asociados. </w:t>
              </w:r>
              <w:r w:rsidRPr="00292486">
                <w:rPr>
                  <w:rFonts w:ascii="Arial" w:hAnsi="Arial" w:cs="Arial"/>
                  <w:b w:val="0"/>
                  <w:bCs/>
                  <w:i/>
                  <w:iCs/>
                  <w:noProof/>
                  <w:color w:val="auto"/>
                  <w:sz w:val="24"/>
                  <w:szCs w:val="24"/>
                  <w:lang w:val="en-US"/>
                </w:rPr>
                <w:t>Sonepsyn</w:t>
              </w:r>
              <w:r w:rsidRPr="00292486">
                <w:rPr>
                  <w:rFonts w:ascii="Arial" w:hAnsi="Arial" w:cs="Arial"/>
                  <w:b w:val="0"/>
                  <w:bCs/>
                  <w:noProof/>
                  <w:color w:val="auto"/>
                  <w:sz w:val="24"/>
                  <w:szCs w:val="24"/>
                  <w:lang w:val="en-US"/>
                </w:rPr>
                <w:t>.</w:t>
              </w:r>
            </w:p>
            <w:p w14:paraId="4C9C03A4"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OECD Health Policy Studies. (2014). Focus on Health. </w:t>
              </w:r>
              <w:r w:rsidRPr="00292486">
                <w:rPr>
                  <w:rFonts w:ascii="Arial" w:hAnsi="Arial" w:cs="Arial"/>
                  <w:b w:val="0"/>
                  <w:bCs/>
                  <w:i/>
                  <w:iCs/>
                  <w:noProof/>
                  <w:color w:val="auto"/>
                  <w:sz w:val="24"/>
                  <w:szCs w:val="24"/>
                  <w:lang w:val="en-US"/>
                </w:rPr>
                <w:t>Making Mental Health Count</w:t>
              </w:r>
              <w:r w:rsidRPr="00292486">
                <w:rPr>
                  <w:rFonts w:ascii="Arial" w:hAnsi="Arial" w:cs="Arial"/>
                  <w:b w:val="0"/>
                  <w:bCs/>
                  <w:noProof/>
                  <w:color w:val="auto"/>
                  <w:sz w:val="24"/>
                  <w:szCs w:val="24"/>
                  <w:lang w:val="en-US"/>
                </w:rPr>
                <w:t>.</w:t>
              </w:r>
            </w:p>
            <w:p w14:paraId="184496A1" w14:textId="77777777" w:rsidR="00F270CF" w:rsidRPr="00292486" w:rsidRDefault="00F270CF" w:rsidP="00F270CF">
              <w:pPr>
                <w:pStyle w:val="Bibliography"/>
                <w:ind w:left="720" w:hanging="720"/>
                <w:rPr>
                  <w:rFonts w:ascii="Arial" w:hAnsi="Arial" w:cs="Arial"/>
                  <w:b w:val="0"/>
                  <w:bCs/>
                  <w:noProof/>
                  <w:color w:val="auto"/>
                  <w:sz w:val="24"/>
                  <w:szCs w:val="24"/>
                </w:rPr>
              </w:pPr>
              <w:r w:rsidRPr="00292486">
                <w:rPr>
                  <w:rFonts w:ascii="Arial" w:hAnsi="Arial" w:cs="Arial"/>
                  <w:b w:val="0"/>
                  <w:bCs/>
                  <w:noProof/>
                  <w:color w:val="auto"/>
                  <w:sz w:val="24"/>
                  <w:szCs w:val="24"/>
                </w:rPr>
                <w:t xml:space="preserve">Savio, A. D., Galantini, K., &amp; Pachas, A. (2022). </w:t>
              </w:r>
              <w:r w:rsidRPr="00292486">
                <w:rPr>
                  <w:rFonts w:ascii="Arial" w:hAnsi="Arial" w:cs="Arial"/>
                  <w:b w:val="0"/>
                  <w:bCs/>
                  <w:noProof/>
                  <w:color w:val="auto"/>
                  <w:sz w:val="24"/>
                  <w:szCs w:val="24"/>
                  <w:lang w:val="en-US"/>
                </w:rPr>
                <w:t xml:space="preserve">Exploring the relationship between mental health-related problems and undergraduate student dropout: A case study within a civil engineering program. </w:t>
              </w:r>
              <w:r w:rsidRPr="00292486">
                <w:rPr>
                  <w:rFonts w:ascii="Arial" w:hAnsi="Arial" w:cs="Arial"/>
                  <w:b w:val="0"/>
                  <w:bCs/>
                  <w:i/>
                  <w:iCs/>
                  <w:noProof/>
                  <w:color w:val="auto"/>
                  <w:sz w:val="24"/>
                  <w:szCs w:val="24"/>
                </w:rPr>
                <w:t>Heliyon</w:t>
              </w:r>
              <w:r w:rsidRPr="00292486">
                <w:rPr>
                  <w:rFonts w:ascii="Arial" w:hAnsi="Arial" w:cs="Arial"/>
                  <w:b w:val="0"/>
                  <w:bCs/>
                  <w:noProof/>
                  <w:color w:val="auto"/>
                  <w:sz w:val="24"/>
                  <w:szCs w:val="24"/>
                </w:rPr>
                <w:t>.</w:t>
              </w:r>
            </w:p>
            <w:p w14:paraId="1A534F1F"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rPr>
                <w:lastRenderedPageBreak/>
                <w:t xml:space="preserve">Solís García, P., Real Castelao, S., &amp; Barreiro-Collazo , A. (2024). </w:t>
              </w:r>
              <w:r w:rsidRPr="00292486">
                <w:rPr>
                  <w:rFonts w:ascii="Arial" w:hAnsi="Arial" w:cs="Arial"/>
                  <w:b w:val="0"/>
                  <w:bCs/>
                  <w:noProof/>
                  <w:color w:val="auto"/>
                  <w:sz w:val="24"/>
                  <w:szCs w:val="24"/>
                  <w:lang w:val="en-US"/>
                </w:rPr>
                <w:t xml:space="preserve">Trends and Challenges in the Mental Health of University Students with Disabilities: A Systematic Review. </w:t>
              </w:r>
              <w:r w:rsidRPr="00292486">
                <w:rPr>
                  <w:rFonts w:ascii="Arial" w:hAnsi="Arial" w:cs="Arial"/>
                  <w:b w:val="0"/>
                  <w:bCs/>
                  <w:i/>
                  <w:iCs/>
                  <w:noProof/>
                  <w:color w:val="auto"/>
                  <w:sz w:val="24"/>
                  <w:szCs w:val="24"/>
                  <w:lang w:val="en-US"/>
                </w:rPr>
                <w:t>behavioral sciences</w:t>
              </w:r>
              <w:r w:rsidRPr="00292486">
                <w:rPr>
                  <w:rFonts w:ascii="Arial" w:hAnsi="Arial" w:cs="Arial"/>
                  <w:b w:val="0"/>
                  <w:bCs/>
                  <w:noProof/>
                  <w:color w:val="auto"/>
                  <w:sz w:val="24"/>
                  <w:szCs w:val="24"/>
                  <w:lang w:val="en-US"/>
                </w:rPr>
                <w:t>, 14, 111.</w:t>
              </w:r>
            </w:p>
            <w:p w14:paraId="090F0752" w14:textId="77777777" w:rsidR="00F270CF" w:rsidRPr="00292486" w:rsidRDefault="00F270CF" w:rsidP="00F270CF">
              <w:pPr>
                <w:pStyle w:val="Bibliography"/>
                <w:ind w:left="720" w:hanging="720"/>
                <w:rPr>
                  <w:rFonts w:ascii="Arial" w:hAnsi="Arial" w:cs="Arial"/>
                  <w:b w:val="0"/>
                  <w:bCs/>
                  <w:noProof/>
                  <w:color w:val="auto"/>
                  <w:sz w:val="24"/>
                  <w:szCs w:val="24"/>
                  <w:lang w:val="en-US"/>
                </w:rPr>
              </w:pPr>
              <w:r w:rsidRPr="00292486">
                <w:rPr>
                  <w:rFonts w:ascii="Arial" w:hAnsi="Arial" w:cs="Arial"/>
                  <w:b w:val="0"/>
                  <w:bCs/>
                  <w:noProof/>
                  <w:color w:val="auto"/>
                  <w:sz w:val="24"/>
                  <w:szCs w:val="24"/>
                  <w:lang w:val="en-US"/>
                </w:rPr>
                <w:t xml:space="preserve">Tait, J. E., Alexander, L. A., Hancock, E. I., &amp; Bisset, J. (2023). Interventions to support the mental health. </w:t>
              </w:r>
              <w:r w:rsidRPr="00292486">
                <w:rPr>
                  <w:rFonts w:ascii="Arial" w:hAnsi="Arial" w:cs="Arial"/>
                  <w:b w:val="0"/>
                  <w:bCs/>
                  <w:i/>
                  <w:iCs/>
                  <w:noProof/>
                  <w:color w:val="auto"/>
                  <w:sz w:val="24"/>
                  <w:szCs w:val="24"/>
                  <w:lang w:val="en-US"/>
                </w:rPr>
                <w:t>European Journal of Engineering Education</w:t>
              </w:r>
              <w:r w:rsidRPr="00292486">
                <w:rPr>
                  <w:rFonts w:ascii="Arial" w:hAnsi="Arial" w:cs="Arial"/>
                  <w:b w:val="0"/>
                  <w:bCs/>
                  <w:noProof/>
                  <w:color w:val="auto"/>
                  <w:sz w:val="24"/>
                  <w:szCs w:val="24"/>
                  <w:lang w:val="en-US"/>
                </w:rPr>
                <w:t>.</w:t>
              </w:r>
            </w:p>
            <w:p w14:paraId="20988AF7" w14:textId="77777777" w:rsidR="00F270CF" w:rsidRPr="00292486" w:rsidRDefault="00F270CF" w:rsidP="00F270CF">
              <w:pPr>
                <w:pStyle w:val="Bibliography"/>
                <w:ind w:left="720" w:hanging="720"/>
                <w:rPr>
                  <w:rFonts w:ascii="Arial" w:hAnsi="Arial" w:cs="Arial"/>
                  <w:b w:val="0"/>
                  <w:bCs/>
                  <w:noProof/>
                  <w:color w:val="auto"/>
                  <w:sz w:val="24"/>
                  <w:szCs w:val="24"/>
                </w:rPr>
              </w:pPr>
              <w:r w:rsidRPr="00292486">
                <w:rPr>
                  <w:rFonts w:ascii="Arial" w:hAnsi="Arial" w:cs="Arial"/>
                  <w:b w:val="0"/>
                  <w:bCs/>
                  <w:noProof/>
                  <w:color w:val="auto"/>
                  <w:sz w:val="24"/>
                  <w:szCs w:val="24"/>
                  <w:lang w:val="en-US"/>
                </w:rPr>
                <w:t xml:space="preserve">Wang, L., Zhou, X., Wu, W., &amp; Chen, A. (2022). Moderating Effect of Gender and Engineering Identity on the Association between Interpersonal Relationships and Mental Health of Female Engineering Students. </w:t>
              </w:r>
              <w:r w:rsidRPr="00292486">
                <w:rPr>
                  <w:rFonts w:ascii="Arial" w:hAnsi="Arial" w:cs="Arial"/>
                  <w:b w:val="0"/>
                  <w:bCs/>
                  <w:i/>
                  <w:iCs/>
                  <w:noProof/>
                  <w:color w:val="auto"/>
                  <w:sz w:val="24"/>
                  <w:szCs w:val="24"/>
                </w:rPr>
                <w:t>Environmental Research and Public Health</w:t>
              </w:r>
              <w:r w:rsidRPr="00292486">
                <w:rPr>
                  <w:rFonts w:ascii="Arial" w:hAnsi="Arial" w:cs="Arial"/>
                  <w:b w:val="0"/>
                  <w:bCs/>
                  <w:noProof/>
                  <w:color w:val="auto"/>
                  <w:sz w:val="24"/>
                  <w:szCs w:val="24"/>
                </w:rPr>
                <w:t>.</w:t>
              </w:r>
            </w:p>
            <w:p w14:paraId="4F0D1F11" w14:textId="1A644C3B" w:rsidR="00F270CF" w:rsidRPr="00292486" w:rsidRDefault="00F270CF" w:rsidP="00F270CF">
              <w:pPr>
                <w:rPr>
                  <w:rFonts w:ascii="Arial" w:hAnsi="Arial" w:cs="Arial"/>
                  <w:b w:val="0"/>
                  <w:bCs/>
                  <w:color w:val="auto"/>
                  <w:sz w:val="24"/>
                  <w:szCs w:val="24"/>
                </w:rPr>
              </w:pPr>
              <w:r w:rsidRPr="00292486">
                <w:rPr>
                  <w:rFonts w:ascii="Arial" w:hAnsi="Arial" w:cs="Arial"/>
                  <w:b w:val="0"/>
                  <w:bCs/>
                  <w:noProof/>
                  <w:color w:val="auto"/>
                  <w:sz w:val="24"/>
                  <w:szCs w:val="24"/>
                </w:rPr>
                <w:fldChar w:fldCharType="end"/>
              </w:r>
            </w:p>
          </w:sdtContent>
        </w:sdt>
      </w:sdtContent>
    </w:sdt>
    <w:p w14:paraId="12D34DBF" w14:textId="77777777" w:rsidR="00F270CF" w:rsidRPr="00292486" w:rsidRDefault="00F270CF" w:rsidP="00A77559">
      <w:pPr>
        <w:spacing w:after="240" w:line="240" w:lineRule="auto"/>
        <w:rPr>
          <w:rFonts w:ascii="Arial" w:eastAsia="Times New Roman" w:hAnsi="Arial" w:cs="Arial"/>
          <w:b w:val="0"/>
          <w:bCs/>
          <w:color w:val="auto"/>
          <w:sz w:val="24"/>
          <w:szCs w:val="24"/>
          <w:lang w:val="es-US" w:eastAsia="es-MX"/>
        </w:rPr>
      </w:pPr>
    </w:p>
    <w:p w14:paraId="16F948DA" w14:textId="77777777" w:rsidR="00963540" w:rsidRPr="00292486" w:rsidRDefault="00963540">
      <w:pPr>
        <w:rPr>
          <w:rFonts w:ascii="Arial" w:hAnsi="Arial" w:cs="Arial"/>
          <w:b w:val="0"/>
          <w:bCs/>
          <w:color w:val="auto"/>
          <w:lang w:val="es-US"/>
        </w:rPr>
      </w:pPr>
    </w:p>
    <w:sectPr w:rsidR="00963540" w:rsidRPr="00292486" w:rsidSect="0029532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9"/>
    <w:rsid w:val="0010113C"/>
    <w:rsid w:val="002704F3"/>
    <w:rsid w:val="00292486"/>
    <w:rsid w:val="00295327"/>
    <w:rsid w:val="005C5BCC"/>
    <w:rsid w:val="00963540"/>
    <w:rsid w:val="00A77559"/>
    <w:rsid w:val="00DA195A"/>
    <w:rsid w:val="00F270CF"/>
    <w:rsid w:val="00F74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2616"/>
  <w15:chartTrackingRefBased/>
  <w15:docId w15:val="{883908B3-FC49-1D45-B9C8-3EF23145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F53"/>
    <w:pPr>
      <w:spacing w:line="276" w:lineRule="auto"/>
    </w:pPr>
    <w:rPr>
      <w:rFonts w:eastAsia="MS Mincho"/>
      <w:b/>
      <w:color w:val="082A75"/>
      <w:sz w:val="28"/>
      <w:szCs w:val="22"/>
      <w:lang w:val="es-ES"/>
    </w:rPr>
  </w:style>
  <w:style w:type="paragraph" w:styleId="Heading1">
    <w:name w:val="heading 1"/>
    <w:basedOn w:val="Normal"/>
    <w:link w:val="Heading1Char"/>
    <w:uiPriority w:val="9"/>
    <w:qFormat/>
    <w:rsid w:val="00F74F53"/>
    <w:pPr>
      <w:keepNext/>
      <w:spacing w:before="240" w:after="60"/>
      <w:outlineLvl w:val="0"/>
    </w:pPr>
    <w:rPr>
      <w:rFonts w:ascii="Arial" w:eastAsia="MS Gothic" w:hAnsi="Arial"/>
      <w:color w:val="061F57"/>
      <w:kern w:val="28"/>
      <w:sz w:val="52"/>
      <w:szCs w:val="32"/>
    </w:rPr>
  </w:style>
  <w:style w:type="paragraph" w:styleId="Heading2">
    <w:name w:val="heading 2"/>
    <w:basedOn w:val="Normal"/>
    <w:next w:val="Normal"/>
    <w:link w:val="Heading2Char"/>
    <w:uiPriority w:val="4"/>
    <w:qFormat/>
    <w:rsid w:val="00F74F53"/>
    <w:pPr>
      <w:keepNext/>
      <w:spacing w:after="240" w:line="240" w:lineRule="auto"/>
      <w:outlineLvl w:val="1"/>
    </w:pPr>
    <w:rPr>
      <w:rFonts w:eastAsia="MS Gothic"/>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bre">
    <w:name w:val="Nombre"/>
    <w:basedOn w:val="Normal"/>
    <w:uiPriority w:val="3"/>
    <w:qFormat/>
    <w:rsid w:val="00F74F53"/>
    <w:pPr>
      <w:spacing w:line="240" w:lineRule="auto"/>
      <w:jc w:val="right"/>
    </w:pPr>
  </w:style>
  <w:style w:type="paragraph" w:customStyle="1" w:styleId="Contenido">
    <w:name w:val="Contenido"/>
    <w:basedOn w:val="Normal"/>
    <w:link w:val="Carcterdecontenido"/>
    <w:qFormat/>
    <w:rsid w:val="00F74F53"/>
    <w:rPr>
      <w:b w:val="0"/>
    </w:rPr>
  </w:style>
  <w:style w:type="character" w:customStyle="1" w:styleId="Carcterdecontenido">
    <w:name w:val="Carácter de contenido"/>
    <w:link w:val="Contenido"/>
    <w:rsid w:val="00F74F53"/>
    <w:rPr>
      <w:rFonts w:eastAsia="MS Mincho"/>
      <w:color w:val="082A75"/>
      <w:sz w:val="28"/>
      <w:szCs w:val="22"/>
      <w:lang w:val="es-ES"/>
    </w:rPr>
  </w:style>
  <w:style w:type="paragraph" w:customStyle="1" w:styleId="Textodestacado">
    <w:name w:val="Texto destacado"/>
    <w:basedOn w:val="Normal"/>
    <w:link w:val="Carcterdetextodestacado"/>
    <w:qFormat/>
    <w:rsid w:val="00F74F53"/>
  </w:style>
  <w:style w:type="character" w:customStyle="1" w:styleId="Carcterdetextodestacado">
    <w:name w:val="Carácter de texto destacado"/>
    <w:link w:val="Textodestacado"/>
    <w:rsid w:val="00F74F53"/>
    <w:rPr>
      <w:rFonts w:eastAsia="MS Mincho"/>
      <w:b/>
      <w:color w:val="082A75"/>
      <w:sz w:val="28"/>
      <w:szCs w:val="22"/>
      <w:lang w:val="es-ES"/>
    </w:rPr>
  </w:style>
  <w:style w:type="paragraph" w:customStyle="1" w:styleId="Listavistosa-nfasis11">
    <w:name w:val="Lista vistosa - Énfasis 11"/>
    <w:basedOn w:val="Normal"/>
    <w:uiPriority w:val="34"/>
    <w:qFormat/>
    <w:rsid w:val="00F74F53"/>
    <w:pPr>
      <w:spacing w:after="200"/>
      <w:ind w:left="720"/>
      <w:contextualSpacing/>
    </w:pPr>
    <w:rPr>
      <w:rFonts w:eastAsia="Calibri"/>
      <w:b w:val="0"/>
      <w:color w:val="auto"/>
      <w:sz w:val="22"/>
      <w:lang w:val="es-MX"/>
    </w:rPr>
  </w:style>
  <w:style w:type="character" w:customStyle="1" w:styleId="Heading1Char">
    <w:name w:val="Heading 1 Char"/>
    <w:link w:val="Heading1"/>
    <w:uiPriority w:val="9"/>
    <w:rsid w:val="00F74F53"/>
    <w:rPr>
      <w:rFonts w:ascii="Arial" w:eastAsia="MS Gothic" w:hAnsi="Arial"/>
      <w:b/>
      <w:color w:val="061F57"/>
      <w:kern w:val="28"/>
      <w:sz w:val="52"/>
      <w:szCs w:val="32"/>
      <w:lang w:val="es-ES"/>
    </w:rPr>
  </w:style>
  <w:style w:type="character" w:customStyle="1" w:styleId="Heading2Char">
    <w:name w:val="Heading 2 Char"/>
    <w:link w:val="Heading2"/>
    <w:uiPriority w:val="4"/>
    <w:rsid w:val="00F74F53"/>
    <w:rPr>
      <w:rFonts w:eastAsia="MS Gothic"/>
      <w:color w:val="082A75"/>
      <w:sz w:val="36"/>
      <w:szCs w:val="26"/>
      <w:lang w:val="es-ES"/>
    </w:rPr>
  </w:style>
  <w:style w:type="paragraph" w:styleId="Title">
    <w:name w:val="Title"/>
    <w:basedOn w:val="Normal"/>
    <w:link w:val="TitleChar"/>
    <w:uiPriority w:val="1"/>
    <w:qFormat/>
    <w:rsid w:val="00F74F53"/>
    <w:pPr>
      <w:spacing w:after="200" w:line="240" w:lineRule="auto"/>
    </w:pPr>
    <w:rPr>
      <w:rFonts w:ascii="Arial" w:eastAsia="MS Gothic" w:hAnsi="Arial"/>
      <w:bCs/>
      <w:sz w:val="72"/>
      <w:szCs w:val="52"/>
    </w:rPr>
  </w:style>
  <w:style w:type="character" w:customStyle="1" w:styleId="TitleChar">
    <w:name w:val="Title Char"/>
    <w:link w:val="Title"/>
    <w:uiPriority w:val="1"/>
    <w:rsid w:val="00F74F53"/>
    <w:rPr>
      <w:rFonts w:ascii="Arial" w:eastAsia="MS Gothic" w:hAnsi="Arial"/>
      <w:b/>
      <w:bCs/>
      <w:color w:val="082A75"/>
      <w:sz w:val="72"/>
      <w:szCs w:val="52"/>
      <w:lang w:val="es-ES"/>
    </w:rPr>
  </w:style>
  <w:style w:type="paragraph" w:styleId="Subtitle">
    <w:name w:val="Subtitle"/>
    <w:basedOn w:val="Normal"/>
    <w:link w:val="SubtitleChar"/>
    <w:uiPriority w:val="2"/>
    <w:qFormat/>
    <w:rsid w:val="00F74F53"/>
    <w:pPr>
      <w:framePr w:hSpace="180" w:wrap="around" w:vAnchor="text" w:hAnchor="margin" w:y="1167"/>
    </w:pPr>
    <w:rPr>
      <w:b w:val="0"/>
      <w:caps/>
      <w:spacing w:val="20"/>
      <w:sz w:val="32"/>
    </w:rPr>
  </w:style>
  <w:style w:type="character" w:customStyle="1" w:styleId="SubtitleChar">
    <w:name w:val="Subtitle Char"/>
    <w:link w:val="Subtitle"/>
    <w:uiPriority w:val="2"/>
    <w:rsid w:val="00F74F53"/>
    <w:rPr>
      <w:rFonts w:eastAsia="MS Mincho"/>
      <w:caps/>
      <w:color w:val="082A75"/>
      <w:spacing w:val="20"/>
      <w:sz w:val="32"/>
      <w:szCs w:val="22"/>
      <w:lang w:val="es-ES"/>
    </w:rPr>
  </w:style>
  <w:style w:type="paragraph" w:styleId="ListParagraph">
    <w:name w:val="List Paragraph"/>
    <w:basedOn w:val="Normal"/>
    <w:uiPriority w:val="34"/>
    <w:unhideWhenUsed/>
    <w:qFormat/>
    <w:rsid w:val="00F74F53"/>
    <w:pPr>
      <w:ind w:left="720"/>
      <w:contextualSpacing/>
    </w:pPr>
  </w:style>
  <w:style w:type="paragraph" w:styleId="NormalWeb">
    <w:name w:val="Normal (Web)"/>
    <w:basedOn w:val="Normal"/>
    <w:uiPriority w:val="99"/>
    <w:semiHidden/>
    <w:unhideWhenUsed/>
    <w:rsid w:val="00A77559"/>
    <w:pPr>
      <w:spacing w:before="100" w:beforeAutospacing="1" w:after="100" w:afterAutospacing="1" w:line="240" w:lineRule="auto"/>
    </w:pPr>
    <w:rPr>
      <w:rFonts w:ascii="Times New Roman" w:eastAsia="Times New Roman" w:hAnsi="Times New Roman"/>
      <w:b w:val="0"/>
      <w:color w:val="auto"/>
      <w:sz w:val="24"/>
      <w:szCs w:val="24"/>
      <w:lang w:val="es-US" w:eastAsia="es-MX"/>
    </w:rPr>
  </w:style>
  <w:style w:type="paragraph" w:styleId="Bibliography">
    <w:name w:val="Bibliography"/>
    <w:basedOn w:val="Normal"/>
    <w:next w:val="Normal"/>
    <w:uiPriority w:val="37"/>
    <w:unhideWhenUsed/>
    <w:rsid w:val="00F2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747">
      <w:bodyDiv w:val="1"/>
      <w:marLeft w:val="0"/>
      <w:marRight w:val="0"/>
      <w:marTop w:val="0"/>
      <w:marBottom w:val="0"/>
      <w:divBdr>
        <w:top w:val="none" w:sz="0" w:space="0" w:color="auto"/>
        <w:left w:val="none" w:sz="0" w:space="0" w:color="auto"/>
        <w:bottom w:val="none" w:sz="0" w:space="0" w:color="auto"/>
        <w:right w:val="none" w:sz="0" w:space="0" w:color="auto"/>
      </w:divBdr>
    </w:div>
    <w:div w:id="143469712">
      <w:bodyDiv w:val="1"/>
      <w:marLeft w:val="0"/>
      <w:marRight w:val="0"/>
      <w:marTop w:val="0"/>
      <w:marBottom w:val="0"/>
      <w:divBdr>
        <w:top w:val="none" w:sz="0" w:space="0" w:color="auto"/>
        <w:left w:val="none" w:sz="0" w:space="0" w:color="auto"/>
        <w:bottom w:val="none" w:sz="0" w:space="0" w:color="auto"/>
        <w:right w:val="none" w:sz="0" w:space="0" w:color="auto"/>
      </w:divBdr>
    </w:div>
    <w:div w:id="183204168">
      <w:bodyDiv w:val="1"/>
      <w:marLeft w:val="0"/>
      <w:marRight w:val="0"/>
      <w:marTop w:val="0"/>
      <w:marBottom w:val="0"/>
      <w:divBdr>
        <w:top w:val="none" w:sz="0" w:space="0" w:color="auto"/>
        <w:left w:val="none" w:sz="0" w:space="0" w:color="auto"/>
        <w:bottom w:val="none" w:sz="0" w:space="0" w:color="auto"/>
        <w:right w:val="none" w:sz="0" w:space="0" w:color="auto"/>
      </w:divBdr>
    </w:div>
    <w:div w:id="425149002">
      <w:bodyDiv w:val="1"/>
      <w:marLeft w:val="0"/>
      <w:marRight w:val="0"/>
      <w:marTop w:val="0"/>
      <w:marBottom w:val="0"/>
      <w:divBdr>
        <w:top w:val="none" w:sz="0" w:space="0" w:color="auto"/>
        <w:left w:val="none" w:sz="0" w:space="0" w:color="auto"/>
        <w:bottom w:val="none" w:sz="0" w:space="0" w:color="auto"/>
        <w:right w:val="none" w:sz="0" w:space="0" w:color="auto"/>
      </w:divBdr>
    </w:div>
    <w:div w:id="430324435">
      <w:bodyDiv w:val="1"/>
      <w:marLeft w:val="0"/>
      <w:marRight w:val="0"/>
      <w:marTop w:val="0"/>
      <w:marBottom w:val="0"/>
      <w:divBdr>
        <w:top w:val="none" w:sz="0" w:space="0" w:color="auto"/>
        <w:left w:val="none" w:sz="0" w:space="0" w:color="auto"/>
        <w:bottom w:val="none" w:sz="0" w:space="0" w:color="auto"/>
        <w:right w:val="none" w:sz="0" w:space="0" w:color="auto"/>
      </w:divBdr>
    </w:div>
    <w:div w:id="478151741">
      <w:bodyDiv w:val="1"/>
      <w:marLeft w:val="0"/>
      <w:marRight w:val="0"/>
      <w:marTop w:val="0"/>
      <w:marBottom w:val="0"/>
      <w:divBdr>
        <w:top w:val="none" w:sz="0" w:space="0" w:color="auto"/>
        <w:left w:val="none" w:sz="0" w:space="0" w:color="auto"/>
        <w:bottom w:val="none" w:sz="0" w:space="0" w:color="auto"/>
        <w:right w:val="none" w:sz="0" w:space="0" w:color="auto"/>
      </w:divBdr>
    </w:div>
    <w:div w:id="644354830">
      <w:bodyDiv w:val="1"/>
      <w:marLeft w:val="0"/>
      <w:marRight w:val="0"/>
      <w:marTop w:val="0"/>
      <w:marBottom w:val="0"/>
      <w:divBdr>
        <w:top w:val="none" w:sz="0" w:space="0" w:color="auto"/>
        <w:left w:val="none" w:sz="0" w:space="0" w:color="auto"/>
        <w:bottom w:val="none" w:sz="0" w:space="0" w:color="auto"/>
        <w:right w:val="none" w:sz="0" w:space="0" w:color="auto"/>
      </w:divBdr>
    </w:div>
    <w:div w:id="673534733">
      <w:bodyDiv w:val="1"/>
      <w:marLeft w:val="0"/>
      <w:marRight w:val="0"/>
      <w:marTop w:val="0"/>
      <w:marBottom w:val="0"/>
      <w:divBdr>
        <w:top w:val="none" w:sz="0" w:space="0" w:color="auto"/>
        <w:left w:val="none" w:sz="0" w:space="0" w:color="auto"/>
        <w:bottom w:val="none" w:sz="0" w:space="0" w:color="auto"/>
        <w:right w:val="none" w:sz="0" w:space="0" w:color="auto"/>
      </w:divBdr>
    </w:div>
    <w:div w:id="684743997">
      <w:bodyDiv w:val="1"/>
      <w:marLeft w:val="0"/>
      <w:marRight w:val="0"/>
      <w:marTop w:val="0"/>
      <w:marBottom w:val="0"/>
      <w:divBdr>
        <w:top w:val="none" w:sz="0" w:space="0" w:color="auto"/>
        <w:left w:val="none" w:sz="0" w:space="0" w:color="auto"/>
        <w:bottom w:val="none" w:sz="0" w:space="0" w:color="auto"/>
        <w:right w:val="none" w:sz="0" w:space="0" w:color="auto"/>
      </w:divBdr>
    </w:div>
    <w:div w:id="756751618">
      <w:bodyDiv w:val="1"/>
      <w:marLeft w:val="0"/>
      <w:marRight w:val="0"/>
      <w:marTop w:val="0"/>
      <w:marBottom w:val="0"/>
      <w:divBdr>
        <w:top w:val="none" w:sz="0" w:space="0" w:color="auto"/>
        <w:left w:val="none" w:sz="0" w:space="0" w:color="auto"/>
        <w:bottom w:val="none" w:sz="0" w:space="0" w:color="auto"/>
        <w:right w:val="none" w:sz="0" w:space="0" w:color="auto"/>
      </w:divBdr>
    </w:div>
    <w:div w:id="959843209">
      <w:bodyDiv w:val="1"/>
      <w:marLeft w:val="0"/>
      <w:marRight w:val="0"/>
      <w:marTop w:val="0"/>
      <w:marBottom w:val="0"/>
      <w:divBdr>
        <w:top w:val="none" w:sz="0" w:space="0" w:color="auto"/>
        <w:left w:val="none" w:sz="0" w:space="0" w:color="auto"/>
        <w:bottom w:val="none" w:sz="0" w:space="0" w:color="auto"/>
        <w:right w:val="none" w:sz="0" w:space="0" w:color="auto"/>
      </w:divBdr>
    </w:div>
    <w:div w:id="988897938">
      <w:bodyDiv w:val="1"/>
      <w:marLeft w:val="0"/>
      <w:marRight w:val="0"/>
      <w:marTop w:val="0"/>
      <w:marBottom w:val="0"/>
      <w:divBdr>
        <w:top w:val="none" w:sz="0" w:space="0" w:color="auto"/>
        <w:left w:val="none" w:sz="0" w:space="0" w:color="auto"/>
        <w:bottom w:val="none" w:sz="0" w:space="0" w:color="auto"/>
        <w:right w:val="none" w:sz="0" w:space="0" w:color="auto"/>
      </w:divBdr>
    </w:div>
    <w:div w:id="1157501994">
      <w:bodyDiv w:val="1"/>
      <w:marLeft w:val="0"/>
      <w:marRight w:val="0"/>
      <w:marTop w:val="0"/>
      <w:marBottom w:val="0"/>
      <w:divBdr>
        <w:top w:val="none" w:sz="0" w:space="0" w:color="auto"/>
        <w:left w:val="none" w:sz="0" w:space="0" w:color="auto"/>
        <w:bottom w:val="none" w:sz="0" w:space="0" w:color="auto"/>
        <w:right w:val="none" w:sz="0" w:space="0" w:color="auto"/>
      </w:divBdr>
    </w:div>
    <w:div w:id="1164778464">
      <w:bodyDiv w:val="1"/>
      <w:marLeft w:val="0"/>
      <w:marRight w:val="0"/>
      <w:marTop w:val="0"/>
      <w:marBottom w:val="0"/>
      <w:divBdr>
        <w:top w:val="none" w:sz="0" w:space="0" w:color="auto"/>
        <w:left w:val="none" w:sz="0" w:space="0" w:color="auto"/>
        <w:bottom w:val="none" w:sz="0" w:space="0" w:color="auto"/>
        <w:right w:val="none" w:sz="0" w:space="0" w:color="auto"/>
      </w:divBdr>
    </w:div>
    <w:div w:id="1263298966">
      <w:bodyDiv w:val="1"/>
      <w:marLeft w:val="0"/>
      <w:marRight w:val="0"/>
      <w:marTop w:val="0"/>
      <w:marBottom w:val="0"/>
      <w:divBdr>
        <w:top w:val="none" w:sz="0" w:space="0" w:color="auto"/>
        <w:left w:val="none" w:sz="0" w:space="0" w:color="auto"/>
        <w:bottom w:val="none" w:sz="0" w:space="0" w:color="auto"/>
        <w:right w:val="none" w:sz="0" w:space="0" w:color="auto"/>
      </w:divBdr>
    </w:div>
    <w:div w:id="1335037774">
      <w:bodyDiv w:val="1"/>
      <w:marLeft w:val="0"/>
      <w:marRight w:val="0"/>
      <w:marTop w:val="0"/>
      <w:marBottom w:val="0"/>
      <w:divBdr>
        <w:top w:val="none" w:sz="0" w:space="0" w:color="auto"/>
        <w:left w:val="none" w:sz="0" w:space="0" w:color="auto"/>
        <w:bottom w:val="none" w:sz="0" w:space="0" w:color="auto"/>
        <w:right w:val="none" w:sz="0" w:space="0" w:color="auto"/>
      </w:divBdr>
    </w:div>
    <w:div w:id="1455951079">
      <w:bodyDiv w:val="1"/>
      <w:marLeft w:val="0"/>
      <w:marRight w:val="0"/>
      <w:marTop w:val="0"/>
      <w:marBottom w:val="0"/>
      <w:divBdr>
        <w:top w:val="none" w:sz="0" w:space="0" w:color="auto"/>
        <w:left w:val="none" w:sz="0" w:space="0" w:color="auto"/>
        <w:bottom w:val="none" w:sz="0" w:space="0" w:color="auto"/>
        <w:right w:val="none" w:sz="0" w:space="0" w:color="auto"/>
      </w:divBdr>
    </w:div>
    <w:div w:id="1458524176">
      <w:bodyDiv w:val="1"/>
      <w:marLeft w:val="0"/>
      <w:marRight w:val="0"/>
      <w:marTop w:val="0"/>
      <w:marBottom w:val="0"/>
      <w:divBdr>
        <w:top w:val="none" w:sz="0" w:space="0" w:color="auto"/>
        <w:left w:val="none" w:sz="0" w:space="0" w:color="auto"/>
        <w:bottom w:val="none" w:sz="0" w:space="0" w:color="auto"/>
        <w:right w:val="none" w:sz="0" w:space="0" w:color="auto"/>
      </w:divBdr>
    </w:div>
    <w:div w:id="1722904131">
      <w:bodyDiv w:val="1"/>
      <w:marLeft w:val="0"/>
      <w:marRight w:val="0"/>
      <w:marTop w:val="0"/>
      <w:marBottom w:val="0"/>
      <w:divBdr>
        <w:top w:val="none" w:sz="0" w:space="0" w:color="auto"/>
        <w:left w:val="none" w:sz="0" w:space="0" w:color="auto"/>
        <w:bottom w:val="none" w:sz="0" w:space="0" w:color="auto"/>
        <w:right w:val="none" w:sz="0" w:space="0" w:color="auto"/>
      </w:divBdr>
    </w:div>
    <w:div w:id="1792746914">
      <w:bodyDiv w:val="1"/>
      <w:marLeft w:val="0"/>
      <w:marRight w:val="0"/>
      <w:marTop w:val="0"/>
      <w:marBottom w:val="0"/>
      <w:divBdr>
        <w:top w:val="none" w:sz="0" w:space="0" w:color="auto"/>
        <w:left w:val="none" w:sz="0" w:space="0" w:color="auto"/>
        <w:bottom w:val="none" w:sz="0" w:space="0" w:color="auto"/>
        <w:right w:val="none" w:sz="0" w:space="0" w:color="auto"/>
      </w:divBdr>
    </w:div>
    <w:div w:id="1794783052">
      <w:bodyDiv w:val="1"/>
      <w:marLeft w:val="0"/>
      <w:marRight w:val="0"/>
      <w:marTop w:val="0"/>
      <w:marBottom w:val="0"/>
      <w:divBdr>
        <w:top w:val="none" w:sz="0" w:space="0" w:color="auto"/>
        <w:left w:val="none" w:sz="0" w:space="0" w:color="auto"/>
        <w:bottom w:val="none" w:sz="0" w:space="0" w:color="auto"/>
        <w:right w:val="none" w:sz="0" w:space="0" w:color="auto"/>
      </w:divBdr>
    </w:div>
    <w:div w:id="1873876729">
      <w:bodyDiv w:val="1"/>
      <w:marLeft w:val="0"/>
      <w:marRight w:val="0"/>
      <w:marTop w:val="0"/>
      <w:marBottom w:val="0"/>
      <w:divBdr>
        <w:top w:val="none" w:sz="0" w:space="0" w:color="auto"/>
        <w:left w:val="none" w:sz="0" w:space="0" w:color="auto"/>
        <w:bottom w:val="none" w:sz="0" w:space="0" w:color="auto"/>
        <w:right w:val="none" w:sz="0" w:space="0" w:color="auto"/>
      </w:divBdr>
    </w:div>
    <w:div w:id="1923026719">
      <w:bodyDiv w:val="1"/>
      <w:marLeft w:val="0"/>
      <w:marRight w:val="0"/>
      <w:marTop w:val="0"/>
      <w:marBottom w:val="0"/>
      <w:divBdr>
        <w:top w:val="none" w:sz="0" w:space="0" w:color="auto"/>
        <w:left w:val="none" w:sz="0" w:space="0" w:color="auto"/>
        <w:bottom w:val="none" w:sz="0" w:space="0" w:color="auto"/>
        <w:right w:val="none" w:sz="0" w:space="0" w:color="auto"/>
      </w:divBdr>
    </w:div>
    <w:div w:id="19301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JET24</b:Tag>
    <b:SourceType>JournalArticle</b:SourceType>
    <b:Guid>{0A17A12A-0AB6-8649-B1F0-506BCD136479}</b:Guid>
    <b:Author>
      <b:Author>
        <b:NameList>
          <b:Person>
            <b:Last>J. E. Tait</b:Last>
            <b:First>L.</b:First>
            <b:Middle>A. Alexander, E. I. Hancock &amp; J. Bisset</b:Middle>
          </b:Person>
        </b:NameList>
      </b:Author>
    </b:Author>
    <b:Title>Interventions to support the mental health and wellbeing of engineering students: a scoping review</b:Title>
    <b:JournalName>European Journal of Engineering Education</b:JournalName>
    <b:Year>2024</b:Year>
    <b:Pages>45-69</b:Pages>
    <b:RefOrder>3</b:RefOrder>
  </b:Source>
  <b:Source>
    <b:Tag>And22</b:Tag>
    <b:SourceType>JournalArticle</b:SourceType>
    <b:Guid>{25594BC5-068A-804A-8114-8049466545A0}</b:Guid>
    <b:Title>Mental Health in Engineering Education: Identifying Population and Intersectional Variation</b:Title>
    <b:JournalName>SJSU ScholarWorks</b:JournalName>
    <b:Year>2022</b:Year>
    <b:Pages>257-266</b:Pages>
    <b:Author>
      <b:Author>
        <b:NameList>
          <b:Person>
            <b:Last>Andrew Danowitz</b:Last>
          </b:Person>
          <b:Person>
            <b:Last>Kacey Beddoes</b:Last>
          </b:Person>
        </b:NameList>
      </b:Author>
    </b:Author>
    <b:RefOrder>1</b:RefOrder>
  </b:Source>
  <b:Source>
    <b:Tag>Sol24</b:Tag>
    <b:SourceType>JournalArticle</b:SourceType>
    <b:Guid>{34E95E38-85C0-F445-AB08-1AC55B5B5C2A}</b:Guid>
    <b:Title>Trends and Challenges in the Mental Health of University Students with Disabilities: A Systematic Review</b:Title>
    <b:JournalName> behavioral sciences</b:JournalName>
    <b:Year>2024</b:Year>
    <b:Pages> 14, 111</b:Pages>
    <b:Author>
      <b:Author>
        <b:NameList>
          <b:Person>
            <b:Last>Solís García</b:Last>
            <b:First>Patricia</b:First>
          </b:Person>
          <b:Person>
            <b:Last>Real Castelao</b:Last>
            <b:First>Sara</b:First>
          </b:Person>
          <b:Person>
            <b:Last>Barreiro-Collazo </b:Last>
            <b:First>Alejandra</b:First>
          </b:Person>
        </b:NameList>
      </b:Author>
    </b:Author>
    <b:RefOrder>14</b:RefOrder>
  </b:Source>
  <b:Source>
    <b:Tag>Bus23</b:Tag>
    <b:SourceType>JournalArticle</b:SourceType>
    <b:Guid>{EC9C2AAA-D814-5D41-9C2B-51498577A9D1}</b:Guid>
    <b:LCID>en-US</b:LCID>
    <b:Author>
      <b:Author>
        <b:NameList>
          <b:Person>
            <b:Last>Bustmante-Mora</b:Last>
            <b:First>A.</b:First>
          </b:Person>
          <b:Person>
            <b:Last>Diéguez-Rebolledo</b:Last>
            <b:First>M.</b:First>
          </b:Person>
          <b:Person>
            <b:Last>Hormazábal</b:Last>
            <b:First>Y.</b:First>
          </b:Person>
          <b:Person>
            <b:Last>Valdés</b:Last>
            <b:First>Y.</b:First>
          </b:Person>
          <b:Person>
            <b:Last>Cadena</b:Last>
            <b:First>R.</b:First>
          </b:Person>
        </b:NameList>
      </b:Author>
    </b:Author>
    <b:Title>Learning Models for Higher Education in Engineering: Motivation, Self-Determination, and the Role of Information and Communication Technologies</b:Title>
    <b:JournalName>   sustainability</b:JournalName>
    <b:Year>2023</b:Year>
    <b:Pages>12869</b:Pages>
    <b:RefOrder>13</b:RefOrder>
  </b:Source>
  <b:Source>
    <b:Tag>Cou23</b:Tag>
    <b:SourceType>JournalArticle</b:SourceType>
    <b:Guid>{4A2D1F3D-776A-6146-8798-FC2EDE23DD0B}</b:Guid>
    <b:Title>Mental health in undergraduate engineering students: Identifying facilitators and barriers to seeking help</b:Title>
    <b:JournalName>Journal of Engineering Education</b:JournalName>
    <b:Year>2023</b:Year>
    <b:Pages>963-986</b:Pages>
    <b:Author>
      <b:Author>
        <b:NameList>
          <b:Person>
            <b:Last>Courtney J. Wright</b:Last>
          </b:Person>
          <b:Person>
            <b:Last>Sarah A. Wilson</b:Last>
          </b:Person>
          <b:Person>
            <b:Last>Joseph H. Hammer</b:Last>
          </b:Person>
        </b:NameList>
      </b:Author>
    </b:Author>
    <b:RefOrder>12</b:RefOrder>
  </b:Source>
  <b:Source>
    <b:Tag>Sav22</b:Tag>
    <b:SourceType>JournalArticle</b:SourceType>
    <b:Guid>{F56A2AF1-2F1C-41BA-9D1D-33946364B02B}</b:Guid>
    <b:Author>
      <b:Author>
        <b:NameList>
          <b:Person>
            <b:Last>Savio</b:Last>
            <b:First>A.A.</b:First>
            <b:Middle>Del</b:Middle>
          </b:Person>
          <b:Person>
            <b:Last>Galantini</b:Last>
            <b:First>K.</b:First>
          </b:Person>
          <b:Person>
            <b:Last>Pachas</b:Last>
            <b:First>A.</b:First>
          </b:Person>
        </b:NameList>
      </b:Author>
    </b:Author>
    <b:Title>Exploring the relationship between mental health-related problems and undergraduate student dropout: A case study within a civil engineering program</b:Title>
    <b:JournalName>Heliyon</b:JournalName>
    <b:Year>2022</b:Year>
    <b:RefOrder>4</b:RefOrder>
  </b:Source>
  <b:Source>
    <b:Tag>Jen22</b:Tag>
    <b:SourceType>JournalArticle</b:SourceType>
    <b:Guid>{B3E34789-B8FD-4685-89D2-6BE883B16807}</b:Guid>
    <b:Author>
      <b:Author>
        <b:NameList>
          <b:Person>
            <b:Last>Jensen</b:Last>
            <b:First>Karin</b:First>
          </b:Person>
          <b:Person>
            <b:Last>Johnson</b:Last>
            <b:First>Eileen</b:First>
          </b:Person>
          <b:Person>
            <b:Last>Mirabelli</b:Last>
            <b:First>Joseph</b:First>
          </b:Person>
          <b:Person>
            <b:Last>Vohra</b:Last>
            <b:First>Sara</b:First>
            <b:Middle>Rose</b:Middle>
          </b:Person>
        </b:NameList>
      </b:Author>
    </b:Author>
    <b:Title>American Society for Engineering Education</b:Title>
    <b:JournalName>American Society for Engineering Education</b:JournalName>
    <b:Year>2022</b:Year>
    <b:RefOrder>6</b:RefOrder>
  </b:Source>
  <b:Source>
    <b:Tag>MTo14</b:Tag>
    <b:SourceType>JournalArticle</b:SourceType>
    <b:Guid>{43CE2179-E9C5-441C-BDE2-06BD782B5DDF}</b:Guid>
    <b:Author>
      <b:Author>
        <b:NameList>
          <b:Person>
            <b:Last>M</b:Last>
            <b:First>Tomas</b:First>
            <b:Middle>Baader</b:Middle>
          </b:Person>
          <b:Person>
            <b:Last>C</b:Last>
            <b:First>Carmen</b:First>
            <b:Middle>Rojas</b:Middle>
          </b:Person>
          <b:Person>
            <b:Last>F</b:Last>
            <b:First>José</b:First>
            <b:Middle>Luis Molina</b:Middle>
          </b:Person>
          <b:Person>
            <b:Last>V</b:Last>
            <b:First>Marcelo</b:First>
            <b:Middle>Gotelli</b:Middle>
          </b:Person>
          <b:Person>
            <b:Last>P</b:Last>
            <b:First>Catalina</b:First>
            <b:Middle>Alamo</b:Middle>
          </b:Person>
          <b:Person>
            <b:Last>F</b:Last>
            <b:First>Carlos</b:First>
            <b:Middle>Fierro</b:Middle>
          </b:Person>
          <b:Person>
            <b:Last>B</b:Last>
            <b:First>Silvia</b:First>
            <b:Middle>Venezian</b:Middle>
          </b:Person>
          <b:Person>
            <b:Last>B</b:Last>
            <b:First>Paula</b:First>
            <b:Middle>Dittus</b:Middle>
          </b:Person>
        </b:NameList>
      </b:Author>
    </b:Author>
    <b:Title>Diagnóstico de la prevalencia de trastornos de la salud mental en estudiantes universitarios y los factores de riesgo emocionales asociados</b:Title>
    <b:JournalName>Sonepsyn</b:JournalName>
    <b:Year>2014</b:Year>
    <b:RefOrder>9</b:RefOrder>
  </b:Source>
  <b:Source>
    <b:Tag>Wan22</b:Tag>
    <b:SourceType>JournalArticle</b:SourceType>
    <b:Guid>{333118D8-9883-4CC9-B8DE-0F1B6EAB3CDA}</b:Guid>
    <b:Author>
      <b:Author>
        <b:NameList>
          <b:Person>
            <b:Last>Wang</b:Last>
            <b:First>Liang</b:First>
          </b:Person>
          <b:Person>
            <b:Last>Zhou</b:Last>
            <b:First>Xiangyu</b:First>
          </b:Person>
          <b:Person>
            <b:Last>Wu</b:Last>
            <b:First>Wei</b:First>
          </b:Person>
          <b:Person>
            <b:Last>Chen</b:Last>
            <b:First>Aihua</b:First>
          </b:Person>
        </b:NameList>
      </b:Author>
    </b:Author>
    <b:Title>Moderating Effect of Gender and Engineering Identity on the Association between Interpersonal Relationships and Mental Health of Female Engineering Students</b:Title>
    <b:JournalName>Environmental Research and Public Health</b:JournalName>
    <b:Year>2022</b:Year>
    <b:RefOrder>10</b:RefOrder>
  </b:Source>
  <b:Source>
    <b:Tag>Tai23</b:Tag>
    <b:SourceType>JournalArticle</b:SourceType>
    <b:Guid>{0BBF6CCC-0B85-4BA3-86A3-BFFF5EECFECB}</b:Guid>
    <b:Author>
      <b:Author>
        <b:NameList>
          <b:Person>
            <b:Last>Tait</b:Last>
            <b:First>J.</b:First>
            <b:Middle>E.</b:Middle>
          </b:Person>
          <b:Person>
            <b:Last>Alexander</b:Last>
            <b:First>L.</b:First>
            <b:Middle>A.</b:Middle>
          </b:Person>
          <b:Person>
            <b:Last>Hancock</b:Last>
            <b:First>E.</b:First>
            <b:Middle>I.</b:Middle>
          </b:Person>
          <b:Person>
            <b:Last>Bisset</b:Last>
            <b:First>J.</b:First>
          </b:Person>
        </b:NameList>
      </b:Author>
    </b:Author>
    <b:Title>Interventions to support the mental health</b:Title>
    <b:JournalName>European Journal of Engineering Education</b:JournalName>
    <b:Year>2023</b:Year>
    <b:RefOrder>11</b:RefOrder>
  </b:Source>
  <b:Source>
    <b:Tag>OEC141</b:Tag>
    <b:SourceType>JournalArticle</b:SourceType>
    <b:Guid>{DA0C42DE-7F80-43DA-92C8-6D57B78D1F76}</b:Guid>
    <b:Author>
      <b:Author>
        <b:Corporate>OECD Health Policy Studies</b:Corporate>
      </b:Author>
    </b:Author>
    <b:Title>Focus on Health</b:Title>
    <b:JournalName>Making Mental Health Count</b:JournalName>
    <b:Year>2014</b:Year>
    <b:RefOrder>15</b:RefOrder>
  </b:Source>
  <b:Source>
    <b:Tag>Gor211</b:Tag>
    <b:SourceType>JournalArticle</b:SourceType>
    <b:Guid>{814F1172-CA12-43C0-8422-67894993A468}</b:Guid>
    <b:Author>
      <b:Author>
        <b:NameList>
          <b:Person>
            <b:Last>Gormaz</b:Last>
            <b:First>Diego</b:First>
            <b:Middle>L</b:Middle>
          </b:Person>
          <b:Person>
            <b:Last>Galarce</b:Last>
            <b:First>Claudia</b:First>
            <b:Middle>M</b:Middle>
          </b:Person>
          <b:Person>
            <b:Last>Hortsch</b:Last>
            <b:First>Hanno</b:First>
          </b:Person>
        </b:NameList>
      </b:Author>
    </b:Author>
    <b:Title>Evaluation of Teacher Training Needs in Engineering Pedagogy</b:Title>
    <b:JournalName>Higher Education in Russia</b:JournalName>
    <b:Year>2021</b:Year>
    <b:RefOrder>7</b:RefOrder>
  </b:Source>
  <b:Source>
    <b:Tag>Hua23</b:Tag>
    <b:SourceType>JournalArticle</b:SourceType>
    <b:Guid>{6A096EC4-DA54-4A0D-AB32-CB4CF24B09B6}</b:Guid>
    <b:Author>
      <b:Author>
        <b:NameList>
          <b:Person>
            <b:Last>Huang</b:Last>
            <b:First>Yuanyue</b:First>
          </b:Person>
          <b:Person>
            <b:Last>Wongpakaran</b:Last>
            <b:First>Tinakon</b:First>
          </b:Person>
          <b:Person>
            <b:Last>Wongpakaran</b:Last>
            <b:First>Nahathai</b:First>
          </b:Person>
          <b:Person>
            <b:Last>Bhatarasakoon</b:Last>
            <b:First>Patraporn</b:First>
          </b:Person>
          <b:Person>
            <b:Last>Pichayapan</b:Last>
            <b:First>Preda</b:First>
          </b:Person>
          <b:Person>
            <b:Last>Worland</b:Last>
            <b:First>Shirley</b:First>
          </b:Person>
        </b:NameList>
      </b:Author>
    </b:Author>
    <b:Title>Depression and Its Associated Factors among Undergraduate Engineering Students: A Cross-Sectional Survey in Thailand</b:Title>
    <b:JournalName>healthcare</b:JournalName>
    <b:Year>2023</b:Year>
    <b:RefOrder>8</b:RefOrder>
  </b:Source>
  <b:Source>
    <b:Tag>Chi13</b:Tag>
    <b:SourceType>JournalArticle</b:SourceType>
    <b:Guid>{D9AC873E-9E1F-4E95-8345-A2F12B3C914D}</b:Guid>
    <b:Author>
      <b:Author>
        <b:NameList>
          <b:Person>
            <b:Last>Chisholm</b:Last>
          </b:Person>
          <b:Person>
            <b:Last>Dan</b:Last>
          </b:Person>
        </b:NameList>
      </b:Author>
    </b:Author>
    <b:Title>Investing in Mental Health: Evidence for Action</b:Title>
    <b:JournalName>World Health Organization</b:JournalName>
    <b:Year>2013</b:Year>
    <b:RefOrder>2</b:RefOrder>
  </b:Source>
  <b:Source>
    <b:Tag>Dez14</b:Tag>
    <b:SourceType>JournalArticle</b:SourceType>
    <b:Guid>{E2A4C66C-AC53-4FF8-9594-EF4DC28CEA49}</b:Guid>
    <b:Author>
      <b:Author>
        <b:NameList>
          <b:Person>
            <b:Last>Deziel</b:Last>
            <b:First>Melissa</b:First>
          </b:Person>
          <b:Person>
            <b:Last>Olawo</b:Last>
            <b:First>Dayo</b:First>
          </b:Person>
          <b:Person>
            <b:Last>Truchon</b:Last>
            <b:First>Lisa</b:First>
          </b:Person>
          <b:Person>
            <b:Last>Golab</b:Last>
            <b:First>Lukasz</b:First>
          </b:Person>
        </b:NameList>
      </b:Author>
    </b:Author>
    <b:Title>Analyzing the Mental Health of Engineering Students using Classification and Regression</b:Title>
    <b:JournalName>University of Waterloo</b:JournalName>
    <b:Year>2014</b:Year>
    <b:RefOrder>5</b:RefOrder>
  </b:Source>
</b:Sources>
</file>

<file path=customXml/itemProps1.xml><?xml version="1.0" encoding="utf-8"?>
<ds:datastoreItem xmlns:ds="http://schemas.openxmlformats.org/officeDocument/2006/customXml" ds:itemID="{FCCDF9DB-F17E-4A4B-93B0-CD887B7DD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1452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Cardona Serna</dc:creator>
  <cp:keywords/>
  <dc:description/>
  <cp:lastModifiedBy>Mariana Osorio Rojas</cp:lastModifiedBy>
  <cp:revision>5</cp:revision>
  <dcterms:created xsi:type="dcterms:W3CDTF">2024-04-15T23:30:00Z</dcterms:created>
  <dcterms:modified xsi:type="dcterms:W3CDTF">2024-04-16T01:50:00Z</dcterms:modified>
</cp:coreProperties>
</file>