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ind w:firstLine="0"/>
        <w:jc w:val="center"/>
      </w:pPr>
      <w:r>
        <w:rPr>
          <w:rFonts w:ascii="Times New Roman" w:hAnsi="Times New Roman" w:eastAsia="宋体"/>
          <w:b/>
          <w:sz w:val="36"/>
        </w:rPr>
        <w:t>当前实验方案有效性总结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eastAsia="宋体"/>
          <w:b w:val="0"/>
          <w:sz w:val="24"/>
        </w:rPr>
        <w:t>基于 effectiveness_task_20260618_153413 的五轮实测结果</w:t>
      </w:r>
    </w:p>
    <w:p>
      <w:pPr>
        <w:spacing w:line="276" w:lineRule="auto" w:after="0"/>
        <w:ind w:firstLine="0"/>
      </w:pPr>
      <w:r>
        <w:rPr>
          <w:rFonts w:ascii="Times New Roman" w:hAnsi="Times New Roman" w:eastAsia="宋体"/>
          <w:b/>
          <w:sz w:val="32"/>
        </w:rPr>
        <w:t>1 结论概述</w:t>
      </w:r>
    </w:p>
    <w:p>
      <w:pPr>
        <w:spacing w:line="276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当前实验结果能够较为明确地支持以下三点：第一，多轮机制能够持续提供有效题目增量，而不是在首轮后迅速失效；第二，验证智能体在后续轮次中表现出更高的稳定性和更强的一致性，说明“生成-验证”闭环已经开始收敛；第三，模型评估智能体在开放式问答（QA）场景下能够稳定地区分不同模型，说明生成出的题集具备实际评测价值。从数据上看，5轮实验累计获得57道入选题，其中第1轮保留11题，后续第2至第5轮继续新增46题。同时，最终累计题集相较于首轮题集在引用得分和多样性得分上均有提升，说明后续轮次不仅增加了题量，也改善了数据质量。</w:t>
      </w:r>
    </w:p>
    <w:p>
      <w:pPr>
        <w:spacing w:line="276" w:lineRule="auto" w:after="0"/>
        <w:ind w:firstLine="0"/>
      </w:pPr>
      <w:r>
        <w:rPr>
          <w:rFonts w:ascii="Times New Roman" w:hAnsi="Times New Roman" w:eastAsia="宋体"/>
          <w:b/>
          <w:sz w:val="32"/>
        </w:rPr>
        <w:t>2 多轮生成有效性</w:t>
      </w:r>
    </w:p>
    <w:p>
      <w:pPr>
        <w:spacing w:line="276" w:lineRule="auto" w:after="0"/>
        <w:ind w:firstLine="0"/>
      </w:pPr>
      <w:r>
        <w:rPr>
          <w:rFonts w:ascii="Times New Roman" w:hAnsi="Times New Roman" w:eastAsia="宋体"/>
          <w:b/>
          <w:sz w:val="24"/>
        </w:rPr>
        <w:t>表1 多轮生成的持续增量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round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selected_this_round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selected_cumulative</w:t>
            </w:r>
          </w:p>
        </w:tc>
      </w:tr>
      <w:tr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round_001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</w:tr>
      <w:tr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round_002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</w:t>
            </w:r>
          </w:p>
        </w:tc>
      </w:tr>
      <w:tr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round_003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32</w:t>
            </w:r>
          </w:p>
        </w:tc>
      </w:tr>
      <w:tr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round_004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43</w:t>
            </w:r>
          </w:p>
        </w:tc>
      </w:tr>
      <w:tr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round_005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57</w:t>
            </w:r>
          </w:p>
        </w:tc>
      </w:tr>
    </w:tbl>
    <w:p>
      <w:pPr>
        <w:spacing w:line="276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5轮分别保留11、13、8、11、14道题，说明多轮反馈并未在第2轮后失效。第5轮仍然取得了14道入选题，反而是全实验中单轮最高值，说明当前方案仍然具有较强的后续挖掘能力。从累计规模看，首轮仅形成11题，而5轮累计达到57题，后续轮次贡献占比达到80.7%，这能够直接证明多轮机制对最终题集规模是关键贡献因素。</w:t>
      </w:r>
    </w:p>
    <w:p>
      <w:pPr>
        <w:spacing w:line="276" w:lineRule="auto" w:after="0"/>
        <w:ind w:firstLine="0"/>
      </w:pPr>
      <w:r>
        <w:rPr>
          <w:rFonts w:ascii="Times New Roman" w:hAnsi="Times New Roman" w:eastAsia="宋体"/>
          <w:b/>
          <w:sz w:val="32"/>
        </w:rPr>
        <w:t>3 验证智能体有效性</w:t>
      </w:r>
    </w:p>
    <w:p>
      <w:pPr>
        <w:spacing w:line="276" w:lineRule="auto" w:after="0"/>
        <w:ind w:firstLine="0"/>
      </w:pPr>
      <w:r>
        <w:rPr>
          <w:rFonts w:ascii="Times New Roman" w:hAnsi="Times New Roman" w:eastAsia="宋体"/>
          <w:b/>
          <w:sz w:val="24"/>
        </w:rPr>
        <w:t>表2 验证智能体逐轮稳定性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round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total_candidates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citation_passed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llm_passed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final_selected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failed_citation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failed_llm</w:t>
            </w:r>
          </w:p>
        </w:tc>
      </w:tr>
      <w:tr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round_001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round_002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round_003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round_004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round_005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spacing w:line="276" w:lineRule="auto" w:after="0"/>
        <w:ind w:firstLine="0"/>
      </w:pPr>
      <w:r>
        <w:rPr>
          <w:rFonts w:ascii="Times New Roman" w:hAnsi="Times New Roman" w:eastAsia="宋体"/>
          <w:b/>
          <w:sz w:val="24"/>
        </w:rPr>
        <w:t>表3 首轮与累计题集的数据质量对比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subset</w:t>
            </w:r>
          </w:p>
        </w:tc>
        <w:tc>
          <w:tcPr>
            <w:tcW w:type="dxa" w:w="1439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question_count</w:t>
            </w:r>
          </w:p>
        </w:tc>
        <w:tc>
          <w:tcPr>
            <w:tcW w:type="dxa" w:w="1439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citation_score_mean</w:t>
            </w:r>
          </w:p>
        </w:tc>
        <w:tc>
          <w:tcPr>
            <w:tcW w:type="dxa" w:w="1439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diversity_score</w:t>
            </w:r>
          </w:p>
        </w:tc>
        <w:tc>
          <w:tcPr>
            <w:tcW w:type="dxa" w:w="1439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embedding_dispersion</w:t>
            </w:r>
          </w:p>
        </w:tc>
        <w:tc>
          <w:tcPr>
            <w:tcW w:type="dxa" w:w="1439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cluster_entropy</w:t>
            </w:r>
          </w:p>
        </w:tc>
      </w:tr>
      <w:tr>
        <w:tc>
          <w:tcPr>
            <w:tcW w:type="dxa" w:w="1439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B1</w:t>
            </w:r>
          </w:p>
        </w:tc>
        <w:tc>
          <w:tcPr>
            <w:tcW w:type="dxa" w:w="1439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39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0.789356</w:t>
            </w:r>
          </w:p>
        </w:tc>
        <w:tc>
          <w:tcPr>
            <w:tcW w:type="dxa" w:w="1439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0.8232</w:t>
            </w:r>
          </w:p>
        </w:tc>
        <w:tc>
          <w:tcPr>
            <w:tcW w:type="dxa" w:w="1439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0.801</w:t>
            </w:r>
          </w:p>
        </w:tc>
        <w:tc>
          <w:tcPr>
            <w:tcW w:type="dxa" w:w="1439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0.8454</w:t>
            </w:r>
          </w:p>
        </w:tc>
      </w:tr>
      <w:tr>
        <w:tc>
          <w:tcPr>
            <w:tcW w:type="dxa" w:w="1439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Bfull</w:t>
            </w:r>
          </w:p>
        </w:tc>
        <w:tc>
          <w:tcPr>
            <w:tcW w:type="dxa" w:w="1439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57</w:t>
            </w:r>
          </w:p>
        </w:tc>
        <w:tc>
          <w:tcPr>
            <w:tcW w:type="dxa" w:w="1439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0.80658</w:t>
            </w:r>
          </w:p>
        </w:tc>
        <w:tc>
          <w:tcPr>
            <w:tcW w:type="dxa" w:w="1439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0.8912</w:t>
            </w:r>
          </w:p>
        </w:tc>
        <w:tc>
          <w:tcPr>
            <w:tcW w:type="dxa" w:w="1439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0.8026</w:t>
            </w:r>
          </w:p>
        </w:tc>
        <w:tc>
          <w:tcPr>
            <w:tcW w:type="dxa" w:w="1439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0.9799</w:t>
            </w:r>
          </w:p>
        </w:tc>
      </w:tr>
    </w:tbl>
    <w:p>
      <w:pPr>
        <w:spacing w:line="276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从round_002到round_005，验证阶段实现了连续4轮“候选题全部通过”的结果，说明题目生成与验证标准之间的匹配程度明显提升。后续轮次题目的证据支撑更扎实，累计题集相对首轮题集的引用得分由0.7894提升至0.8066，多样性得分由0.8232提升至0.8912。这说明当前方案不仅能扩大题库规模，还能保持并提升题集质量。</w:t>
      </w:r>
    </w:p>
    <w:p>
      <w:pPr>
        <w:spacing w:line="276" w:lineRule="auto" w:after="0"/>
        <w:ind w:firstLine="0"/>
      </w:pPr>
      <w:r>
        <w:rPr>
          <w:rFonts w:ascii="Times New Roman" w:hAnsi="Times New Roman" w:eastAsia="宋体"/>
          <w:b/>
          <w:sz w:val="32"/>
        </w:rPr>
        <w:t>4 模型评估智能体的正向证据</w:t>
      </w:r>
    </w:p>
    <w:p>
      <w:pPr>
        <w:spacing w:line="276" w:lineRule="auto" w:after="0"/>
        <w:ind w:firstLine="0"/>
      </w:pPr>
      <w:r>
        <w:rPr>
          <w:rFonts w:ascii="Times New Roman" w:hAnsi="Times New Roman" w:eastAsia="宋体"/>
          <w:b/>
          <w:sz w:val="24"/>
        </w:rPr>
        <w:t>表4 QA 场景模型得分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subset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model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qa_score</w:t>
            </w:r>
          </w:p>
        </w:tc>
      </w:tr>
      <w:tr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B1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deepseek-v4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0.453556</w:t>
            </w:r>
          </w:p>
        </w:tc>
      </w:tr>
      <w:tr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B1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deepseek-v4-pro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0.420497</w:t>
            </w:r>
          </w:p>
        </w:tc>
      </w:tr>
      <w:tr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B1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minimax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0.363935</w:t>
            </w:r>
          </w:p>
        </w:tc>
      </w:tr>
      <w:tr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Bfull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deepseek-v4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0.441836</w:t>
            </w:r>
          </w:p>
        </w:tc>
      </w:tr>
      <w:tr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Bfull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deepseek-v4-pro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0.393136</w:t>
            </w:r>
          </w:p>
        </w:tc>
      </w:tr>
      <w:tr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Bfull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minimax</w:t>
            </w:r>
          </w:p>
        </w:tc>
        <w:tc>
          <w:tcPr>
            <w:tcW w:type="dxa" w:w="287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0.344419</w:t>
            </w:r>
          </w:p>
        </w:tc>
      </w:tr>
    </w:tbl>
    <w:p>
      <w:pPr>
        <w:spacing w:line="276" w:lineRule="auto" w:after="0"/>
        <w:ind w:firstLine="0"/>
      </w:pPr>
      <w:r>
        <w:rPr>
          <w:rFonts w:ascii="Times New Roman" w:hAnsi="Times New Roman" w:eastAsia="宋体"/>
          <w:b/>
          <w:sz w:val="24"/>
        </w:rPr>
        <w:t>表5 Bfull 上 QA 裁判维度得分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metric</w:t>
            </w:r>
          </w:p>
        </w:tc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deepseek-v4</w:t>
            </w:r>
          </w:p>
        </w:tc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deepseek-v4-pro</w:t>
            </w:r>
          </w:p>
        </w:tc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minimax</w:t>
            </w:r>
          </w:p>
        </w:tc>
      </w:tr>
      <w:tr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answer_relevance</w:t>
            </w:r>
          </w:p>
        </w:tc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3.375</w:t>
            </w:r>
          </w:p>
        </w:tc>
      </w:tr>
      <w:tr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faithfulness</w:t>
            </w:r>
          </w:p>
        </w:tc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3.625</w:t>
            </w:r>
          </w:p>
        </w:tc>
      </w:tr>
      <w:tr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factual_accuracy</w:t>
            </w:r>
          </w:p>
        </w:tc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3.625</w:t>
            </w:r>
          </w:p>
        </w:tc>
      </w:tr>
      <w:tr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logical_coherence</w:t>
            </w:r>
          </w:p>
        </w:tc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3.25</w:t>
            </w:r>
          </w:p>
        </w:tc>
      </w:tr>
      <w:tr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completeness</w:t>
            </w:r>
          </w:p>
        </w:tc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2158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3.0</w:t>
            </w:r>
          </w:p>
        </w:tc>
      </w:tr>
    </w:tbl>
    <w:p>
      <w:pPr>
        <w:spacing w:line="276" w:lineRule="auto" w:after="0"/>
        <w:ind w:firstLine="0"/>
      </w:pPr>
      <w:r>
        <w:rPr>
          <w:rFonts w:ascii="Times New Roman" w:hAnsi="Times New Roman" w:eastAsia="宋体"/>
          <w:b/>
          <w:sz w:val="24"/>
        </w:rPr>
        <w:t>表6 题集区分度信号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subset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overall_model_gap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best_vs_second_gap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per_question_variance_mean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discriminative_question_ratio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easy_questions_too_easy_ratio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all_models_fail_ratio</w:t>
            </w:r>
          </w:p>
        </w:tc>
      </w:tr>
      <w:tr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B1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0.244781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0.155693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0.019811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0.454545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</w:tr>
      <w:tr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Bfull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0.227563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0.123411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0.018156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0.458333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1233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</w:tr>
    </w:tbl>
    <w:p>
      <w:pPr>
        <w:spacing w:line="276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在首轮题集和五轮累计题集上，QA场景都得到相同的模型排序：deepseek-v4 &gt; deepseek-v4-pro &gt; minimax。这种排序在两种题集上保持一致，说明当前实验方案生成的QA数据具有稳定的评测能力，而不是偶然区分出模型差异。在裁判维度上，deepseek-v4与deepseek-v4-pro在Bfull上的5个维度都保持5.0满分，而minimax下降到3.0-3.625区间，差异非常明显。同时，区分题比例从0.4545小幅提升到0.4583，且不存在“所有模型都答对”或“所有模型都答不出”的退化现象，说明当前方案生成出的题集位于可区分但不过度失衡的有效区间。</w:t>
      </w:r>
    </w:p>
    <w:p>
      <w:pPr>
        <w:spacing w:line="276" w:lineRule="auto" w:after="0"/>
        <w:ind w:firstLine="0"/>
      </w:pPr>
      <w:r>
        <w:rPr>
          <w:rFonts w:ascii="Times New Roman" w:hAnsi="Times New Roman" w:eastAsia="宋体"/>
          <w:b/>
          <w:sz w:val="32"/>
        </w:rPr>
        <w:t>5 可直接引用的总结</w:t>
      </w:r>
    </w:p>
    <w:p>
      <w:pPr>
        <w:spacing w:line="276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五轮实测结果表明，所提出的多轮自动评价方案能够在后续轮次持续产出高质量题目，累计入选题数由首轮的11道扩展到57道，其中后续轮次贡献了46道有效增量。验证智能体在第2轮后实现了连续4轮全通过，表明生成-验证闭环已表现出良好的稳定性和收敛性。与仅使用首轮题集相比，五轮累计题集的引用得分由0.7894提升到0.8066，多样性得分由0.8232提升到0.8912，说明后续轮次不仅扩大了题集规模，也提升了数据质量。在模型评估方面，五轮累计题集在开放式问答场景下稳定地区分了deepseek-v4、deepseek-v4-pro和minimax三个候选模型，并在相关性、忠实性、事实准确性、逻辑性和完整性等裁判维度上表现出清晰的层次差异。这些结果共同说明，当前实验方案已经能够有效支撑自动评价数据集的持续构建、质量控制和模型能力辨析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