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9264" behindDoc="1" locked="0" layoutInCell="1" allowOverlap="1">
            <wp:simplePos x="0" y="0"/>
            <wp:positionH relativeFrom="column">
              <wp:posOffset>3757295</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7"/>
                    <a:stretch>
                      <a:fillRect/>
                    </a:stretch>
                  </pic:blipFill>
                  <pic:spPr>
                    <a:xfrm>
                      <a:off x="0" y="0"/>
                      <a:ext cx="1520190" cy="575945"/>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8"/>
                    <a:stretch>
                      <a:fillRect/>
                    </a:stretch>
                  </pic:blipFill>
                  <pic:spPr>
                    <a:xfrm>
                      <a:off x="0" y="0"/>
                      <a:ext cx="174117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4272915</wp:posOffset>
            </wp:positionH>
            <wp:positionV relativeFrom="paragraph">
              <wp:posOffset>172085</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5"/>
        <w:tabs>
          <w:tab w:val="right" w:leader="dot" w:pos="8306"/>
        </w:tabs>
        <w:jc w:val="center"/>
        <w:rPr>
          <w:b/>
          <w:bCs/>
        </w:rPr>
      </w:pPr>
      <w:r>
        <w:rPr>
          <w:b/>
          <w:bCs/>
        </w:rPr>
        <w:t>Table des matières</w:t>
      </w:r>
    </w:p>
    <w:p>
      <w:pPr/>
    </w:p>
    <w:p>
      <w:pPr>
        <w:pStyle w:val="15"/>
        <w:tabs>
          <w:tab w:val="right" w:leader="dot" w:pos="830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eastAsia="zh-CN" w:bidi="ar-SA"/>
        </w:rPr>
        <w:fldChar w:fldCharType="begin"/>
      </w:r>
      <w:r>
        <w:rPr>
          <w:rFonts w:ascii="Bookman Old Style" w:hAnsi="Bookman Old Style" w:eastAsiaTheme="minorEastAsia" w:cstheme="minorBidi"/>
          <w:kern w:val="2"/>
          <w:szCs w:val="24"/>
          <w:lang w:eastAsia="zh-CN" w:bidi="ar-SA"/>
        </w:rPr>
        <w:instrText xml:space="preserve"> HYPERLINK \l _Toc897729441 </w:instrText>
      </w:r>
      <w:r>
        <w:rPr>
          <w:rFonts w:ascii="Bookman Old Style" w:hAnsi="Bookman Old Style" w:eastAsiaTheme="minorEastAsia" w:cstheme="minorBidi"/>
          <w:kern w:val="2"/>
          <w:szCs w:val="24"/>
          <w:lang w:eastAsia="zh-CN" w:bidi="ar-SA"/>
        </w:rPr>
        <w:fldChar w:fldCharType="separate"/>
      </w:r>
      <w:r>
        <w:rPr>
          <w:rFonts w:ascii="Bookman Old Style" w:hAnsi="Bookman Old Style" w:eastAsiaTheme="minorEastAsia" w:cstheme="minorBidi"/>
          <w:kern w:val="2"/>
          <w:szCs w:val="24"/>
          <w:lang w:val="en-US" w:eastAsia="zh-CN" w:bidi="ar-SA"/>
        </w:rPr>
        <w:t>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_Toc897729441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0" w:name="_Toc897729441"/>
    </w:p>
    <w:p>
      <w:pPr>
        <w:pStyle w:val="2"/>
      </w:pPr>
      <w:r>
        <w:t>1. Préparation du projet</w:t>
      </w:r>
      <w:bookmarkEnd w:id="0"/>
    </w:p>
    <w:p>
      <w:pPr/>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pPr>
      <w:r>
        <w:t>Au début, nous pensions que le nombre de passager était inutile. Or, plus tard, nous avions remarqué qu</w:t>
      </w:r>
      <w:r>
        <w:rPr>
          <w:rFonts w:hint="default"/>
        </w:rPr>
        <w:t>’il avait son utilité pour la condition d’arrêt de la boucle while. Nous avons décidé de déclarer une variable globale pour récupérer la valeur et la décrémenter par la suite.</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Le projet demande l</w:t>
      </w:r>
      <w:r>
        <w:rPr>
          <w:rFonts w:hint="default"/>
        </w:rPr>
        <w:t xml:space="preserve">’utilisation de file FIFO. Nous avons décidé de reprendre le code d’une file, dans notre cours de </w:t>
      </w:r>
      <w:r>
        <w:rPr>
          <w:rFonts w:hint="default"/>
          <w:i/>
          <w:iCs/>
        </w:rPr>
        <w:t>Structures de données</w:t>
      </w:r>
      <w:r>
        <w:rPr>
          <w:rFonts w:hint="default"/>
        </w:rPr>
        <w:t xml:space="preserve">. Il permet de manipuler plus facilement le contenu et répondre aux cahiers des charges. De plus, ce code permet de ne pas “sur-allouer” de l’espace mémoire mais, d’allouer l’espace nécessaire pour chaque file et chaque structure </w:t>
      </w:r>
      <w:r>
        <w:rPr>
          <w:rFonts w:hint="default"/>
          <w:i/>
          <w:iCs/>
        </w:rPr>
        <w:t>passenger</w:t>
      </w:r>
      <w:r>
        <w:rPr>
          <w:rFonts w:hint="default"/>
          <w:i w:val="0"/>
          <w:iCs w:val="0"/>
        </w:rPr>
        <w:t xml:space="preserve">. </w:t>
      </w: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rPr>
      </w:pPr>
      <w:r>
        <w:t>Concernant les threads nous avons utiliser ce que nous avions vu en cours c</w:t>
      </w:r>
      <w:r>
        <w:rPr>
          <w:rFonts w:hint="default"/>
        </w:rPr>
        <w:t>’est-à-dire la bibliothéque pthread. Cette bibliothéque nous permet d’utiliser la fonction pthread_create.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Après avoir creer le thread métro, le thread bus et le thread vérificateur nous sommes posés la question de savoir si il fallait créer la file du métro et du bus dans le thread ou le considérer comme une variable globale.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Dans notre projet nous les avons considérés comme des variables globales.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Pour la suite nous avons entrer en paramètre de la fonction un tableau de file qui correspond au file de chaque station noté de 0 à 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Puis on parcours la file de la station correspondante et on récupère les passagers.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Enfin on teste pour chaque station si le passager est arrivé à destination.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86"/>
    <w:family w:val="decorative"/>
    <w:pitch w:val="default"/>
    <w:sig w:usb0="00000000" w:usb1="00000000" w:usb2="00000016" w:usb3="00000000" w:csb0="00040001" w:csb1="00000000"/>
  </w:font>
  <w:font w:name="Cambria">
    <w:altName w:val="Georgia"/>
    <w:panose1 w:val="02040503050406030204"/>
    <w:charset w:val="00"/>
    <w:family w:val="decorative"/>
    <w:pitch w:val="default"/>
    <w:sig w:usb0="00000000" w:usb1="00000000" w:usb2="00000000" w:usb3="00000000" w:csb0="2000019F" w:csb1="00000000"/>
  </w:font>
  <w:font w:name="Calibri">
    <w:altName w:val="Arial"/>
    <w:panose1 w:val="020F0502020204030204"/>
    <w:charset w:val="00"/>
    <w:family w:val="modern"/>
    <w:pitch w:val="default"/>
    <w:sig w:usb0="00000000" w:usb1="00000000" w:usb2="00000001" w:usb3="00000000" w:csb0="2000019F" w:csb1="00000000"/>
  </w:font>
  <w:font w:name="Bookman Old Style">
    <w:altName w:val="DejaVu Serif"/>
    <w:panose1 w:val="02050604050505020204"/>
    <w:charset w:val="00"/>
    <w:family w:val="auto"/>
    <w:pitch w:val="default"/>
    <w:sig w:usb0="00000000"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Droid Sans Fallback"/>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3FD14D71"/>
    <w:rsid w:val="56FF434B"/>
    <w:rsid w:val="75FA3D36"/>
    <w:rsid w:val="7FFB0163"/>
    <w:rsid w:val="7FFFAEC3"/>
    <w:rsid w:val="925DB469"/>
    <w:rsid w:val="CBFF1595"/>
    <w:rsid w:val="D7EF21B8"/>
    <w:rsid w:val="EEAFF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260" w:beforeLines="0" w:after="260" w:afterLines="0" w:line="240" w:lineRule="auto"/>
      <w:outlineLvl w:val="1"/>
    </w:pPr>
    <w:rPr>
      <w:rFonts w:ascii="Bookman Old Style" w:hAnsi="Bookman Old Style" w:eastAsia="SimHei"/>
      <w:b/>
      <w:bCs/>
      <w:sz w:val="28"/>
      <w:szCs w:val="32"/>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toc 9"/>
    <w:basedOn w:val="1"/>
    <w:next w:val="1"/>
    <w:uiPriority w:val="0"/>
    <w:pPr>
      <w:ind w:left="3360" w:leftChars="1600"/>
    </w:pPr>
  </w:style>
  <w:style w:type="paragraph" w:styleId="5">
    <w:name w:val="toc 5"/>
    <w:basedOn w:val="1"/>
    <w:next w:val="1"/>
    <w:uiPriority w:val="0"/>
    <w:pPr>
      <w:ind w:left="1680" w:leftChars="800"/>
    </w:p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8"/>
    <w:basedOn w:val="1"/>
    <w:next w:val="1"/>
    <w:uiPriority w:val="0"/>
    <w:pPr>
      <w:ind w:left="2940" w:leftChars="1400"/>
    </w:pPr>
  </w:style>
  <w:style w:type="paragraph" w:styleId="8">
    <w:name w:val="toc 4"/>
    <w:basedOn w:val="1"/>
    <w:next w:val="1"/>
    <w:uiPriority w:val="0"/>
    <w:pPr>
      <w:ind w:left="1260" w:leftChars="600"/>
    </w:pPr>
  </w:style>
  <w:style w:type="paragraph" w:styleId="9">
    <w:name w:val="toc 7"/>
    <w:basedOn w:val="1"/>
    <w:next w:val="1"/>
    <w:uiPriority w:val="0"/>
    <w:pPr>
      <w:ind w:left="2520" w:leftChars="1200"/>
    </w:pPr>
  </w:style>
  <w:style w:type="paragraph" w:styleId="10">
    <w:name w:val="toc 3"/>
    <w:basedOn w:val="1"/>
    <w:next w:val="1"/>
    <w:uiPriority w:val="0"/>
    <w:pPr>
      <w:ind w:left="840" w:leftChars="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2018-04-23T23:24:00Z</dcterms:created>
  <dc:creator>ioryogi</dc:creator>
  <cp:lastModifiedBy>ioryogi</cp:lastModifiedBy>
  <dcterms:modified xsi:type="dcterms:W3CDTF">2018-05-06T16:47:18Z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