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CC600" w14:textId="3BDDBAE4" w:rsidR="008A24B7" w:rsidRDefault="00CF22A5" w:rsidP="00CF22A5">
      <w:pPr>
        <w:pStyle w:val="1"/>
      </w:pPr>
      <w:r>
        <w:rPr>
          <w:rFonts w:hint="eastAsia"/>
        </w:rPr>
        <w:t>一、</w:t>
      </w:r>
      <w:r w:rsidR="00227719">
        <w:rPr>
          <w:rFonts w:hint="eastAsia"/>
        </w:rPr>
        <w:t>实验三</w:t>
      </w:r>
    </w:p>
    <w:p w14:paraId="27DF39F9" w14:textId="52FD5215" w:rsidR="00C522FD" w:rsidRPr="005D6763" w:rsidRDefault="00C522FD" w:rsidP="00DB4B37">
      <w:pPr>
        <w:spacing w:before="0" w:after="0"/>
        <w:rPr>
          <w:sz w:val="24"/>
          <w:szCs w:val="24"/>
        </w:rPr>
      </w:pPr>
      <w:r w:rsidRPr="005D6763">
        <w:rPr>
          <w:rFonts w:hint="eastAsia"/>
          <w:sz w:val="24"/>
          <w:szCs w:val="24"/>
        </w:rPr>
        <w:t>（1）回顾自己的社区发帖总结，目前实际的投资情况符合你当时的预期吗？分析并总结。</w:t>
      </w:r>
    </w:p>
    <w:p w14:paraId="5014EB6D" w14:textId="4507CA59" w:rsidR="00980076" w:rsidRDefault="00227719" w:rsidP="001D284D">
      <w:pPr>
        <w:spacing w:before="0" w:after="0"/>
        <w:ind w:firstLine="420"/>
      </w:pPr>
      <w:r>
        <w:rPr>
          <w:rFonts w:hint="eastAsia"/>
        </w:rPr>
        <w:t>目前的投资情况基本符合预期，由于之前股市呈下降趋势，故目前的股票持仓比例下降，</w:t>
      </w:r>
      <w:r w:rsidR="00E10802">
        <w:rPr>
          <w:rFonts w:hint="eastAsia"/>
        </w:rPr>
        <w:t>主要操作为：</w:t>
      </w:r>
      <w:r>
        <w:rPr>
          <w:rFonts w:hint="eastAsia"/>
        </w:rPr>
        <w:t>在之前明德生物盈利的时候卖出，五粮液</w:t>
      </w:r>
      <w:r w:rsidR="00E10802">
        <w:rPr>
          <w:rFonts w:hint="eastAsia"/>
        </w:rPr>
        <w:t>在继续亏损的情况下</w:t>
      </w:r>
      <w:r>
        <w:rPr>
          <w:rFonts w:hint="eastAsia"/>
        </w:rPr>
        <w:t>仍保持持仓。</w:t>
      </w:r>
      <w:r w:rsidR="00E10802">
        <w:rPr>
          <w:rFonts w:hint="eastAsia"/>
        </w:rPr>
        <w:t>由于</w:t>
      </w:r>
      <w:r w:rsidR="00B00550">
        <w:rPr>
          <w:rFonts w:hint="eastAsia"/>
        </w:rPr>
        <w:t>这周的半导体、基建行业均有所上涨，卖出了北方华创</w:t>
      </w:r>
      <w:r w:rsidR="00E10802">
        <w:rPr>
          <w:rFonts w:hint="eastAsia"/>
        </w:rPr>
        <w:t>盈利</w:t>
      </w:r>
      <w:r w:rsidR="0057439F">
        <w:rPr>
          <w:rFonts w:hint="eastAsia"/>
        </w:rPr>
        <w:t>，</w:t>
      </w:r>
      <w:r w:rsidR="00E10802">
        <w:rPr>
          <w:rFonts w:hint="eastAsia"/>
        </w:rPr>
        <w:t>同时</w:t>
      </w:r>
      <w:r w:rsidR="0057439F">
        <w:rPr>
          <w:rFonts w:hint="eastAsia"/>
        </w:rPr>
        <w:t>在合适的时机买入了天保基建，目前总收益率为3.39%。</w:t>
      </w:r>
    </w:p>
    <w:p w14:paraId="678A620E" w14:textId="720448F6" w:rsidR="00AE4B1A" w:rsidRPr="006B6C84" w:rsidRDefault="00C522FD" w:rsidP="00DB4B37">
      <w:pPr>
        <w:spacing w:before="0" w:after="0"/>
        <w:rPr>
          <w:sz w:val="24"/>
          <w:szCs w:val="24"/>
        </w:rPr>
      </w:pPr>
      <w:r w:rsidRPr="006B6C84">
        <w:rPr>
          <w:rFonts w:hint="eastAsia"/>
          <w:sz w:val="24"/>
          <w:szCs w:val="24"/>
        </w:rPr>
        <w:t>（2）</w:t>
      </w:r>
      <w:r w:rsidR="006B6C84" w:rsidRPr="006B6C84">
        <w:rPr>
          <w:rFonts w:hint="eastAsia"/>
          <w:sz w:val="24"/>
          <w:szCs w:val="24"/>
        </w:rPr>
        <w:t>按照模拟投资实验要求进行模拟投资操作（挂单买卖、查询证券信息等）</w:t>
      </w:r>
    </w:p>
    <w:p w14:paraId="144F3B97" w14:textId="6C56BCA6" w:rsidR="00CB0691" w:rsidRDefault="00CB0691" w:rsidP="00CB0691">
      <w:pPr>
        <w:spacing w:before="0" w:after="0"/>
        <w:ind w:firstLine="420"/>
        <w:jc w:val="left"/>
      </w:pPr>
      <w:r>
        <w:rPr>
          <w:rFonts w:hint="eastAsia"/>
        </w:rPr>
        <w:t>利用海知的历史交割记录导出功能，可以看到操作历史如下图所示。</w:t>
      </w:r>
    </w:p>
    <w:p w14:paraId="297000ED" w14:textId="4EA54416" w:rsidR="006B6C84" w:rsidRDefault="00884C9A" w:rsidP="00CB0691">
      <w:pPr>
        <w:spacing w:before="0" w:after="0"/>
        <w:jc w:val="center"/>
      </w:pPr>
      <w:r w:rsidRPr="00884C9A">
        <w:rPr>
          <w:noProof/>
        </w:rPr>
        <w:drawing>
          <wp:inline distT="0" distB="0" distL="0" distR="0" wp14:anchorId="3531D9C2" wp14:editId="0E048633">
            <wp:extent cx="5274310" cy="1760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60855"/>
                    </a:xfrm>
                    <a:prstGeom prst="rect">
                      <a:avLst/>
                    </a:prstGeom>
                  </pic:spPr>
                </pic:pic>
              </a:graphicData>
            </a:graphic>
          </wp:inline>
        </w:drawing>
      </w:r>
    </w:p>
    <w:p w14:paraId="0AD1EC39" w14:textId="4EE3C19B" w:rsidR="004E18FA" w:rsidRPr="00DA292F" w:rsidRDefault="004E18FA" w:rsidP="00CB0691">
      <w:pPr>
        <w:spacing w:before="0" w:after="0"/>
        <w:jc w:val="center"/>
        <w:rPr>
          <w:rFonts w:ascii="楷体" w:eastAsia="楷体" w:hAnsi="楷体"/>
          <w:sz w:val="18"/>
          <w:szCs w:val="18"/>
        </w:rPr>
      </w:pPr>
      <w:r w:rsidRPr="00DA292F">
        <w:rPr>
          <w:rFonts w:ascii="楷体" w:eastAsia="楷体" w:hAnsi="楷体" w:hint="eastAsia"/>
          <w:sz w:val="18"/>
          <w:szCs w:val="18"/>
        </w:rPr>
        <w:t>图1.1</w:t>
      </w:r>
      <w:r w:rsidR="00DA292F">
        <w:rPr>
          <w:rFonts w:ascii="楷体" w:eastAsia="楷体" w:hAnsi="楷体"/>
          <w:sz w:val="18"/>
          <w:szCs w:val="18"/>
        </w:rPr>
        <w:t xml:space="preserve"> </w:t>
      </w:r>
      <w:r w:rsidR="00DA292F">
        <w:rPr>
          <w:rFonts w:ascii="楷体" w:eastAsia="楷体" w:hAnsi="楷体" w:hint="eastAsia"/>
          <w:sz w:val="18"/>
          <w:szCs w:val="18"/>
        </w:rPr>
        <w:t>历史操作</w:t>
      </w:r>
    </w:p>
    <w:p w14:paraId="187F5842" w14:textId="74B3635A" w:rsidR="00C522FD" w:rsidRPr="005D6763" w:rsidRDefault="00C522FD" w:rsidP="00DB4B37">
      <w:pPr>
        <w:spacing w:before="0" w:after="0"/>
        <w:rPr>
          <w:sz w:val="24"/>
          <w:szCs w:val="24"/>
        </w:rPr>
      </w:pPr>
      <w:r w:rsidRPr="005D6763">
        <w:rPr>
          <w:rFonts w:hint="eastAsia"/>
          <w:sz w:val="24"/>
          <w:szCs w:val="24"/>
        </w:rPr>
        <w:t>（3）通过评测诊断模块查看当前排名以及判势得分，自己的判势得分和判势水平如何？是否对自己的投资效果产生了影响？分析并总结。</w:t>
      </w:r>
    </w:p>
    <w:p w14:paraId="5F630DBE" w14:textId="53630338" w:rsidR="00AE4B1A" w:rsidRDefault="00AE4B1A" w:rsidP="00DB4B37">
      <w:pPr>
        <w:spacing w:before="0" w:after="0"/>
        <w:ind w:firstLine="420"/>
      </w:pPr>
      <w:r>
        <w:rPr>
          <w:rFonts w:hint="eastAsia"/>
        </w:rPr>
        <w:t>目前排名及判势得分如图所示，判势得分为62.61，个人投资判势主要是根据股市整体的盈亏情况选择加大或减少股票所占持仓比例，如前段时间呈熊市趋势，选择了降低股票持仓比。同时准确判断正在上涨的股票的合适卖出时机进行盈利，</w:t>
      </w:r>
      <w:r w:rsidR="00F01C58">
        <w:rPr>
          <w:rFonts w:hint="eastAsia"/>
        </w:rPr>
        <w:t>如北方华创，</w:t>
      </w:r>
      <w:r>
        <w:rPr>
          <w:rFonts w:hint="eastAsia"/>
        </w:rPr>
        <w:t>判断正在下跌</w:t>
      </w:r>
      <w:r w:rsidR="00F01C58">
        <w:rPr>
          <w:rFonts w:hint="eastAsia"/>
        </w:rPr>
        <w:t>但有上涨潜力</w:t>
      </w:r>
      <w:r>
        <w:rPr>
          <w:rFonts w:hint="eastAsia"/>
        </w:rPr>
        <w:t>的</w:t>
      </w:r>
      <w:r w:rsidR="00F01C58">
        <w:rPr>
          <w:rFonts w:hint="eastAsia"/>
        </w:rPr>
        <w:t>股票的</w:t>
      </w:r>
      <w:r>
        <w:rPr>
          <w:rFonts w:hint="eastAsia"/>
        </w:rPr>
        <w:t>合适买入时机</w:t>
      </w:r>
      <w:r w:rsidR="00F01C58">
        <w:rPr>
          <w:rFonts w:hint="eastAsia"/>
        </w:rPr>
        <w:t>，如天保基建</w:t>
      </w:r>
      <w:r>
        <w:rPr>
          <w:rFonts w:hint="eastAsia"/>
        </w:rPr>
        <w:t>。</w:t>
      </w:r>
    </w:p>
    <w:p w14:paraId="63C539F6" w14:textId="05DAD7FB" w:rsidR="00AE4B1A" w:rsidRDefault="00AE4B1A" w:rsidP="004E18FA">
      <w:pPr>
        <w:spacing w:before="0" w:after="0"/>
        <w:jc w:val="center"/>
      </w:pPr>
      <w:r>
        <w:rPr>
          <w:noProof/>
        </w:rPr>
        <w:drawing>
          <wp:inline distT="0" distB="0" distL="0" distR="0" wp14:anchorId="5E596D68" wp14:editId="0C45D1AF">
            <wp:extent cx="5274310" cy="3022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2260"/>
                    </a:xfrm>
                    <a:prstGeom prst="rect">
                      <a:avLst/>
                    </a:prstGeom>
                  </pic:spPr>
                </pic:pic>
              </a:graphicData>
            </a:graphic>
          </wp:inline>
        </w:drawing>
      </w:r>
    </w:p>
    <w:p w14:paraId="1791F556" w14:textId="44F1F14B" w:rsidR="00DB4B37" w:rsidRPr="00DB4B37" w:rsidRDefault="00DB4B37" w:rsidP="00DB4B37">
      <w:pPr>
        <w:spacing w:before="0" w:after="0"/>
        <w:jc w:val="center"/>
        <w:rPr>
          <w:rFonts w:ascii="楷体" w:eastAsia="楷体" w:hAnsi="楷体"/>
          <w:sz w:val="18"/>
          <w:szCs w:val="18"/>
        </w:rPr>
      </w:pPr>
      <w:r w:rsidRPr="00DB4B37">
        <w:rPr>
          <w:rFonts w:ascii="楷体" w:eastAsia="楷体" w:hAnsi="楷体" w:hint="eastAsia"/>
          <w:sz w:val="18"/>
          <w:szCs w:val="18"/>
        </w:rPr>
        <w:t>图1.</w:t>
      </w:r>
      <w:r w:rsidR="004E18FA">
        <w:rPr>
          <w:rFonts w:ascii="楷体" w:eastAsia="楷体" w:hAnsi="楷体" w:hint="eastAsia"/>
          <w:sz w:val="18"/>
          <w:szCs w:val="18"/>
        </w:rPr>
        <w:t>2</w:t>
      </w:r>
      <w:r w:rsidRPr="00DB4B37">
        <w:rPr>
          <w:rFonts w:ascii="楷体" w:eastAsia="楷体" w:hAnsi="楷体"/>
          <w:sz w:val="18"/>
          <w:szCs w:val="18"/>
        </w:rPr>
        <w:t xml:space="preserve"> </w:t>
      </w:r>
      <w:r w:rsidRPr="00DB4B37">
        <w:rPr>
          <w:rFonts w:ascii="楷体" w:eastAsia="楷体" w:hAnsi="楷体" w:hint="eastAsia"/>
          <w:sz w:val="18"/>
          <w:szCs w:val="18"/>
        </w:rPr>
        <w:t>当前排名及判势得分</w:t>
      </w:r>
    </w:p>
    <w:p w14:paraId="6AABE6C5" w14:textId="512BC784" w:rsidR="00C522FD" w:rsidRPr="005D6763" w:rsidRDefault="00C522FD" w:rsidP="00DB4B37">
      <w:pPr>
        <w:spacing w:before="0" w:after="0"/>
        <w:rPr>
          <w:sz w:val="24"/>
          <w:szCs w:val="24"/>
        </w:rPr>
      </w:pPr>
      <w:r w:rsidRPr="005D6763">
        <w:rPr>
          <w:rFonts w:hint="eastAsia"/>
          <w:sz w:val="24"/>
          <w:szCs w:val="24"/>
        </w:rPr>
        <w:t>（4）从和其他人对比的角度，结合模拟投资排行榜的择时得分以及收益情况，当前班级中谁的择时表现“较好”，给出你的看法并说明原因。</w:t>
      </w:r>
    </w:p>
    <w:p w14:paraId="5CD7FF50" w14:textId="77777777" w:rsidR="00AB37F3" w:rsidRDefault="003A74B7" w:rsidP="00AB37F3">
      <w:pPr>
        <w:spacing w:before="0" w:after="0"/>
        <w:ind w:firstLine="420"/>
      </w:pPr>
      <w:r>
        <w:rPr>
          <w:rFonts w:hint="eastAsia"/>
        </w:rPr>
        <w:lastRenderedPageBreak/>
        <w:t>如图1.3所示，</w:t>
      </w:r>
      <w:r w:rsidR="00AC4EBB">
        <w:rPr>
          <w:rFonts w:hint="eastAsia"/>
        </w:rPr>
        <w:t>目前班级中，排名前两位的择时得分以及收益情况表现较好</w:t>
      </w:r>
      <w:r w:rsidR="002808BC">
        <w:rPr>
          <w:rFonts w:hint="eastAsia"/>
        </w:rPr>
        <w:t>。其中第一名只持有了中国长城，当前收益率达到了20.26%，根据判势得分的计算公式，可以认为该同学是收益率导致了其择时的表现较好，但其只投了一支股票，风险较高。</w:t>
      </w:r>
    </w:p>
    <w:p w14:paraId="3D8577ED" w14:textId="29D88FE2" w:rsidR="00AC4EBB" w:rsidRDefault="00AB37F3" w:rsidP="00AB37F3">
      <w:pPr>
        <w:spacing w:before="0" w:after="0"/>
        <w:ind w:firstLine="420"/>
      </w:pPr>
      <w:r>
        <w:rPr>
          <w:rFonts w:hint="eastAsia"/>
        </w:rPr>
        <w:t>第二名与第一名不同，其投资的股票品种更多，择时得分也更高，其收益率虽然不及第一名，但其持仓比、收益率总体来说优于第一名，故判势得分很高。总的来说，该同学对股市的走向、调整持仓比，考虑风险控制等都把握的很好。</w:t>
      </w:r>
    </w:p>
    <w:p w14:paraId="651BA46D" w14:textId="45EEA69F" w:rsidR="00AC4EBB" w:rsidRDefault="00AC4EBB" w:rsidP="004E18FA">
      <w:pPr>
        <w:spacing w:before="0" w:after="0"/>
        <w:jc w:val="center"/>
      </w:pPr>
      <w:r>
        <w:rPr>
          <w:noProof/>
        </w:rPr>
        <w:drawing>
          <wp:inline distT="0" distB="0" distL="0" distR="0" wp14:anchorId="47D50B21" wp14:editId="6FF6D368">
            <wp:extent cx="5274310" cy="8115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11530"/>
                    </a:xfrm>
                    <a:prstGeom prst="rect">
                      <a:avLst/>
                    </a:prstGeom>
                  </pic:spPr>
                </pic:pic>
              </a:graphicData>
            </a:graphic>
          </wp:inline>
        </w:drawing>
      </w:r>
    </w:p>
    <w:p w14:paraId="5C126D3E" w14:textId="16BEAA6D" w:rsidR="00DB4B37" w:rsidRPr="00DB4B37" w:rsidRDefault="00DB4B37" w:rsidP="00DB4B37">
      <w:pPr>
        <w:spacing w:before="0" w:after="0"/>
        <w:jc w:val="center"/>
        <w:rPr>
          <w:rFonts w:ascii="楷体" w:eastAsia="楷体" w:hAnsi="楷体"/>
          <w:sz w:val="18"/>
          <w:szCs w:val="18"/>
        </w:rPr>
      </w:pPr>
      <w:r w:rsidRPr="00DB4B37">
        <w:rPr>
          <w:rFonts w:ascii="楷体" w:eastAsia="楷体" w:hAnsi="楷体" w:hint="eastAsia"/>
          <w:sz w:val="18"/>
          <w:szCs w:val="18"/>
        </w:rPr>
        <w:t>图1.</w:t>
      </w:r>
      <w:r w:rsidR="004E18FA">
        <w:rPr>
          <w:rFonts w:ascii="楷体" w:eastAsia="楷体" w:hAnsi="楷体" w:hint="eastAsia"/>
          <w:sz w:val="18"/>
          <w:szCs w:val="18"/>
        </w:rPr>
        <w:t>3</w:t>
      </w:r>
      <w:r w:rsidRPr="00DB4B37">
        <w:rPr>
          <w:rFonts w:ascii="楷体" w:eastAsia="楷体" w:hAnsi="楷体"/>
          <w:sz w:val="18"/>
          <w:szCs w:val="18"/>
        </w:rPr>
        <w:t xml:space="preserve"> </w:t>
      </w:r>
      <w:r w:rsidRPr="00DB4B37">
        <w:rPr>
          <w:rFonts w:ascii="楷体" w:eastAsia="楷体" w:hAnsi="楷体" w:hint="eastAsia"/>
          <w:sz w:val="18"/>
          <w:szCs w:val="18"/>
        </w:rPr>
        <w:t>前两名的择时得分及收益情况</w:t>
      </w:r>
    </w:p>
    <w:p w14:paraId="6F7B093C" w14:textId="630D412B" w:rsidR="00AC4EBB" w:rsidRPr="005D6763" w:rsidRDefault="00AC4EBB" w:rsidP="00DB4B37">
      <w:pPr>
        <w:spacing w:before="0" w:after="0"/>
        <w:rPr>
          <w:sz w:val="24"/>
          <w:szCs w:val="24"/>
        </w:rPr>
      </w:pPr>
      <w:r w:rsidRPr="005D6763">
        <w:rPr>
          <w:rFonts w:hint="eastAsia"/>
          <w:sz w:val="24"/>
          <w:szCs w:val="24"/>
        </w:rPr>
        <w:t>（5）</w:t>
      </w:r>
      <w:r w:rsidR="00C522FD" w:rsidRPr="005D6763">
        <w:rPr>
          <w:rFonts w:hint="eastAsia"/>
          <w:sz w:val="24"/>
          <w:szCs w:val="24"/>
        </w:rPr>
        <w:t>从对自身评价的角度，查看判势得分细节数据（各指数点位涨幅表、股债金指数走势图、仓位占比图、判势收益曲线、判势得分曲线），并计算自开始日期至当日的判势得分，并和系统对比。要求给出基本的计算过程或计算思路。</w:t>
      </w:r>
    </w:p>
    <w:p w14:paraId="1800AF02" w14:textId="3F94A474" w:rsidR="00A2442C" w:rsidRDefault="00A2442C" w:rsidP="005C75D7">
      <w:pPr>
        <w:spacing w:before="0" w:after="0"/>
        <w:ind w:firstLine="420"/>
      </w:pPr>
      <w:r>
        <w:rPr>
          <w:rFonts w:hint="eastAsia"/>
        </w:rPr>
        <w:t>①</w:t>
      </w:r>
      <w:r w:rsidRPr="00A2442C">
        <w:rPr>
          <w:rFonts w:hint="eastAsia"/>
        </w:rPr>
        <w:t>各指数点位涨幅表、股债金指数走势图、仓位占比图、判势收益曲线、判势得分曲线</w:t>
      </w:r>
      <w:r>
        <w:rPr>
          <w:rFonts w:hint="eastAsia"/>
        </w:rPr>
        <w:t>如图1.4、1.5、1.6、1.7</w:t>
      </w:r>
      <w:r w:rsidR="00BB1139">
        <w:rPr>
          <w:rFonts w:hint="eastAsia"/>
        </w:rPr>
        <w:t>、1.8</w:t>
      </w:r>
      <w:r>
        <w:rPr>
          <w:rFonts w:hint="eastAsia"/>
        </w:rPr>
        <w:t>所示。</w:t>
      </w:r>
    </w:p>
    <w:p w14:paraId="0E8A00F7" w14:textId="3334DF54" w:rsidR="001031D8" w:rsidRDefault="003C7C2A" w:rsidP="005C75D7">
      <w:pPr>
        <w:spacing w:before="0" w:after="0"/>
        <w:ind w:firstLine="420"/>
      </w:pPr>
      <w:r>
        <w:rPr>
          <w:rFonts w:hint="eastAsia"/>
        </w:rPr>
        <w:t>②</w:t>
      </w:r>
      <w:r w:rsidR="00DE0798">
        <w:rPr>
          <w:rFonts w:hint="eastAsia"/>
        </w:rPr>
        <w:t>可以用时间细化计算收益率算得判势收益率，主要思路为股债金的仓位占比乘上各自的指数涨幅，</w:t>
      </w:r>
      <w:r w:rsidR="00217280">
        <w:rPr>
          <w:rFonts w:hint="eastAsia"/>
        </w:rPr>
        <w:t>即</w:t>
      </w:r>
      <w:r w:rsidR="00217280" w:rsidRPr="00217280">
        <w:rPr>
          <w:position w:val="-12"/>
        </w:rPr>
        <w:object w:dxaOrig="2840" w:dyaOrig="360" w14:anchorId="19509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2pt;height:18pt" o:ole="">
            <v:imagedata r:id="rId10" o:title=""/>
          </v:shape>
          <o:OLEObject Type="Embed" ProgID="Equation.DSMT4" ShapeID="_x0000_i1025" DrawAspect="Content" ObjectID="_1714161444" r:id="rId11"/>
        </w:object>
      </w:r>
      <w:r w:rsidR="00217280">
        <w:rPr>
          <w:rFonts w:hint="eastAsia"/>
        </w:rPr>
        <w:t>。</w:t>
      </w:r>
      <w:r w:rsidR="00DE0798">
        <w:rPr>
          <w:rFonts w:hint="eastAsia"/>
        </w:rPr>
        <w:t>再将划分的各时间段的收益率</w:t>
      </w:r>
      <w:r w:rsidR="00897B4A">
        <w:rPr>
          <w:rFonts w:hint="eastAsia"/>
        </w:rPr>
        <w:t>按照</w:t>
      </w:r>
      <w:r w:rsidR="00217280" w:rsidRPr="00217280">
        <w:rPr>
          <w:position w:val="-12"/>
        </w:rPr>
        <w:object w:dxaOrig="3120" w:dyaOrig="360" w14:anchorId="40F7873F">
          <v:shape id="_x0000_i1026" type="#_x0000_t75" style="width:156pt;height:18pt" o:ole="">
            <v:imagedata r:id="rId12" o:title=""/>
          </v:shape>
          <o:OLEObject Type="Embed" ProgID="Equation.DSMT4" ShapeID="_x0000_i1026" DrawAspect="Content" ObjectID="_1714161445" r:id="rId13"/>
        </w:object>
      </w:r>
      <w:r w:rsidR="00DE0798">
        <w:rPr>
          <w:rFonts w:hint="eastAsia"/>
        </w:rPr>
        <w:t>进行汇总。</w:t>
      </w:r>
      <w:r w:rsidR="0056490D">
        <w:rPr>
          <w:rFonts w:hint="eastAsia"/>
        </w:rPr>
        <w:t>由图1.6可知，</w:t>
      </w:r>
      <w:r w:rsidR="00014C2B">
        <w:rPr>
          <w:rFonts w:hint="eastAsia"/>
        </w:rPr>
        <w:t>目前的</w:t>
      </w:r>
      <w:r w:rsidR="00682F87">
        <w:rPr>
          <w:rFonts w:hint="eastAsia"/>
        </w:rPr>
        <w:t>判势</w:t>
      </w:r>
      <w:r w:rsidR="00014C2B">
        <w:rPr>
          <w:rFonts w:hint="eastAsia"/>
        </w:rPr>
        <w:t>收益率为1.35%，</w:t>
      </w:r>
      <w:r w:rsidR="002E2437">
        <w:rPr>
          <w:rFonts w:hint="eastAsia"/>
        </w:rPr>
        <w:t>基准收益率为-1.13%，指数最大涨幅为6.735%，基准得分为50分。</w:t>
      </w:r>
    </w:p>
    <w:p w14:paraId="2F2DA6A5" w14:textId="77777777" w:rsidR="00C827F6" w:rsidRDefault="002E2437" w:rsidP="00B47438">
      <w:pPr>
        <w:spacing w:before="0" w:after="0"/>
        <w:ind w:firstLine="420"/>
      </w:pPr>
      <w:r>
        <w:rPr>
          <w:rFonts w:hint="eastAsia"/>
        </w:rPr>
        <w:t>采用将收益率线性映射到10~90分之间的方法计算判势得分，</w:t>
      </w:r>
      <w:r w:rsidR="00945BB8">
        <w:rPr>
          <w:rFonts w:hint="eastAsia"/>
        </w:rPr>
        <w:t>设得分</w:t>
      </w:r>
      <w:r w:rsidR="00C827F6">
        <w:rPr>
          <w:rFonts w:hint="eastAsia"/>
        </w:rPr>
        <w:t>为</w:t>
      </w:r>
      <w:r w:rsidR="00945BB8">
        <w:rPr>
          <w:rFonts w:hint="eastAsia"/>
        </w:rPr>
        <w:t>y</w:t>
      </w:r>
      <w:r w:rsidR="00C827F6">
        <w:rPr>
          <w:rFonts w:hint="eastAsia"/>
        </w:rPr>
        <w:t>，</w:t>
      </w:r>
      <w:r w:rsidR="00945BB8">
        <w:rPr>
          <w:rFonts w:hint="eastAsia"/>
        </w:rPr>
        <w:t>收益率</w:t>
      </w:r>
      <w:r w:rsidR="00C827F6">
        <w:rPr>
          <w:rFonts w:hint="eastAsia"/>
        </w:rPr>
        <w:t>为x。则有</w:t>
      </w:r>
      <w:r w:rsidR="00945BB8">
        <w:rPr>
          <w:rFonts w:hint="eastAsia"/>
        </w:rPr>
        <w:t>当</w:t>
      </w:r>
      <w:r w:rsidR="00945BB8" w:rsidRPr="00945BB8">
        <w:rPr>
          <w:position w:val="-6"/>
        </w:rPr>
        <w:object w:dxaOrig="1200" w:dyaOrig="279" w14:anchorId="04AE02A3">
          <v:shape id="_x0000_i1027" type="#_x0000_t75" style="width:60pt;height:13.8pt" o:ole="">
            <v:imagedata r:id="rId14" o:title=""/>
          </v:shape>
          <o:OLEObject Type="Embed" ProgID="Equation.DSMT4" ShapeID="_x0000_i1027" DrawAspect="Content" ObjectID="_1714161446" r:id="rId15"/>
        </w:object>
      </w:r>
      <w:r w:rsidR="00945BB8">
        <w:rPr>
          <w:rFonts w:hint="eastAsia"/>
        </w:rPr>
        <w:t>时，</w:t>
      </w:r>
      <w:r w:rsidR="00945BB8" w:rsidRPr="00945BB8">
        <w:rPr>
          <w:position w:val="-10"/>
        </w:rPr>
        <w:object w:dxaOrig="680" w:dyaOrig="320" w14:anchorId="4A92F07D">
          <v:shape id="_x0000_i1028" type="#_x0000_t75" style="width:34.2pt;height:16.2pt" o:ole="">
            <v:imagedata r:id="rId16" o:title=""/>
          </v:shape>
          <o:OLEObject Type="Embed" ProgID="Equation.DSMT4" ShapeID="_x0000_i1028" DrawAspect="Content" ObjectID="_1714161447" r:id="rId17"/>
        </w:object>
      </w:r>
      <w:r w:rsidR="00945BB8">
        <w:rPr>
          <w:rFonts w:hint="eastAsia"/>
        </w:rPr>
        <w:t>，当</w:t>
      </w:r>
      <w:r w:rsidR="00945BB8" w:rsidRPr="00945BB8">
        <w:rPr>
          <w:position w:val="-6"/>
        </w:rPr>
        <w:object w:dxaOrig="1180" w:dyaOrig="279" w14:anchorId="0D7F3908">
          <v:shape id="_x0000_i1029" type="#_x0000_t75" style="width:58.8pt;height:13.8pt" o:ole="">
            <v:imagedata r:id="rId18" o:title=""/>
          </v:shape>
          <o:OLEObject Type="Embed" ProgID="Equation.DSMT4" ShapeID="_x0000_i1029" DrawAspect="Content" ObjectID="_1714161448" r:id="rId19"/>
        </w:object>
      </w:r>
      <w:r w:rsidR="00945BB8">
        <w:rPr>
          <w:rFonts w:hint="eastAsia"/>
        </w:rPr>
        <w:t>时，</w:t>
      </w:r>
      <w:r w:rsidR="00945BB8" w:rsidRPr="00945BB8">
        <w:rPr>
          <w:position w:val="-10"/>
        </w:rPr>
        <w:object w:dxaOrig="680" w:dyaOrig="320" w14:anchorId="4B8B04B0">
          <v:shape id="_x0000_i1030" type="#_x0000_t75" style="width:34.2pt;height:16.2pt" o:ole="">
            <v:imagedata r:id="rId20" o:title=""/>
          </v:shape>
          <o:OLEObject Type="Embed" ProgID="Equation.DSMT4" ShapeID="_x0000_i1030" DrawAspect="Content" ObjectID="_1714161449" r:id="rId21"/>
        </w:object>
      </w:r>
      <w:r w:rsidR="00945BB8">
        <w:rPr>
          <w:rFonts w:hint="eastAsia"/>
        </w:rPr>
        <w:t>。</w:t>
      </w:r>
    </w:p>
    <w:p w14:paraId="033C4F35" w14:textId="1AF47351" w:rsidR="002E2437" w:rsidRDefault="00C827F6" w:rsidP="00B47438">
      <w:pPr>
        <w:spacing w:before="0" w:after="0"/>
        <w:ind w:firstLine="420"/>
      </w:pPr>
      <w:r>
        <w:rPr>
          <w:rFonts w:hint="eastAsia"/>
        </w:rPr>
        <w:t>设</w:t>
      </w:r>
      <w:r w:rsidRPr="00C827F6">
        <w:rPr>
          <w:position w:val="-10"/>
        </w:rPr>
        <w:object w:dxaOrig="2120" w:dyaOrig="320" w14:anchorId="1B162F70">
          <v:shape id="_x0000_i1031" type="#_x0000_t75" style="width:106.2pt;height:16.2pt" o:ole="">
            <v:imagedata r:id="rId22" o:title=""/>
          </v:shape>
          <o:OLEObject Type="Embed" ProgID="Equation.DSMT4" ShapeID="_x0000_i1031" DrawAspect="Content" ObjectID="_1714161450" r:id="rId23"/>
        </w:object>
      </w:r>
      <w:r>
        <w:rPr>
          <w:rFonts w:hint="eastAsia"/>
        </w:rPr>
        <w:t>，其中</w:t>
      </w:r>
      <w:r w:rsidR="00B471D3" w:rsidRPr="00C827F6">
        <w:rPr>
          <w:position w:val="-24"/>
        </w:rPr>
        <w:object w:dxaOrig="2920" w:dyaOrig="620" w14:anchorId="74FCEAE3">
          <v:shape id="_x0000_i1032" type="#_x0000_t75" style="width:145.8pt;height:31.2pt" o:ole="">
            <v:imagedata r:id="rId24" o:title=""/>
          </v:shape>
          <o:OLEObject Type="Embed" ProgID="Equation.DSMT4" ShapeID="_x0000_i1032" DrawAspect="Content" ObjectID="_1714161451" r:id="rId25"/>
        </w:object>
      </w:r>
      <w:r w:rsidR="00B471D3">
        <w:rPr>
          <w:rFonts w:hint="eastAsia"/>
        </w:rPr>
        <w:t>，当</w:t>
      </w:r>
      <w:r w:rsidR="00B471D3" w:rsidRPr="00B471D3">
        <w:rPr>
          <w:position w:val="-6"/>
        </w:rPr>
        <w:object w:dxaOrig="1040" w:dyaOrig="279" w14:anchorId="7B593107">
          <v:shape id="_x0000_i1033" type="#_x0000_t75" style="width:52.2pt;height:13.8pt" o:ole="">
            <v:imagedata r:id="rId26" o:title=""/>
          </v:shape>
          <o:OLEObject Type="Embed" ProgID="Equation.DSMT4" ShapeID="_x0000_i1033" DrawAspect="Content" ObjectID="_1714161452" r:id="rId27"/>
        </w:object>
      </w:r>
      <w:r w:rsidR="00B471D3">
        <w:rPr>
          <w:rFonts w:hint="eastAsia"/>
        </w:rPr>
        <w:t>时，带入公式可得，</w:t>
      </w:r>
      <w:r w:rsidR="00B471D3" w:rsidRPr="00B471D3">
        <w:rPr>
          <w:position w:val="-10"/>
        </w:rPr>
        <w:object w:dxaOrig="4720" w:dyaOrig="320" w14:anchorId="3C9F106A">
          <v:shape id="_x0000_i1034" type="#_x0000_t75" style="width:235.8pt;height:16.2pt" o:ole="">
            <v:imagedata r:id="rId28" o:title=""/>
          </v:shape>
          <o:OLEObject Type="Embed" ProgID="Equation.DSMT4" ShapeID="_x0000_i1034" DrawAspect="Content" ObjectID="_1714161453" r:id="rId29"/>
        </w:object>
      </w:r>
    </w:p>
    <w:p w14:paraId="2EF8B0C9" w14:textId="2D60620B" w:rsidR="00B471D3" w:rsidRDefault="00B471D3" w:rsidP="00B47438">
      <w:pPr>
        <w:spacing w:before="0" w:after="0"/>
        <w:ind w:firstLine="420"/>
      </w:pPr>
      <w:r>
        <w:rPr>
          <w:rFonts w:hint="eastAsia"/>
        </w:rPr>
        <w:t>由计算结果可知，与网站所给的评测分数一致。</w:t>
      </w:r>
    </w:p>
    <w:p w14:paraId="4DAC384B" w14:textId="3A0C806C" w:rsidR="00DB4B37" w:rsidRDefault="00DB4B37" w:rsidP="00A04052">
      <w:pPr>
        <w:spacing w:before="0" w:after="0"/>
        <w:jc w:val="center"/>
      </w:pPr>
      <w:r>
        <w:rPr>
          <w:noProof/>
        </w:rPr>
        <w:drawing>
          <wp:inline distT="0" distB="0" distL="0" distR="0" wp14:anchorId="67A169D6" wp14:editId="2676F151">
            <wp:extent cx="2842260" cy="13564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9590" cy="1369497"/>
                    </a:xfrm>
                    <a:prstGeom prst="rect">
                      <a:avLst/>
                    </a:prstGeom>
                  </pic:spPr>
                </pic:pic>
              </a:graphicData>
            </a:graphic>
          </wp:inline>
        </w:drawing>
      </w:r>
    </w:p>
    <w:p w14:paraId="0CA776B8" w14:textId="376AC1BC" w:rsidR="00DB4B37" w:rsidRPr="003744FB" w:rsidRDefault="00DB4B37" w:rsidP="003744FB">
      <w:pPr>
        <w:spacing w:before="0" w:after="0"/>
        <w:jc w:val="center"/>
        <w:rPr>
          <w:rFonts w:ascii="楷体" w:eastAsia="楷体" w:hAnsi="楷体"/>
          <w:sz w:val="18"/>
          <w:szCs w:val="18"/>
        </w:rPr>
      </w:pPr>
      <w:r w:rsidRPr="003744FB">
        <w:rPr>
          <w:rFonts w:ascii="楷体" w:eastAsia="楷体" w:hAnsi="楷体" w:hint="eastAsia"/>
          <w:sz w:val="18"/>
          <w:szCs w:val="18"/>
        </w:rPr>
        <w:t>图</w:t>
      </w:r>
      <w:r w:rsidR="00E50CEA" w:rsidRPr="003744FB">
        <w:rPr>
          <w:rFonts w:ascii="楷体" w:eastAsia="楷体" w:hAnsi="楷体" w:hint="eastAsia"/>
          <w:sz w:val="18"/>
          <w:szCs w:val="18"/>
        </w:rPr>
        <w:t>1.</w:t>
      </w:r>
      <w:r w:rsidR="004E18FA">
        <w:rPr>
          <w:rFonts w:ascii="楷体" w:eastAsia="楷体" w:hAnsi="楷体" w:hint="eastAsia"/>
          <w:sz w:val="18"/>
          <w:szCs w:val="18"/>
        </w:rPr>
        <w:t>4</w:t>
      </w:r>
      <w:r w:rsidR="00E50CEA" w:rsidRPr="003744FB">
        <w:rPr>
          <w:rFonts w:ascii="楷体" w:eastAsia="楷体" w:hAnsi="楷体"/>
          <w:sz w:val="18"/>
          <w:szCs w:val="18"/>
        </w:rPr>
        <w:t xml:space="preserve"> </w:t>
      </w:r>
      <w:r w:rsidR="00E50CEA" w:rsidRPr="003744FB">
        <w:rPr>
          <w:rFonts w:ascii="楷体" w:eastAsia="楷体" w:hAnsi="楷体" w:hint="eastAsia"/>
          <w:sz w:val="18"/>
          <w:szCs w:val="18"/>
        </w:rPr>
        <w:t>各指数点位涨幅表</w:t>
      </w:r>
    </w:p>
    <w:p w14:paraId="0AA04BF8" w14:textId="3547489A" w:rsidR="00DB4B37" w:rsidRDefault="00DB4B37" w:rsidP="00A04052">
      <w:pPr>
        <w:spacing w:before="0" w:after="0"/>
        <w:jc w:val="center"/>
      </w:pPr>
      <w:r w:rsidRPr="00DB4B37">
        <w:rPr>
          <w:noProof/>
        </w:rPr>
        <w:lastRenderedPageBreak/>
        <w:drawing>
          <wp:inline distT="0" distB="0" distL="0" distR="0" wp14:anchorId="02E346EB" wp14:editId="2EE9C1D9">
            <wp:extent cx="3032760" cy="17182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4447" cy="1730584"/>
                    </a:xfrm>
                    <a:prstGeom prst="rect">
                      <a:avLst/>
                    </a:prstGeom>
                  </pic:spPr>
                </pic:pic>
              </a:graphicData>
            </a:graphic>
          </wp:inline>
        </w:drawing>
      </w:r>
    </w:p>
    <w:p w14:paraId="0AB9018F" w14:textId="5E7FD1AD" w:rsidR="00E50CEA" w:rsidRPr="003744FB" w:rsidRDefault="00E50CEA" w:rsidP="003744FB">
      <w:pPr>
        <w:spacing w:before="0" w:after="0"/>
        <w:jc w:val="center"/>
        <w:rPr>
          <w:rFonts w:ascii="楷体" w:eastAsia="楷体" w:hAnsi="楷体"/>
          <w:sz w:val="18"/>
          <w:szCs w:val="18"/>
        </w:rPr>
      </w:pPr>
      <w:r w:rsidRPr="003744FB">
        <w:rPr>
          <w:rFonts w:ascii="楷体" w:eastAsia="楷体" w:hAnsi="楷体" w:hint="eastAsia"/>
          <w:sz w:val="18"/>
          <w:szCs w:val="18"/>
        </w:rPr>
        <w:t>图1.</w:t>
      </w:r>
      <w:r w:rsidR="004E18FA">
        <w:rPr>
          <w:rFonts w:ascii="楷体" w:eastAsia="楷体" w:hAnsi="楷体" w:hint="eastAsia"/>
          <w:sz w:val="18"/>
          <w:szCs w:val="18"/>
        </w:rPr>
        <w:t>5</w:t>
      </w:r>
      <w:r w:rsidRPr="003744FB">
        <w:rPr>
          <w:rFonts w:ascii="楷体" w:eastAsia="楷体" w:hAnsi="楷体"/>
          <w:sz w:val="18"/>
          <w:szCs w:val="18"/>
        </w:rPr>
        <w:t xml:space="preserve"> </w:t>
      </w:r>
      <w:r w:rsidRPr="003744FB">
        <w:rPr>
          <w:rFonts w:ascii="楷体" w:eastAsia="楷体" w:hAnsi="楷体" w:hint="eastAsia"/>
          <w:sz w:val="18"/>
          <w:szCs w:val="18"/>
        </w:rPr>
        <w:t>股债金指数走势图</w:t>
      </w:r>
    </w:p>
    <w:p w14:paraId="6F9BD821" w14:textId="71274DE2" w:rsidR="00DB4B37" w:rsidRDefault="00DB4B37" w:rsidP="00521D70">
      <w:pPr>
        <w:spacing w:before="0" w:after="0"/>
        <w:jc w:val="center"/>
      </w:pPr>
      <w:r w:rsidRPr="00DB4B37">
        <w:rPr>
          <w:noProof/>
        </w:rPr>
        <w:drawing>
          <wp:inline distT="0" distB="0" distL="0" distR="0" wp14:anchorId="1FA8449E" wp14:editId="37BEFB9A">
            <wp:extent cx="3009900" cy="17928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0168" cy="1804926"/>
                    </a:xfrm>
                    <a:prstGeom prst="rect">
                      <a:avLst/>
                    </a:prstGeom>
                  </pic:spPr>
                </pic:pic>
              </a:graphicData>
            </a:graphic>
          </wp:inline>
        </w:drawing>
      </w:r>
    </w:p>
    <w:p w14:paraId="0BE3C517" w14:textId="38F2D0FB" w:rsidR="00E50CEA" w:rsidRPr="003744FB" w:rsidRDefault="00E50CEA" w:rsidP="003744FB">
      <w:pPr>
        <w:spacing w:before="0" w:after="0"/>
        <w:jc w:val="center"/>
        <w:rPr>
          <w:rFonts w:ascii="楷体" w:eastAsia="楷体" w:hAnsi="楷体"/>
          <w:sz w:val="18"/>
          <w:szCs w:val="18"/>
        </w:rPr>
      </w:pPr>
      <w:r w:rsidRPr="003744FB">
        <w:rPr>
          <w:rFonts w:ascii="楷体" w:eastAsia="楷体" w:hAnsi="楷体" w:hint="eastAsia"/>
          <w:sz w:val="18"/>
          <w:szCs w:val="18"/>
        </w:rPr>
        <w:t>图1.</w:t>
      </w:r>
      <w:r w:rsidR="004E18FA">
        <w:rPr>
          <w:rFonts w:ascii="楷体" w:eastAsia="楷体" w:hAnsi="楷体" w:hint="eastAsia"/>
          <w:sz w:val="18"/>
          <w:szCs w:val="18"/>
        </w:rPr>
        <w:t>6</w:t>
      </w:r>
      <w:r w:rsidRPr="003744FB">
        <w:rPr>
          <w:rFonts w:ascii="楷体" w:eastAsia="楷体" w:hAnsi="楷体"/>
          <w:sz w:val="18"/>
          <w:szCs w:val="18"/>
        </w:rPr>
        <w:t xml:space="preserve"> </w:t>
      </w:r>
      <w:r w:rsidRPr="003744FB">
        <w:rPr>
          <w:rFonts w:ascii="楷体" w:eastAsia="楷体" w:hAnsi="楷体" w:hint="eastAsia"/>
          <w:sz w:val="18"/>
          <w:szCs w:val="18"/>
        </w:rPr>
        <w:t>仓位占比图</w:t>
      </w:r>
    </w:p>
    <w:p w14:paraId="03059C85" w14:textId="7B7EA4FD" w:rsidR="00DB4B37" w:rsidRDefault="00DB4B37" w:rsidP="00521D70">
      <w:pPr>
        <w:spacing w:before="0" w:after="0"/>
        <w:jc w:val="center"/>
      </w:pPr>
      <w:r>
        <w:rPr>
          <w:noProof/>
        </w:rPr>
        <w:drawing>
          <wp:inline distT="0" distB="0" distL="0" distR="0" wp14:anchorId="70EE53AF" wp14:editId="0359F0F1">
            <wp:extent cx="3398520" cy="1938622"/>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9951" cy="1950847"/>
                    </a:xfrm>
                    <a:prstGeom prst="rect">
                      <a:avLst/>
                    </a:prstGeom>
                  </pic:spPr>
                </pic:pic>
              </a:graphicData>
            </a:graphic>
          </wp:inline>
        </w:drawing>
      </w:r>
    </w:p>
    <w:p w14:paraId="448C7C2A" w14:textId="223FBA01" w:rsidR="00E50CEA" w:rsidRPr="003744FB" w:rsidRDefault="00E50CEA" w:rsidP="003744FB">
      <w:pPr>
        <w:spacing w:before="0" w:after="0"/>
        <w:jc w:val="center"/>
        <w:rPr>
          <w:rFonts w:ascii="楷体" w:eastAsia="楷体" w:hAnsi="楷体"/>
          <w:sz w:val="18"/>
          <w:szCs w:val="18"/>
        </w:rPr>
      </w:pPr>
      <w:r w:rsidRPr="003744FB">
        <w:rPr>
          <w:rFonts w:ascii="楷体" w:eastAsia="楷体" w:hAnsi="楷体" w:hint="eastAsia"/>
          <w:sz w:val="18"/>
          <w:szCs w:val="18"/>
        </w:rPr>
        <w:t>图1.</w:t>
      </w:r>
      <w:r w:rsidR="004E18FA">
        <w:rPr>
          <w:rFonts w:ascii="楷体" w:eastAsia="楷体" w:hAnsi="楷体" w:hint="eastAsia"/>
          <w:sz w:val="18"/>
          <w:szCs w:val="18"/>
        </w:rPr>
        <w:t>7</w:t>
      </w:r>
      <w:r w:rsidRPr="003744FB">
        <w:rPr>
          <w:rFonts w:ascii="楷体" w:eastAsia="楷体" w:hAnsi="楷体"/>
          <w:sz w:val="18"/>
          <w:szCs w:val="18"/>
        </w:rPr>
        <w:t xml:space="preserve"> </w:t>
      </w:r>
      <w:r w:rsidRPr="003744FB">
        <w:rPr>
          <w:rFonts w:ascii="楷体" w:eastAsia="楷体" w:hAnsi="楷体" w:hint="eastAsia"/>
          <w:sz w:val="18"/>
          <w:szCs w:val="18"/>
        </w:rPr>
        <w:t>判势收益曲线</w:t>
      </w:r>
    </w:p>
    <w:p w14:paraId="3A9251F6" w14:textId="4741602C" w:rsidR="00DB4B37" w:rsidRDefault="00DB4B37" w:rsidP="00DB4B37">
      <w:pPr>
        <w:spacing w:before="0" w:after="0"/>
        <w:jc w:val="center"/>
      </w:pPr>
      <w:r>
        <w:rPr>
          <w:noProof/>
        </w:rPr>
        <w:drawing>
          <wp:inline distT="0" distB="0" distL="0" distR="0" wp14:anchorId="728DEE2D" wp14:editId="03108FE5">
            <wp:extent cx="3337560" cy="191791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4777" cy="1922059"/>
                    </a:xfrm>
                    <a:prstGeom prst="rect">
                      <a:avLst/>
                    </a:prstGeom>
                  </pic:spPr>
                </pic:pic>
              </a:graphicData>
            </a:graphic>
          </wp:inline>
        </w:drawing>
      </w:r>
    </w:p>
    <w:p w14:paraId="321340F7" w14:textId="0EA7FA6D" w:rsidR="00E50CEA" w:rsidRPr="003744FB" w:rsidRDefault="00E50CEA" w:rsidP="003744FB">
      <w:pPr>
        <w:spacing w:before="0" w:after="0"/>
        <w:jc w:val="center"/>
        <w:rPr>
          <w:rFonts w:ascii="楷体" w:eastAsia="楷体" w:hAnsi="楷体"/>
          <w:sz w:val="18"/>
          <w:szCs w:val="18"/>
        </w:rPr>
      </w:pPr>
      <w:r w:rsidRPr="003744FB">
        <w:rPr>
          <w:rFonts w:ascii="楷体" w:eastAsia="楷体" w:hAnsi="楷体" w:hint="eastAsia"/>
          <w:sz w:val="18"/>
          <w:szCs w:val="18"/>
        </w:rPr>
        <w:t>图1.</w:t>
      </w:r>
      <w:r w:rsidR="004E18FA">
        <w:rPr>
          <w:rFonts w:ascii="楷体" w:eastAsia="楷体" w:hAnsi="楷体" w:hint="eastAsia"/>
          <w:sz w:val="18"/>
          <w:szCs w:val="18"/>
        </w:rPr>
        <w:t>8</w:t>
      </w:r>
      <w:r w:rsidRPr="003744FB">
        <w:rPr>
          <w:rFonts w:ascii="楷体" w:eastAsia="楷体" w:hAnsi="楷体"/>
          <w:sz w:val="18"/>
          <w:szCs w:val="18"/>
        </w:rPr>
        <w:t xml:space="preserve"> </w:t>
      </w:r>
      <w:r w:rsidRPr="003744FB">
        <w:rPr>
          <w:rFonts w:ascii="楷体" w:eastAsia="楷体" w:hAnsi="楷体" w:hint="eastAsia"/>
          <w:sz w:val="18"/>
          <w:szCs w:val="18"/>
        </w:rPr>
        <w:t>判势得分曲线</w:t>
      </w:r>
    </w:p>
    <w:p w14:paraId="1DA8DFAB" w14:textId="2995AC74" w:rsidR="00C522FD" w:rsidRPr="005D6763" w:rsidRDefault="00AC4EBB" w:rsidP="00DB4B37">
      <w:pPr>
        <w:spacing w:before="0" w:after="0"/>
        <w:rPr>
          <w:sz w:val="24"/>
          <w:szCs w:val="24"/>
        </w:rPr>
      </w:pPr>
      <w:r w:rsidRPr="005D6763">
        <w:rPr>
          <w:rFonts w:hint="eastAsia"/>
          <w:sz w:val="24"/>
          <w:szCs w:val="24"/>
        </w:rPr>
        <w:lastRenderedPageBreak/>
        <w:t>（6）</w:t>
      </w:r>
      <w:r w:rsidR="00C522FD" w:rsidRPr="005D6763">
        <w:rPr>
          <w:rFonts w:hint="eastAsia"/>
          <w:sz w:val="24"/>
          <w:szCs w:val="24"/>
        </w:rPr>
        <w:t>在投资期间判势得分的最高值和最低值分别是多少？是什么原因造成了对应的判势得分结果？分析并总结。</w:t>
      </w:r>
    </w:p>
    <w:p w14:paraId="0302337F" w14:textId="3F59F403" w:rsidR="00DD5CCF" w:rsidRDefault="00E4016B" w:rsidP="005D6763">
      <w:pPr>
        <w:spacing w:before="0" w:after="0"/>
        <w:ind w:firstLine="420"/>
      </w:pPr>
      <w:r>
        <w:rPr>
          <w:rFonts w:hint="eastAsia"/>
        </w:rPr>
        <w:t>由图1.</w:t>
      </w:r>
      <w:r w:rsidR="007B2F51">
        <w:rPr>
          <w:rFonts w:hint="eastAsia"/>
        </w:rPr>
        <w:t>8</w:t>
      </w:r>
      <w:r>
        <w:rPr>
          <w:rFonts w:hint="eastAsia"/>
        </w:rPr>
        <w:t>可知，</w:t>
      </w:r>
      <w:r w:rsidR="00AC4EBB">
        <w:rPr>
          <w:rFonts w:hint="eastAsia"/>
        </w:rPr>
        <w:t>在投资期间判势得分的最高值为4月25日的90分，最低值为5月9日的61.48</w:t>
      </w:r>
      <w:r w:rsidR="00B70F5B">
        <w:rPr>
          <w:rFonts w:hint="eastAsia"/>
        </w:rPr>
        <w:t>分</w:t>
      </w:r>
      <w:r w:rsidR="00AC4EBB">
        <w:rPr>
          <w:rFonts w:hint="eastAsia"/>
        </w:rPr>
        <w:t>。</w:t>
      </w:r>
    </w:p>
    <w:p w14:paraId="734AC7AD" w14:textId="4014C276" w:rsidR="00580C67" w:rsidRDefault="00644B28" w:rsidP="00644B28">
      <w:pPr>
        <w:spacing w:before="0" w:after="0"/>
        <w:ind w:firstLine="420"/>
      </w:pPr>
      <w:r>
        <w:rPr>
          <w:rFonts w:hint="eastAsia"/>
        </w:rPr>
        <w:t>如图1.9所示，</w:t>
      </w:r>
      <w:r w:rsidR="00DD5CCF">
        <w:rPr>
          <w:rFonts w:hint="eastAsia"/>
        </w:rPr>
        <w:t>在4月25日时，我并未持有股票，而基准判势收益率下降，由（5）中的计算公式可知，判势得分升高。</w:t>
      </w:r>
      <w:r w:rsidR="00580C67">
        <w:rPr>
          <w:rFonts w:hint="eastAsia"/>
        </w:rPr>
        <w:t>此后由于股债金的持仓比以及对应的收益率不够理想导致计算的判势收益率远低于指数最大涨幅，导致判势得分下降。</w:t>
      </w:r>
      <w:r>
        <w:rPr>
          <w:rFonts w:hint="eastAsia"/>
        </w:rPr>
        <w:t>如图1.10所示，在5月9日，我的判势收益率再次降低且远低于最大涨幅，导致判势得分到达了最小值。</w:t>
      </w:r>
    </w:p>
    <w:p w14:paraId="7774FEA8" w14:textId="538257CA" w:rsidR="00C24F13" w:rsidRDefault="00C24F13" w:rsidP="00644B28">
      <w:pPr>
        <w:spacing w:before="0" w:after="0"/>
        <w:ind w:firstLine="420"/>
      </w:pPr>
      <w:r>
        <w:rPr>
          <w:rFonts w:hint="eastAsia"/>
        </w:rPr>
        <w:t>综上所述，由曲线可知，我的判势得分较低主要是因为持仓比和收益率均不够理想，个人判势收益率虽大于基准判势收益率，但远低于指数最大涨幅。</w:t>
      </w:r>
    </w:p>
    <w:p w14:paraId="75CB1772" w14:textId="1D3870BB" w:rsidR="00DD5CCF" w:rsidRDefault="00DD5CCF" w:rsidP="00E32B09">
      <w:pPr>
        <w:spacing w:before="0" w:after="0"/>
        <w:ind w:firstLine="420"/>
        <w:jc w:val="center"/>
      </w:pPr>
      <w:r>
        <w:rPr>
          <w:noProof/>
        </w:rPr>
        <w:drawing>
          <wp:inline distT="0" distB="0" distL="0" distR="0" wp14:anchorId="4CC8FBD8" wp14:editId="4C82C71D">
            <wp:extent cx="3909060" cy="203112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3932" cy="2038849"/>
                    </a:xfrm>
                    <a:prstGeom prst="rect">
                      <a:avLst/>
                    </a:prstGeom>
                  </pic:spPr>
                </pic:pic>
              </a:graphicData>
            </a:graphic>
          </wp:inline>
        </w:drawing>
      </w:r>
    </w:p>
    <w:p w14:paraId="194964C4" w14:textId="6C3158DC" w:rsidR="00644B28" w:rsidRPr="00644B28" w:rsidRDefault="00644B28" w:rsidP="00644B28">
      <w:pPr>
        <w:spacing w:before="0" w:after="0"/>
        <w:ind w:firstLine="420"/>
        <w:jc w:val="center"/>
        <w:rPr>
          <w:rFonts w:ascii="楷体" w:eastAsia="楷体" w:hAnsi="楷体"/>
          <w:sz w:val="18"/>
          <w:szCs w:val="18"/>
        </w:rPr>
      </w:pPr>
      <w:r w:rsidRPr="00644B28">
        <w:rPr>
          <w:rFonts w:ascii="楷体" w:eastAsia="楷体" w:hAnsi="楷体" w:hint="eastAsia"/>
          <w:sz w:val="18"/>
          <w:szCs w:val="18"/>
        </w:rPr>
        <w:t>图1.9</w:t>
      </w:r>
    </w:p>
    <w:p w14:paraId="46042264" w14:textId="3C2ADFDE" w:rsidR="00644B28" w:rsidRDefault="00644B28" w:rsidP="00E32B09">
      <w:pPr>
        <w:spacing w:before="0" w:after="0"/>
        <w:ind w:firstLine="420"/>
        <w:jc w:val="center"/>
      </w:pPr>
      <w:r>
        <w:rPr>
          <w:noProof/>
        </w:rPr>
        <w:drawing>
          <wp:inline distT="0" distB="0" distL="0" distR="0" wp14:anchorId="3D72D79B" wp14:editId="6135F9D0">
            <wp:extent cx="3855720" cy="2266268"/>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2730" cy="2270388"/>
                    </a:xfrm>
                    <a:prstGeom prst="rect">
                      <a:avLst/>
                    </a:prstGeom>
                  </pic:spPr>
                </pic:pic>
              </a:graphicData>
            </a:graphic>
          </wp:inline>
        </w:drawing>
      </w:r>
    </w:p>
    <w:p w14:paraId="53DB0982" w14:textId="501D75F5" w:rsidR="00644B28" w:rsidRDefault="00644B28" w:rsidP="00644B28">
      <w:pPr>
        <w:spacing w:before="0" w:after="0"/>
        <w:ind w:firstLine="420"/>
        <w:jc w:val="center"/>
        <w:rPr>
          <w:rFonts w:ascii="楷体" w:eastAsia="楷体" w:hAnsi="楷体"/>
          <w:sz w:val="18"/>
          <w:szCs w:val="18"/>
        </w:rPr>
      </w:pPr>
      <w:r w:rsidRPr="00644B28">
        <w:rPr>
          <w:rFonts w:ascii="楷体" w:eastAsia="楷体" w:hAnsi="楷体" w:hint="eastAsia"/>
          <w:sz w:val="18"/>
          <w:szCs w:val="18"/>
        </w:rPr>
        <w:t>图1.10</w:t>
      </w:r>
    </w:p>
    <w:p w14:paraId="15430A5A" w14:textId="77777777" w:rsidR="00E32B09" w:rsidRPr="00644B28" w:rsidRDefault="00E32B09" w:rsidP="00644B28">
      <w:pPr>
        <w:spacing w:before="0" w:after="0"/>
        <w:ind w:firstLine="420"/>
        <w:jc w:val="center"/>
        <w:rPr>
          <w:rFonts w:ascii="楷体" w:eastAsia="楷体" w:hAnsi="楷体"/>
          <w:sz w:val="18"/>
          <w:szCs w:val="18"/>
        </w:rPr>
      </w:pPr>
    </w:p>
    <w:p w14:paraId="4D700FDE" w14:textId="3ED3FD8D" w:rsidR="00227719" w:rsidRDefault="0050285F" w:rsidP="0050285F">
      <w:pPr>
        <w:pStyle w:val="1"/>
      </w:pPr>
      <w:r>
        <w:rPr>
          <w:rFonts w:hint="eastAsia"/>
        </w:rPr>
        <w:lastRenderedPageBreak/>
        <w:t>二、</w:t>
      </w:r>
      <w:r w:rsidR="00227719">
        <w:rPr>
          <w:rFonts w:hint="eastAsia"/>
        </w:rPr>
        <w:t>实验四</w:t>
      </w:r>
    </w:p>
    <w:p w14:paraId="65B2E3E9" w14:textId="2217119D" w:rsidR="00521D70" w:rsidRPr="009D6BFA" w:rsidRDefault="00A13554" w:rsidP="009D6BFA">
      <w:pPr>
        <w:spacing w:before="0" w:after="0"/>
        <w:rPr>
          <w:sz w:val="24"/>
          <w:szCs w:val="24"/>
        </w:rPr>
      </w:pPr>
      <w:r w:rsidRPr="009D6BFA">
        <w:rPr>
          <w:rFonts w:hint="eastAsia"/>
          <w:sz w:val="24"/>
          <w:szCs w:val="24"/>
        </w:rPr>
        <w:t>（1）通过评测诊断模块查看择行以及择股得分，自己的择行、择股得分和水平如何？分析并总结。</w:t>
      </w:r>
    </w:p>
    <w:p w14:paraId="5D0082D5" w14:textId="71E06CAE" w:rsidR="00AE5B46" w:rsidRDefault="00AE5B46" w:rsidP="0071732D">
      <w:pPr>
        <w:spacing w:before="0" w:after="0"/>
        <w:ind w:firstLine="420"/>
      </w:pPr>
      <w:r>
        <w:rPr>
          <w:rFonts w:hint="eastAsia"/>
        </w:rPr>
        <w:t>择行、择股得分如</w:t>
      </w:r>
      <w:r w:rsidR="004D146E">
        <w:rPr>
          <w:rFonts w:hint="eastAsia"/>
        </w:rPr>
        <w:t>下图所示，</w:t>
      </w:r>
      <w:r w:rsidR="00E507D8">
        <w:rPr>
          <w:rFonts w:hint="eastAsia"/>
        </w:rPr>
        <w:t>目前择行、择股得分均高于基线（50分），但由个人得分历史可知，择行、择股水平一般。</w:t>
      </w:r>
      <w:r w:rsidR="00286BA5">
        <w:rPr>
          <w:rFonts w:hint="eastAsia"/>
        </w:rPr>
        <w:t>主要原因为未能</w:t>
      </w:r>
      <w:r w:rsidR="000152A0">
        <w:rPr>
          <w:rFonts w:hint="eastAsia"/>
        </w:rPr>
        <w:t>把握</w:t>
      </w:r>
      <w:r w:rsidR="00286BA5">
        <w:rPr>
          <w:rFonts w:hint="eastAsia"/>
        </w:rPr>
        <w:t>白酒、半导体</w:t>
      </w:r>
      <w:r w:rsidR="007C6369">
        <w:rPr>
          <w:rFonts w:hint="eastAsia"/>
        </w:rPr>
        <w:t>等</w:t>
      </w:r>
      <w:r w:rsidR="00286BA5">
        <w:rPr>
          <w:rFonts w:hint="eastAsia"/>
        </w:rPr>
        <w:t>行业的走向，在白酒</w:t>
      </w:r>
      <w:r w:rsidR="005E183B">
        <w:rPr>
          <w:rFonts w:hint="eastAsia"/>
        </w:rPr>
        <w:t>持续下跌时购入五粮液，在半导体、医疗行业上涨期间卖出了北方华创和明德生物，</w:t>
      </w:r>
      <w:r w:rsidR="000152A0">
        <w:rPr>
          <w:rFonts w:hint="eastAsia"/>
        </w:rPr>
        <w:t>后续应该加强</w:t>
      </w:r>
      <w:r w:rsidR="00C7186D">
        <w:rPr>
          <w:rFonts w:hint="eastAsia"/>
        </w:rPr>
        <w:t>自己对</w:t>
      </w:r>
      <w:r w:rsidR="00637788">
        <w:rPr>
          <w:rFonts w:hint="eastAsia"/>
        </w:rPr>
        <w:t>大盘以及各个行业的判断走势能力。</w:t>
      </w:r>
    </w:p>
    <w:p w14:paraId="6A0B6BDB" w14:textId="0DD48963" w:rsidR="00A13554" w:rsidRDefault="00AE5B46" w:rsidP="00905251">
      <w:pPr>
        <w:spacing w:before="0" w:after="0"/>
        <w:jc w:val="center"/>
      </w:pPr>
      <w:r>
        <w:rPr>
          <w:noProof/>
        </w:rPr>
        <w:drawing>
          <wp:inline distT="0" distB="0" distL="0" distR="0" wp14:anchorId="58BB6D13" wp14:editId="78C51564">
            <wp:extent cx="3208020" cy="38354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1528" cy="3839613"/>
                    </a:xfrm>
                    <a:prstGeom prst="rect">
                      <a:avLst/>
                    </a:prstGeom>
                  </pic:spPr>
                </pic:pic>
              </a:graphicData>
            </a:graphic>
          </wp:inline>
        </w:drawing>
      </w:r>
    </w:p>
    <w:p w14:paraId="2DA75915" w14:textId="4D311E32" w:rsidR="00AE5B46" w:rsidRDefault="00AE5B46" w:rsidP="00AE5B46">
      <w:pPr>
        <w:spacing w:before="0" w:after="0"/>
        <w:jc w:val="center"/>
        <w:rPr>
          <w:rFonts w:ascii="楷体" w:eastAsia="楷体" w:hAnsi="楷体"/>
          <w:sz w:val="18"/>
          <w:szCs w:val="18"/>
        </w:rPr>
      </w:pPr>
      <w:r w:rsidRPr="00AE5B46">
        <w:rPr>
          <w:rFonts w:ascii="楷体" w:eastAsia="楷体" w:hAnsi="楷体" w:hint="eastAsia"/>
          <w:sz w:val="18"/>
          <w:szCs w:val="18"/>
        </w:rPr>
        <w:t>图2.1</w:t>
      </w:r>
      <w:r w:rsidRPr="00AE5B46">
        <w:rPr>
          <w:rFonts w:ascii="楷体" w:eastAsia="楷体" w:hAnsi="楷体"/>
          <w:sz w:val="18"/>
          <w:szCs w:val="18"/>
        </w:rPr>
        <w:t xml:space="preserve"> </w:t>
      </w:r>
      <w:r w:rsidRPr="00AE5B46">
        <w:rPr>
          <w:rFonts w:ascii="楷体" w:eastAsia="楷体" w:hAnsi="楷体" w:hint="eastAsia"/>
          <w:sz w:val="18"/>
          <w:szCs w:val="18"/>
        </w:rPr>
        <w:t>择行、择股得分</w:t>
      </w:r>
    </w:p>
    <w:p w14:paraId="3A849804" w14:textId="77777777" w:rsidR="00BC756A" w:rsidRDefault="00BC756A" w:rsidP="00BC756A">
      <w:pPr>
        <w:spacing w:before="0" w:after="0"/>
        <w:jc w:val="center"/>
      </w:pPr>
      <w:r>
        <w:rPr>
          <w:noProof/>
        </w:rPr>
        <w:drawing>
          <wp:inline distT="0" distB="0" distL="0" distR="0" wp14:anchorId="1F1CEE6D" wp14:editId="33F393C1">
            <wp:extent cx="3688080" cy="1866685"/>
            <wp:effectExtent l="0" t="0" r="762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1649" cy="1868491"/>
                    </a:xfrm>
                    <a:prstGeom prst="rect">
                      <a:avLst/>
                    </a:prstGeom>
                  </pic:spPr>
                </pic:pic>
              </a:graphicData>
            </a:graphic>
          </wp:inline>
        </w:drawing>
      </w:r>
    </w:p>
    <w:p w14:paraId="0BC89484" w14:textId="77777777" w:rsidR="00BC756A" w:rsidRPr="00731FC2" w:rsidRDefault="00BC756A" w:rsidP="00BC756A">
      <w:pPr>
        <w:spacing w:before="0" w:after="0"/>
        <w:jc w:val="center"/>
        <w:rPr>
          <w:rFonts w:ascii="楷体" w:eastAsia="楷体" w:hAnsi="楷体"/>
          <w:sz w:val="18"/>
          <w:szCs w:val="18"/>
        </w:rPr>
      </w:pPr>
      <w:r w:rsidRPr="00731FC2">
        <w:rPr>
          <w:rFonts w:ascii="楷体" w:eastAsia="楷体" w:hAnsi="楷体" w:hint="eastAsia"/>
          <w:sz w:val="18"/>
          <w:szCs w:val="18"/>
        </w:rPr>
        <w:t>图2.2</w:t>
      </w:r>
      <w:r w:rsidRPr="00731FC2">
        <w:rPr>
          <w:rFonts w:ascii="楷体" w:eastAsia="楷体" w:hAnsi="楷体"/>
          <w:sz w:val="18"/>
          <w:szCs w:val="18"/>
        </w:rPr>
        <w:t xml:space="preserve"> </w:t>
      </w:r>
      <w:r w:rsidRPr="00731FC2">
        <w:rPr>
          <w:rFonts w:ascii="楷体" w:eastAsia="楷体" w:hAnsi="楷体" w:hint="eastAsia"/>
          <w:sz w:val="18"/>
          <w:szCs w:val="18"/>
        </w:rPr>
        <w:t>择股得分</w:t>
      </w:r>
    </w:p>
    <w:p w14:paraId="28F6553C" w14:textId="77777777" w:rsidR="00BC756A" w:rsidRDefault="00BC756A" w:rsidP="00BC756A">
      <w:pPr>
        <w:spacing w:before="0" w:after="0"/>
        <w:jc w:val="center"/>
      </w:pPr>
      <w:r>
        <w:rPr>
          <w:noProof/>
        </w:rPr>
        <w:lastRenderedPageBreak/>
        <w:drawing>
          <wp:inline distT="0" distB="0" distL="0" distR="0" wp14:anchorId="227829E2" wp14:editId="76EB839D">
            <wp:extent cx="3642360" cy="20628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5024" cy="2069978"/>
                    </a:xfrm>
                    <a:prstGeom prst="rect">
                      <a:avLst/>
                    </a:prstGeom>
                  </pic:spPr>
                </pic:pic>
              </a:graphicData>
            </a:graphic>
          </wp:inline>
        </w:drawing>
      </w:r>
    </w:p>
    <w:p w14:paraId="70605408" w14:textId="684015A9" w:rsidR="00BC756A" w:rsidRPr="00AE5B46" w:rsidRDefault="00BC756A" w:rsidP="007F18C5">
      <w:pPr>
        <w:spacing w:before="0" w:after="0"/>
        <w:jc w:val="center"/>
        <w:rPr>
          <w:rFonts w:ascii="楷体" w:eastAsia="楷体" w:hAnsi="楷体"/>
          <w:sz w:val="18"/>
          <w:szCs w:val="18"/>
        </w:rPr>
      </w:pPr>
      <w:r w:rsidRPr="00731FC2">
        <w:rPr>
          <w:rFonts w:ascii="楷体" w:eastAsia="楷体" w:hAnsi="楷体" w:hint="eastAsia"/>
          <w:sz w:val="18"/>
          <w:szCs w:val="18"/>
        </w:rPr>
        <w:t>图2.3</w:t>
      </w:r>
      <w:r w:rsidRPr="00731FC2">
        <w:rPr>
          <w:rFonts w:ascii="楷体" w:eastAsia="楷体" w:hAnsi="楷体"/>
          <w:sz w:val="18"/>
          <w:szCs w:val="18"/>
        </w:rPr>
        <w:t xml:space="preserve"> </w:t>
      </w:r>
      <w:r w:rsidRPr="00731FC2">
        <w:rPr>
          <w:rFonts w:ascii="楷体" w:eastAsia="楷体" w:hAnsi="楷体" w:hint="eastAsia"/>
          <w:sz w:val="18"/>
          <w:szCs w:val="18"/>
        </w:rPr>
        <w:t>择行得分</w:t>
      </w:r>
    </w:p>
    <w:p w14:paraId="0EAFF05F" w14:textId="533596C3" w:rsidR="00A13554" w:rsidRPr="009D6BFA" w:rsidRDefault="00A13554" w:rsidP="009D6BFA">
      <w:pPr>
        <w:spacing w:before="0" w:after="0"/>
        <w:rPr>
          <w:sz w:val="24"/>
          <w:szCs w:val="24"/>
        </w:rPr>
      </w:pPr>
      <w:r w:rsidRPr="009D6BFA">
        <w:rPr>
          <w:rFonts w:hint="eastAsia"/>
          <w:sz w:val="24"/>
          <w:szCs w:val="24"/>
        </w:rPr>
        <w:t>（2）根据择行、择股得分，从持仓历史中选出对投资效果起到“最好”、“最坏”作用的证券，简述原因。</w:t>
      </w:r>
    </w:p>
    <w:p w14:paraId="63826208" w14:textId="77777777" w:rsidR="00BC756A" w:rsidRDefault="00BD3D0C" w:rsidP="000E0BEF">
      <w:pPr>
        <w:spacing w:before="0" w:after="0"/>
        <w:ind w:firstLine="420"/>
      </w:pPr>
      <w:r>
        <w:rPr>
          <w:rFonts w:hint="eastAsia"/>
        </w:rPr>
        <w:t>如图2.2，图2.3所示，根据择行、择股得分，</w:t>
      </w:r>
      <w:r w:rsidR="00F20308">
        <w:rPr>
          <w:rFonts w:hint="eastAsia"/>
        </w:rPr>
        <w:t>得分</w:t>
      </w:r>
      <w:r w:rsidR="00FA220D">
        <w:rPr>
          <w:rFonts w:hint="eastAsia"/>
        </w:rPr>
        <w:t>总体看</w:t>
      </w:r>
      <w:r w:rsidR="00F20308">
        <w:rPr>
          <w:rFonts w:hint="eastAsia"/>
        </w:rPr>
        <w:t>最高为4</w:t>
      </w:r>
      <w:r w:rsidR="005965D7">
        <w:rPr>
          <w:rFonts w:hint="eastAsia"/>
        </w:rPr>
        <w:t>月</w:t>
      </w:r>
      <w:r w:rsidR="00F20308">
        <w:rPr>
          <w:rFonts w:hint="eastAsia"/>
        </w:rPr>
        <w:t>26日，</w:t>
      </w:r>
      <w:r w:rsidR="001469C0">
        <w:rPr>
          <w:rFonts w:hint="eastAsia"/>
        </w:rPr>
        <w:t>由图2.4所示可知，</w:t>
      </w:r>
      <w:r w:rsidR="00CA33C1">
        <w:rPr>
          <w:rFonts w:hint="eastAsia"/>
        </w:rPr>
        <w:t>在4月26日，我买入了2000股酒鬼酒（饮料制造行业），</w:t>
      </w:r>
      <w:r>
        <w:rPr>
          <w:rFonts w:hint="eastAsia"/>
        </w:rPr>
        <w:t>对投资效果起到</w:t>
      </w:r>
      <w:r w:rsidR="00A2260F">
        <w:rPr>
          <w:rFonts w:hint="eastAsia"/>
        </w:rPr>
        <w:t>了</w:t>
      </w:r>
      <w:r>
        <w:rPr>
          <w:rFonts w:hint="eastAsia"/>
        </w:rPr>
        <w:t>最好</w:t>
      </w:r>
      <w:r w:rsidR="00982779">
        <w:rPr>
          <w:rFonts w:hint="eastAsia"/>
        </w:rPr>
        <w:t>作用。</w:t>
      </w:r>
    </w:p>
    <w:p w14:paraId="46042214" w14:textId="7A0490A7" w:rsidR="002676FB" w:rsidRDefault="002676FB" w:rsidP="000E0BEF">
      <w:pPr>
        <w:spacing w:before="0" w:after="0"/>
        <w:ind w:firstLine="420"/>
      </w:pPr>
      <w:r>
        <w:rPr>
          <w:rFonts w:hint="eastAsia"/>
        </w:rPr>
        <w:t>同理，</w:t>
      </w:r>
      <w:r w:rsidR="00BC756A">
        <w:rPr>
          <w:rFonts w:hint="eastAsia"/>
        </w:rPr>
        <w:t>如图2.5所示，</w:t>
      </w:r>
      <w:r>
        <w:rPr>
          <w:rFonts w:hint="eastAsia"/>
        </w:rPr>
        <w:t>在</w:t>
      </w:r>
      <w:r w:rsidR="00BC756A">
        <w:rPr>
          <w:rFonts w:hint="eastAsia"/>
        </w:rPr>
        <w:t>4月28</w:t>
      </w:r>
      <w:r>
        <w:rPr>
          <w:rFonts w:hint="eastAsia"/>
        </w:rPr>
        <w:t>日</w:t>
      </w:r>
      <w:r w:rsidR="00BC756A">
        <w:rPr>
          <w:rFonts w:hint="eastAsia"/>
        </w:rPr>
        <w:t>、4月29日买入了明德生物、北方华创、五粮液</w:t>
      </w:r>
      <w:r>
        <w:rPr>
          <w:rFonts w:hint="eastAsia"/>
        </w:rPr>
        <w:t>，</w:t>
      </w:r>
      <w:r w:rsidR="00BC756A">
        <w:rPr>
          <w:rFonts w:hint="eastAsia"/>
        </w:rPr>
        <w:t>到5月11日之前均未操作，而得分持续下跌，其中对投资效果起到最差效果的是</w:t>
      </w:r>
      <w:r w:rsidR="004C5207">
        <w:rPr>
          <w:rFonts w:hint="eastAsia"/>
        </w:rPr>
        <w:t>五粮液，其收益率持续下跌。</w:t>
      </w:r>
    </w:p>
    <w:p w14:paraId="18F1A8AE" w14:textId="2673C962" w:rsidR="00731FC2" w:rsidRDefault="00BD3D0C" w:rsidP="007B4AC0">
      <w:pPr>
        <w:spacing w:before="0" w:after="0"/>
        <w:jc w:val="center"/>
      </w:pPr>
      <w:r>
        <w:rPr>
          <w:noProof/>
        </w:rPr>
        <w:drawing>
          <wp:inline distT="0" distB="0" distL="0" distR="0" wp14:anchorId="418F1C13" wp14:editId="6A99B9A4">
            <wp:extent cx="5274310" cy="8356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35660"/>
                    </a:xfrm>
                    <a:prstGeom prst="rect">
                      <a:avLst/>
                    </a:prstGeom>
                  </pic:spPr>
                </pic:pic>
              </a:graphicData>
            </a:graphic>
          </wp:inline>
        </w:drawing>
      </w:r>
    </w:p>
    <w:p w14:paraId="4301714B" w14:textId="0C9136AC" w:rsidR="00BD3D0C" w:rsidRDefault="00BD3D0C" w:rsidP="000E4A58">
      <w:pPr>
        <w:spacing w:before="0" w:after="0"/>
        <w:jc w:val="center"/>
        <w:rPr>
          <w:rFonts w:ascii="楷体" w:eastAsia="楷体" w:hAnsi="楷体"/>
          <w:sz w:val="18"/>
          <w:szCs w:val="18"/>
        </w:rPr>
      </w:pPr>
      <w:r w:rsidRPr="000E4A58">
        <w:rPr>
          <w:rFonts w:ascii="楷体" w:eastAsia="楷体" w:hAnsi="楷体" w:hint="eastAsia"/>
          <w:sz w:val="18"/>
          <w:szCs w:val="18"/>
        </w:rPr>
        <w:t>图2.4</w:t>
      </w:r>
      <w:r w:rsidRPr="000E4A58">
        <w:rPr>
          <w:rFonts w:ascii="楷体" w:eastAsia="楷体" w:hAnsi="楷体"/>
          <w:sz w:val="18"/>
          <w:szCs w:val="18"/>
        </w:rPr>
        <w:t xml:space="preserve"> </w:t>
      </w:r>
      <w:r w:rsidRPr="000E4A58">
        <w:rPr>
          <w:rFonts w:ascii="楷体" w:eastAsia="楷体" w:hAnsi="楷体" w:hint="eastAsia"/>
          <w:sz w:val="18"/>
          <w:szCs w:val="18"/>
        </w:rPr>
        <w:t>4.</w:t>
      </w:r>
      <w:r w:rsidRPr="000E4A58">
        <w:rPr>
          <w:rFonts w:ascii="楷体" w:eastAsia="楷体" w:hAnsi="楷体"/>
          <w:sz w:val="18"/>
          <w:szCs w:val="18"/>
        </w:rPr>
        <w:t>26</w:t>
      </w:r>
      <w:r w:rsidRPr="000E4A58">
        <w:rPr>
          <w:rFonts w:ascii="楷体" w:eastAsia="楷体" w:hAnsi="楷体" w:hint="eastAsia"/>
          <w:sz w:val="18"/>
          <w:szCs w:val="18"/>
        </w:rPr>
        <w:t>交易详情</w:t>
      </w:r>
    </w:p>
    <w:p w14:paraId="39EB28AB" w14:textId="3AB191A2" w:rsidR="004F5487" w:rsidRDefault="004F5487" w:rsidP="000E4A58">
      <w:pPr>
        <w:spacing w:before="0" w:after="0"/>
        <w:jc w:val="center"/>
        <w:rPr>
          <w:rFonts w:ascii="楷体" w:eastAsia="楷体" w:hAnsi="楷体"/>
          <w:sz w:val="18"/>
          <w:szCs w:val="18"/>
        </w:rPr>
      </w:pPr>
      <w:r w:rsidRPr="004F5487">
        <w:rPr>
          <w:noProof/>
        </w:rPr>
        <w:drawing>
          <wp:inline distT="0" distB="0" distL="0" distR="0" wp14:anchorId="7E13E624" wp14:editId="382DE841">
            <wp:extent cx="5234940" cy="2357803"/>
            <wp:effectExtent l="0" t="0" r="381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7700" cy="2359046"/>
                    </a:xfrm>
                    <a:prstGeom prst="rect">
                      <a:avLst/>
                    </a:prstGeom>
                  </pic:spPr>
                </pic:pic>
              </a:graphicData>
            </a:graphic>
          </wp:inline>
        </w:drawing>
      </w:r>
    </w:p>
    <w:p w14:paraId="0286E922" w14:textId="7B454B80" w:rsidR="00BD3D0C" w:rsidRPr="00C366B8" w:rsidRDefault="004F5487" w:rsidP="00C366B8">
      <w:pPr>
        <w:spacing w:before="0" w:after="0"/>
        <w:jc w:val="center"/>
        <w:rPr>
          <w:rFonts w:ascii="楷体" w:eastAsia="楷体" w:hAnsi="楷体"/>
          <w:sz w:val="18"/>
          <w:szCs w:val="18"/>
        </w:rPr>
      </w:pPr>
      <w:r w:rsidRPr="000E4A58">
        <w:rPr>
          <w:rFonts w:ascii="楷体" w:eastAsia="楷体" w:hAnsi="楷体" w:hint="eastAsia"/>
          <w:sz w:val="18"/>
          <w:szCs w:val="18"/>
        </w:rPr>
        <w:t>图2.</w:t>
      </w:r>
      <w:r>
        <w:rPr>
          <w:rFonts w:ascii="楷体" w:eastAsia="楷体" w:hAnsi="楷体" w:hint="eastAsia"/>
          <w:sz w:val="18"/>
          <w:szCs w:val="18"/>
        </w:rPr>
        <w:t>5</w:t>
      </w:r>
      <w:r w:rsidRPr="000E4A58">
        <w:rPr>
          <w:rFonts w:ascii="楷体" w:eastAsia="楷体" w:hAnsi="楷体"/>
          <w:sz w:val="18"/>
          <w:szCs w:val="18"/>
        </w:rPr>
        <w:t xml:space="preserve"> </w:t>
      </w:r>
      <w:r w:rsidRPr="000E4A58">
        <w:rPr>
          <w:rFonts w:ascii="楷体" w:eastAsia="楷体" w:hAnsi="楷体" w:hint="eastAsia"/>
          <w:sz w:val="18"/>
          <w:szCs w:val="18"/>
        </w:rPr>
        <w:t>4.</w:t>
      </w:r>
      <w:r w:rsidRPr="000E4A58">
        <w:rPr>
          <w:rFonts w:ascii="楷体" w:eastAsia="楷体" w:hAnsi="楷体"/>
          <w:sz w:val="18"/>
          <w:szCs w:val="18"/>
        </w:rPr>
        <w:t>2</w:t>
      </w:r>
      <w:r>
        <w:rPr>
          <w:rFonts w:ascii="楷体" w:eastAsia="楷体" w:hAnsi="楷体" w:hint="eastAsia"/>
          <w:sz w:val="18"/>
          <w:szCs w:val="18"/>
        </w:rPr>
        <w:t>8、4.29</w:t>
      </w:r>
      <w:r w:rsidRPr="000E4A58">
        <w:rPr>
          <w:rFonts w:ascii="楷体" w:eastAsia="楷体" w:hAnsi="楷体" w:hint="eastAsia"/>
          <w:sz w:val="18"/>
          <w:szCs w:val="18"/>
        </w:rPr>
        <w:t>交易详情</w:t>
      </w:r>
    </w:p>
    <w:p w14:paraId="2F0EF5B3" w14:textId="0587C4EC" w:rsidR="00A13554" w:rsidRPr="009D6BFA" w:rsidRDefault="00A13554" w:rsidP="009D6BFA">
      <w:pPr>
        <w:spacing w:before="0" w:after="0"/>
        <w:rPr>
          <w:sz w:val="24"/>
          <w:szCs w:val="24"/>
        </w:rPr>
      </w:pPr>
      <w:r w:rsidRPr="009D6BFA">
        <w:rPr>
          <w:rFonts w:hint="eastAsia"/>
          <w:sz w:val="24"/>
          <w:szCs w:val="24"/>
        </w:rPr>
        <w:lastRenderedPageBreak/>
        <w:t>（3）从对自身评价的角度，根据自身的历史持仓计算自开始日期至当日的择行、择股得分并和系统进行对比，要求给出基本的计算过程或计算思路。</w:t>
      </w:r>
    </w:p>
    <w:p w14:paraId="2C83D9A6" w14:textId="6D1F24C6" w:rsidR="00C220F4" w:rsidRDefault="0021159C" w:rsidP="00C220F4">
      <w:pPr>
        <w:wordWrap w:val="0"/>
        <w:spacing w:before="0" w:after="0"/>
        <w:ind w:firstLine="420"/>
      </w:pPr>
      <w:r>
        <w:rPr>
          <w:rFonts w:hint="eastAsia"/>
        </w:rPr>
        <w:t>方法与计算判势得分类似，以基准收益率对应的得分为50分，将收益率</w:t>
      </w:r>
      <w:r w:rsidR="005E5B38">
        <w:rPr>
          <w:rFonts w:hint="eastAsia"/>
        </w:rPr>
        <w:t>按</w:t>
      </w:r>
      <w:r w:rsidR="00BA6B9B">
        <w:rPr>
          <w:rFonts w:hint="eastAsia"/>
        </w:rPr>
        <w:t>线性</w:t>
      </w:r>
      <w:r>
        <w:rPr>
          <w:rFonts w:hint="eastAsia"/>
        </w:rPr>
        <w:t>映射到10~90分区间</w:t>
      </w:r>
      <w:r w:rsidR="00C34965">
        <w:rPr>
          <w:rFonts w:hint="eastAsia"/>
        </w:rPr>
        <w:t>,</w:t>
      </w:r>
      <w:r>
        <w:rPr>
          <w:rFonts w:hint="eastAsia"/>
        </w:rPr>
        <w:t>可设得分y与收益率x</w:t>
      </w:r>
      <w:r w:rsidR="003D5B4A">
        <w:rPr>
          <w:rFonts w:hint="eastAsia"/>
        </w:rPr>
        <w:t>满足</w:t>
      </w:r>
      <w:r w:rsidR="003D5B4A" w:rsidRPr="003D5B4A">
        <w:rPr>
          <w:position w:val="-10"/>
        </w:rPr>
        <w:object w:dxaOrig="999" w:dyaOrig="320" w14:anchorId="1D56CCFC">
          <v:shape id="_x0000_i1035" type="#_x0000_t75" style="width:49.8pt;height:16.2pt" o:ole="">
            <v:imagedata r:id="rId42" o:title=""/>
          </v:shape>
          <o:OLEObject Type="Embed" ProgID="Equation.DSMT4" ShapeID="_x0000_i1035" DrawAspect="Content" ObjectID="_1714161454" r:id="rId43"/>
        </w:object>
      </w:r>
      <w:r w:rsidR="003D5B4A">
        <w:t>,</w:t>
      </w:r>
      <w:r w:rsidR="00C34965">
        <w:rPr>
          <w:rFonts w:hint="eastAsia"/>
        </w:rPr>
        <w:t>由图2.6和图2.7所示</w:t>
      </w:r>
      <w:r w:rsidR="00E564D0">
        <w:rPr>
          <w:rFonts w:hint="eastAsia"/>
        </w:rPr>
        <w:t>当</w:t>
      </w:r>
      <w:r w:rsidR="00C34965" w:rsidRPr="00E564D0">
        <w:rPr>
          <w:position w:val="-10"/>
        </w:rPr>
        <w:object w:dxaOrig="3980" w:dyaOrig="340" w14:anchorId="7A6CA391">
          <v:shape id="_x0000_i1036" type="#_x0000_t75" style="width:199.2pt;height:16.8pt" o:ole="">
            <v:imagedata r:id="rId44" o:title=""/>
          </v:shape>
          <o:OLEObject Type="Embed" ProgID="Equation.DSMT4" ShapeID="_x0000_i1036" DrawAspect="Content" ObjectID="_1714161455" r:id="rId45"/>
        </w:object>
      </w:r>
      <w:r w:rsidR="00BA6B9B">
        <w:rPr>
          <w:rFonts w:hint="eastAsia"/>
        </w:rPr>
        <w:t>，</w:t>
      </w:r>
      <w:r w:rsidR="0054472A">
        <w:rPr>
          <w:rFonts w:hint="eastAsia"/>
        </w:rPr>
        <w:t>当前股票组合收益率和判势收益率分别为6.78%和7.34%。</w:t>
      </w:r>
      <w:r w:rsidR="00C220F4">
        <w:rPr>
          <w:rFonts w:hint="eastAsia"/>
        </w:rPr>
        <w:t>可以编写函数进行计算</w:t>
      </w:r>
      <w:r w:rsidR="00AA0747">
        <w:rPr>
          <w:rFonts w:hint="eastAsia"/>
        </w:rPr>
        <w:t>择股和择行的得分</w:t>
      </w:r>
      <w:r w:rsidR="00C220F4">
        <w:rPr>
          <w:rFonts w:hint="eastAsia"/>
        </w:rPr>
        <w:t>，结果如图2.8所示，</w:t>
      </w:r>
      <w:r w:rsidR="00AA0747">
        <w:rPr>
          <w:rFonts w:hint="eastAsia"/>
        </w:rPr>
        <w:t>结果均与海知网站的得分一致。</w:t>
      </w:r>
    </w:p>
    <w:p w14:paraId="451EABC9" w14:textId="420093A9" w:rsidR="003D5B4A" w:rsidRDefault="003D5B4A" w:rsidP="00E564D0">
      <w:pPr>
        <w:spacing w:before="0" w:after="0"/>
        <w:jc w:val="center"/>
      </w:pPr>
      <w:r>
        <w:rPr>
          <w:noProof/>
        </w:rPr>
        <w:drawing>
          <wp:inline distT="0" distB="0" distL="0" distR="0" wp14:anchorId="2BFCE626" wp14:editId="4DB54CE8">
            <wp:extent cx="3398520" cy="2033547"/>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0841" cy="2046903"/>
                    </a:xfrm>
                    <a:prstGeom prst="rect">
                      <a:avLst/>
                    </a:prstGeom>
                  </pic:spPr>
                </pic:pic>
              </a:graphicData>
            </a:graphic>
          </wp:inline>
        </w:drawing>
      </w:r>
    </w:p>
    <w:p w14:paraId="2B2DA34C" w14:textId="1D95D604" w:rsidR="003D5B4A" w:rsidRPr="003D5B4A" w:rsidRDefault="003D5B4A" w:rsidP="003D5B4A">
      <w:pPr>
        <w:spacing w:before="0" w:after="0"/>
        <w:jc w:val="center"/>
        <w:rPr>
          <w:rFonts w:ascii="楷体" w:eastAsia="楷体" w:hAnsi="楷体"/>
          <w:sz w:val="18"/>
          <w:szCs w:val="18"/>
        </w:rPr>
      </w:pPr>
      <w:r w:rsidRPr="003D5B4A">
        <w:rPr>
          <w:rFonts w:ascii="楷体" w:eastAsia="楷体" w:hAnsi="楷体" w:hint="eastAsia"/>
          <w:sz w:val="18"/>
          <w:szCs w:val="18"/>
        </w:rPr>
        <w:t>图2.6</w:t>
      </w:r>
      <w:r w:rsidR="00AD03F1">
        <w:rPr>
          <w:rFonts w:ascii="楷体" w:eastAsia="楷体" w:hAnsi="楷体"/>
          <w:sz w:val="18"/>
          <w:szCs w:val="18"/>
        </w:rPr>
        <w:t xml:space="preserve"> </w:t>
      </w:r>
      <w:r w:rsidR="00AD03F1">
        <w:rPr>
          <w:rFonts w:ascii="楷体" w:eastAsia="楷体" w:hAnsi="楷体" w:hint="eastAsia"/>
          <w:sz w:val="18"/>
          <w:szCs w:val="18"/>
        </w:rPr>
        <w:t>用户股票组合收益率</w:t>
      </w:r>
    </w:p>
    <w:p w14:paraId="5BF515A1" w14:textId="78940B85" w:rsidR="003D5B4A" w:rsidRDefault="003D5B4A" w:rsidP="00E564D0">
      <w:pPr>
        <w:spacing w:before="0" w:after="0"/>
        <w:jc w:val="center"/>
      </w:pPr>
      <w:r>
        <w:rPr>
          <w:noProof/>
        </w:rPr>
        <w:drawing>
          <wp:inline distT="0" distB="0" distL="0" distR="0" wp14:anchorId="3BA38737" wp14:editId="3946FACD">
            <wp:extent cx="3642360" cy="21044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2236" cy="2110170"/>
                    </a:xfrm>
                    <a:prstGeom prst="rect">
                      <a:avLst/>
                    </a:prstGeom>
                  </pic:spPr>
                </pic:pic>
              </a:graphicData>
            </a:graphic>
          </wp:inline>
        </w:drawing>
      </w:r>
    </w:p>
    <w:p w14:paraId="628AE187" w14:textId="745F9AC1" w:rsidR="003D5B4A" w:rsidRPr="003D5B4A" w:rsidRDefault="003D5B4A" w:rsidP="003D5B4A">
      <w:pPr>
        <w:spacing w:before="0" w:after="0"/>
        <w:jc w:val="center"/>
        <w:rPr>
          <w:rFonts w:ascii="楷体" w:eastAsia="楷体" w:hAnsi="楷体"/>
          <w:sz w:val="18"/>
          <w:szCs w:val="18"/>
        </w:rPr>
      </w:pPr>
      <w:r w:rsidRPr="003D5B4A">
        <w:rPr>
          <w:rFonts w:ascii="楷体" w:eastAsia="楷体" w:hAnsi="楷体" w:hint="eastAsia"/>
          <w:sz w:val="18"/>
          <w:szCs w:val="18"/>
        </w:rPr>
        <w:t>图2.7</w:t>
      </w:r>
      <w:r w:rsidR="00AD03F1">
        <w:rPr>
          <w:rFonts w:ascii="楷体" w:eastAsia="楷体" w:hAnsi="楷体"/>
          <w:sz w:val="18"/>
          <w:szCs w:val="18"/>
        </w:rPr>
        <w:t xml:space="preserve"> </w:t>
      </w:r>
      <w:r w:rsidR="00AD03F1">
        <w:rPr>
          <w:rFonts w:ascii="楷体" w:eastAsia="楷体" w:hAnsi="楷体" w:hint="eastAsia"/>
          <w:sz w:val="18"/>
          <w:szCs w:val="18"/>
        </w:rPr>
        <w:t>用户行业判势收益率</w:t>
      </w:r>
    </w:p>
    <w:p w14:paraId="1A57C6B4" w14:textId="0204F911" w:rsidR="0021159C" w:rsidRDefault="0021159C" w:rsidP="0021159C">
      <w:pPr>
        <w:spacing w:before="0" w:after="0"/>
        <w:jc w:val="center"/>
      </w:pPr>
      <w:r>
        <w:rPr>
          <w:noProof/>
        </w:rPr>
        <w:drawing>
          <wp:inline distT="0" distB="0" distL="0" distR="0" wp14:anchorId="7907643C" wp14:editId="5CCF6879">
            <wp:extent cx="3268980" cy="1241764"/>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2114" cy="1242954"/>
                    </a:xfrm>
                    <a:prstGeom prst="rect">
                      <a:avLst/>
                    </a:prstGeom>
                  </pic:spPr>
                </pic:pic>
              </a:graphicData>
            </a:graphic>
          </wp:inline>
        </w:drawing>
      </w:r>
    </w:p>
    <w:p w14:paraId="13D3C297" w14:textId="26EF2B6F" w:rsidR="001A2FD7" w:rsidRPr="00AD03F1" w:rsidRDefault="001A2FD7" w:rsidP="0021159C">
      <w:pPr>
        <w:spacing w:before="0" w:after="0"/>
        <w:jc w:val="center"/>
        <w:rPr>
          <w:rFonts w:ascii="楷体" w:eastAsia="楷体" w:hAnsi="楷体"/>
          <w:sz w:val="18"/>
          <w:szCs w:val="18"/>
        </w:rPr>
      </w:pPr>
      <w:r w:rsidRPr="00AD03F1">
        <w:rPr>
          <w:rFonts w:ascii="楷体" w:eastAsia="楷体" w:hAnsi="楷体" w:hint="eastAsia"/>
          <w:sz w:val="18"/>
          <w:szCs w:val="18"/>
        </w:rPr>
        <w:t>图2.8</w:t>
      </w:r>
      <w:r w:rsidRPr="00AD03F1">
        <w:rPr>
          <w:rFonts w:ascii="楷体" w:eastAsia="楷体" w:hAnsi="楷体"/>
          <w:sz w:val="18"/>
          <w:szCs w:val="18"/>
        </w:rPr>
        <w:t xml:space="preserve"> </w:t>
      </w:r>
      <w:r w:rsidRPr="00AD03F1">
        <w:rPr>
          <w:rFonts w:ascii="楷体" w:eastAsia="楷体" w:hAnsi="楷体" w:hint="eastAsia"/>
          <w:sz w:val="18"/>
          <w:szCs w:val="18"/>
        </w:rPr>
        <w:t>计算择股、择行得分</w:t>
      </w:r>
    </w:p>
    <w:p w14:paraId="77C51B6D" w14:textId="6F2425DA" w:rsidR="00A13554" w:rsidRPr="009D6BFA" w:rsidRDefault="00A13554" w:rsidP="009D6BFA">
      <w:pPr>
        <w:spacing w:before="0" w:after="0"/>
        <w:rPr>
          <w:sz w:val="24"/>
          <w:szCs w:val="24"/>
        </w:rPr>
      </w:pPr>
      <w:r w:rsidRPr="009D6BFA">
        <w:rPr>
          <w:rFonts w:hint="eastAsia"/>
          <w:sz w:val="24"/>
          <w:szCs w:val="24"/>
        </w:rPr>
        <w:lastRenderedPageBreak/>
        <w:t>（4）从和其他人对比的角度，结合模拟投资排行榜的择股得分、收益情况以及对应的持仓情况，当前班级中谁的择股表现“较好”？给出你的看法并说明原因。</w:t>
      </w:r>
    </w:p>
    <w:p w14:paraId="25EA73CD" w14:textId="07464F49" w:rsidR="00E95171" w:rsidRDefault="00DD54D2" w:rsidP="00E95171">
      <w:pPr>
        <w:spacing w:before="0" w:after="0"/>
        <w:ind w:firstLine="420"/>
      </w:pPr>
      <w:r>
        <w:rPr>
          <w:rFonts w:hint="eastAsia"/>
        </w:rPr>
        <w:t>目前班级中，前四名的择股得分、收益情况表现均较好，</w:t>
      </w:r>
      <w:r w:rsidR="005A7CB6">
        <w:rPr>
          <w:rFonts w:hint="eastAsia"/>
        </w:rPr>
        <w:t>通过观察可以发现，他们选择的股票大多是在深圳，集中在医疗、能源、互联网领域</w:t>
      </w:r>
      <w:r w:rsidR="00CB2AD1">
        <w:rPr>
          <w:rFonts w:hint="eastAsia"/>
        </w:rPr>
        <w:t>，查看他们的择股得分可以发现，他们的股票组合收益率均比较高，故择股得分很好</w:t>
      </w:r>
      <w:r w:rsidR="005A7CB6">
        <w:rPr>
          <w:rFonts w:hint="eastAsia"/>
        </w:rPr>
        <w:t>。</w:t>
      </w:r>
    </w:p>
    <w:p w14:paraId="58CD1CFF" w14:textId="1BE7C7D8" w:rsidR="00A13554" w:rsidRDefault="00DD54D2" w:rsidP="009D6BFA">
      <w:pPr>
        <w:spacing w:before="0" w:after="0"/>
      </w:pPr>
      <w:r>
        <w:rPr>
          <w:noProof/>
        </w:rPr>
        <w:drawing>
          <wp:inline distT="0" distB="0" distL="0" distR="0" wp14:anchorId="4FE7C397" wp14:editId="3CE686CE">
            <wp:extent cx="5274310" cy="14966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96695"/>
                    </a:xfrm>
                    <a:prstGeom prst="rect">
                      <a:avLst/>
                    </a:prstGeom>
                  </pic:spPr>
                </pic:pic>
              </a:graphicData>
            </a:graphic>
          </wp:inline>
        </w:drawing>
      </w:r>
    </w:p>
    <w:p w14:paraId="230BCEC0" w14:textId="15956222" w:rsidR="002C3395" w:rsidRPr="00C54C7C" w:rsidRDefault="002C3395" w:rsidP="00C54C7C">
      <w:pPr>
        <w:spacing w:before="0" w:after="0"/>
        <w:jc w:val="center"/>
        <w:rPr>
          <w:rFonts w:ascii="楷体" w:eastAsia="楷体" w:hAnsi="楷体"/>
          <w:sz w:val="18"/>
          <w:szCs w:val="18"/>
        </w:rPr>
      </w:pPr>
      <w:r w:rsidRPr="00C54C7C">
        <w:rPr>
          <w:rFonts w:ascii="楷体" w:eastAsia="楷体" w:hAnsi="楷体" w:hint="eastAsia"/>
          <w:sz w:val="18"/>
          <w:szCs w:val="18"/>
        </w:rPr>
        <w:t>图2.9</w:t>
      </w:r>
    </w:p>
    <w:p w14:paraId="1D2755F5" w14:textId="2199606B" w:rsidR="00A13554" w:rsidRPr="009D6BFA" w:rsidRDefault="00A13554" w:rsidP="009D6BFA">
      <w:pPr>
        <w:spacing w:before="0" w:after="0"/>
        <w:rPr>
          <w:sz w:val="24"/>
          <w:szCs w:val="24"/>
        </w:rPr>
      </w:pPr>
      <w:r w:rsidRPr="009D6BFA">
        <w:rPr>
          <w:rFonts w:hint="eastAsia"/>
          <w:sz w:val="24"/>
          <w:szCs w:val="24"/>
        </w:rPr>
        <w:t>（5）熟悉伯乐相马各模块、按钮以及界面对应的功能，操作并回答下述问题：</w:t>
      </w:r>
    </w:p>
    <w:p w14:paraId="1414B72D" w14:textId="10871376" w:rsidR="00A13554" w:rsidRDefault="00A13554" w:rsidP="009D6BFA">
      <w:pPr>
        <w:spacing w:before="0" w:after="0"/>
      </w:pPr>
      <w:r w:rsidRPr="00A13554">
        <w:rPr>
          <w:rFonts w:hint="eastAsia"/>
        </w:rPr>
        <w:t>①</w:t>
      </w:r>
      <w:r w:rsidRPr="00A13554">
        <w:t xml:space="preserve"> 自顶向下，给出自己关注的3个板块在模拟投资比赛期间的领涨、领跌群体及下属成员；</w:t>
      </w:r>
    </w:p>
    <w:p w14:paraId="290261C5" w14:textId="1F8F57A3" w:rsidR="001F6515" w:rsidRDefault="001F6515" w:rsidP="009D6BFA">
      <w:pPr>
        <w:spacing w:before="0" w:after="0"/>
      </w:pPr>
      <w:r>
        <w:rPr>
          <w:rFonts w:hint="eastAsia"/>
        </w:rPr>
        <w:t>建筑装饰的领涨股为建艺集团，领跌股为奇信股份</w:t>
      </w:r>
      <w:r w:rsidR="00663354">
        <w:rPr>
          <w:rFonts w:hint="eastAsia"/>
        </w:rPr>
        <w:t>，下属成员如图2.11所示（部分）</w:t>
      </w:r>
      <w:r>
        <w:rPr>
          <w:rFonts w:hint="eastAsia"/>
        </w:rPr>
        <w:t>。</w:t>
      </w:r>
    </w:p>
    <w:p w14:paraId="6BAC59DD" w14:textId="306E5729" w:rsidR="001F6515" w:rsidRDefault="001F6515" w:rsidP="009D6BFA">
      <w:pPr>
        <w:spacing w:before="0" w:after="0"/>
      </w:pPr>
      <w:r>
        <w:rPr>
          <w:noProof/>
        </w:rPr>
        <w:drawing>
          <wp:inline distT="0" distB="0" distL="0" distR="0" wp14:anchorId="7AE1A0B6" wp14:editId="6CAEFF5A">
            <wp:extent cx="5459466" cy="655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5676" cy="656065"/>
                    </a:xfrm>
                    <a:prstGeom prst="rect">
                      <a:avLst/>
                    </a:prstGeom>
                  </pic:spPr>
                </pic:pic>
              </a:graphicData>
            </a:graphic>
          </wp:inline>
        </w:drawing>
      </w:r>
    </w:p>
    <w:p w14:paraId="14128222" w14:textId="028EC1EE" w:rsidR="00C80969" w:rsidRPr="00C80969" w:rsidRDefault="00C80969" w:rsidP="00C80969">
      <w:pPr>
        <w:spacing w:before="0" w:after="0"/>
        <w:jc w:val="center"/>
        <w:rPr>
          <w:rFonts w:ascii="楷体" w:eastAsia="楷体" w:hAnsi="楷体" w:hint="eastAsia"/>
          <w:sz w:val="18"/>
          <w:szCs w:val="18"/>
        </w:rPr>
      </w:pPr>
      <w:r w:rsidRPr="00C54C7C">
        <w:rPr>
          <w:rFonts w:ascii="楷体" w:eastAsia="楷体" w:hAnsi="楷体" w:hint="eastAsia"/>
          <w:sz w:val="18"/>
          <w:szCs w:val="18"/>
        </w:rPr>
        <w:t>图2.10</w:t>
      </w:r>
    </w:p>
    <w:p w14:paraId="6FFC0657" w14:textId="64CE1050" w:rsidR="00F355B0" w:rsidRDefault="00F355B0" w:rsidP="00F355B0">
      <w:pPr>
        <w:spacing w:before="0" w:after="0"/>
        <w:jc w:val="center"/>
        <w:rPr>
          <w:rFonts w:hint="eastAsia"/>
        </w:rPr>
      </w:pPr>
      <w:r>
        <w:rPr>
          <w:noProof/>
        </w:rPr>
        <w:drawing>
          <wp:inline distT="0" distB="0" distL="0" distR="0" wp14:anchorId="5054B3CA" wp14:editId="33DBCFAC">
            <wp:extent cx="5274310" cy="24009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00935"/>
                    </a:xfrm>
                    <a:prstGeom prst="rect">
                      <a:avLst/>
                    </a:prstGeom>
                  </pic:spPr>
                </pic:pic>
              </a:graphicData>
            </a:graphic>
          </wp:inline>
        </w:drawing>
      </w:r>
    </w:p>
    <w:p w14:paraId="6545B302" w14:textId="0CF573F4" w:rsidR="002C3395" w:rsidRPr="00C54C7C" w:rsidRDefault="002C3395" w:rsidP="00C54C7C">
      <w:pPr>
        <w:spacing w:before="0" w:after="0"/>
        <w:jc w:val="center"/>
        <w:rPr>
          <w:rFonts w:ascii="楷体" w:eastAsia="楷体" w:hAnsi="楷体"/>
          <w:sz w:val="18"/>
          <w:szCs w:val="18"/>
        </w:rPr>
      </w:pPr>
      <w:r w:rsidRPr="00C54C7C">
        <w:rPr>
          <w:rFonts w:ascii="楷体" w:eastAsia="楷体" w:hAnsi="楷体" w:hint="eastAsia"/>
          <w:sz w:val="18"/>
          <w:szCs w:val="18"/>
        </w:rPr>
        <w:t>图2.1</w:t>
      </w:r>
      <w:r w:rsidR="00C80969">
        <w:rPr>
          <w:rFonts w:ascii="楷体" w:eastAsia="楷体" w:hAnsi="楷体" w:hint="eastAsia"/>
          <w:sz w:val="18"/>
          <w:szCs w:val="18"/>
        </w:rPr>
        <w:t>1</w:t>
      </w:r>
    </w:p>
    <w:p w14:paraId="6CF3413E" w14:textId="604D4E9B" w:rsidR="001F6515" w:rsidRDefault="001F6515" w:rsidP="009D6BFA">
      <w:pPr>
        <w:spacing w:before="0" w:after="0"/>
      </w:pPr>
      <w:r>
        <w:rPr>
          <w:rFonts w:hint="eastAsia"/>
        </w:rPr>
        <w:t>医药商业的领涨股为</w:t>
      </w:r>
      <w:r w:rsidRPr="001F6515">
        <w:rPr>
          <w:rFonts w:hint="eastAsia"/>
        </w:rPr>
        <w:t>塞力斯</w:t>
      </w:r>
      <w:r>
        <w:rPr>
          <w:rFonts w:hint="eastAsia"/>
        </w:rPr>
        <w:t>，领跌股为</w:t>
      </w:r>
      <w:r w:rsidRPr="001F6515">
        <w:t>ST天圣</w:t>
      </w:r>
      <w:r w:rsidR="00403EEA">
        <w:rPr>
          <w:rFonts w:hint="eastAsia"/>
        </w:rPr>
        <w:t>，下属成员如图2.1</w:t>
      </w:r>
      <w:r w:rsidR="000A2FFD">
        <w:rPr>
          <w:rFonts w:hint="eastAsia"/>
        </w:rPr>
        <w:t>3</w:t>
      </w:r>
      <w:r w:rsidR="00403EEA">
        <w:rPr>
          <w:rFonts w:hint="eastAsia"/>
        </w:rPr>
        <w:t>所示（部分）。</w:t>
      </w:r>
    </w:p>
    <w:p w14:paraId="56D72BCA" w14:textId="3F6E1B87" w:rsidR="001F6515" w:rsidRDefault="001F6515" w:rsidP="009D6BFA">
      <w:pPr>
        <w:spacing w:before="0" w:after="0"/>
      </w:pPr>
      <w:r>
        <w:rPr>
          <w:noProof/>
        </w:rPr>
        <w:drawing>
          <wp:inline distT="0" distB="0" distL="0" distR="0" wp14:anchorId="2E3C3938" wp14:editId="13E9248F">
            <wp:extent cx="5274310" cy="178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8435"/>
                    </a:xfrm>
                    <a:prstGeom prst="rect">
                      <a:avLst/>
                    </a:prstGeom>
                  </pic:spPr>
                </pic:pic>
              </a:graphicData>
            </a:graphic>
          </wp:inline>
        </w:drawing>
      </w:r>
    </w:p>
    <w:p w14:paraId="7E22D33F" w14:textId="02458471" w:rsidR="00C80969" w:rsidRPr="00C80969" w:rsidRDefault="00C80969" w:rsidP="00C80969">
      <w:pPr>
        <w:spacing w:before="0" w:after="0"/>
        <w:jc w:val="center"/>
        <w:rPr>
          <w:rFonts w:ascii="楷体" w:eastAsia="楷体" w:hAnsi="楷体" w:hint="eastAsia"/>
          <w:sz w:val="18"/>
          <w:szCs w:val="18"/>
        </w:rPr>
      </w:pPr>
      <w:r w:rsidRPr="00C54C7C">
        <w:rPr>
          <w:rFonts w:ascii="楷体" w:eastAsia="楷体" w:hAnsi="楷体" w:hint="eastAsia"/>
          <w:sz w:val="18"/>
          <w:szCs w:val="18"/>
        </w:rPr>
        <w:t>图2.1</w:t>
      </w:r>
      <w:r>
        <w:rPr>
          <w:rFonts w:ascii="楷体" w:eastAsia="楷体" w:hAnsi="楷体" w:hint="eastAsia"/>
          <w:sz w:val="18"/>
          <w:szCs w:val="18"/>
        </w:rPr>
        <w:t>2</w:t>
      </w:r>
    </w:p>
    <w:p w14:paraId="2435C9BB" w14:textId="1DBC51D7" w:rsidR="00F355B0" w:rsidRDefault="00F355B0" w:rsidP="009D6BFA">
      <w:pPr>
        <w:spacing w:before="0" w:after="0"/>
        <w:rPr>
          <w:rFonts w:hint="eastAsia"/>
        </w:rPr>
      </w:pPr>
      <w:r>
        <w:rPr>
          <w:noProof/>
        </w:rPr>
        <w:lastRenderedPageBreak/>
        <w:drawing>
          <wp:inline distT="0" distB="0" distL="0" distR="0" wp14:anchorId="5C9C5E20" wp14:editId="5C0C5617">
            <wp:extent cx="5274310" cy="23761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76170"/>
                    </a:xfrm>
                    <a:prstGeom prst="rect">
                      <a:avLst/>
                    </a:prstGeom>
                  </pic:spPr>
                </pic:pic>
              </a:graphicData>
            </a:graphic>
          </wp:inline>
        </w:drawing>
      </w:r>
    </w:p>
    <w:p w14:paraId="037B16EE" w14:textId="735B1ACF" w:rsidR="002C3395" w:rsidRPr="00C54C7C" w:rsidRDefault="002C3395" w:rsidP="00C54C7C">
      <w:pPr>
        <w:spacing w:before="0" w:after="0"/>
        <w:jc w:val="center"/>
        <w:rPr>
          <w:rFonts w:ascii="楷体" w:eastAsia="楷体" w:hAnsi="楷体"/>
          <w:sz w:val="18"/>
          <w:szCs w:val="18"/>
        </w:rPr>
      </w:pPr>
      <w:r w:rsidRPr="00C54C7C">
        <w:rPr>
          <w:rFonts w:ascii="楷体" w:eastAsia="楷体" w:hAnsi="楷体" w:hint="eastAsia"/>
          <w:sz w:val="18"/>
          <w:szCs w:val="18"/>
        </w:rPr>
        <w:t>图2.1</w:t>
      </w:r>
      <w:r w:rsidR="00C80969">
        <w:rPr>
          <w:rFonts w:ascii="楷体" w:eastAsia="楷体" w:hAnsi="楷体" w:hint="eastAsia"/>
          <w:sz w:val="18"/>
          <w:szCs w:val="18"/>
        </w:rPr>
        <w:t>3</w:t>
      </w:r>
    </w:p>
    <w:p w14:paraId="509F8130" w14:textId="4F206ACF" w:rsidR="00646AE2" w:rsidRDefault="00646AE2" w:rsidP="009D6BFA">
      <w:pPr>
        <w:spacing w:before="0" w:after="0"/>
      </w:pPr>
      <w:r>
        <w:rPr>
          <w:rFonts w:hint="eastAsia"/>
        </w:rPr>
        <w:t>半导体及元件领涨股为</w:t>
      </w:r>
      <w:r w:rsidRPr="00646AE2">
        <w:rPr>
          <w:rFonts w:hint="eastAsia"/>
        </w:rPr>
        <w:t>综艺股份</w:t>
      </w:r>
      <w:r>
        <w:rPr>
          <w:rFonts w:hint="eastAsia"/>
        </w:rPr>
        <w:t>，领跌股为</w:t>
      </w:r>
      <w:r w:rsidRPr="00646AE2">
        <w:rPr>
          <w:rFonts w:hint="eastAsia"/>
        </w:rPr>
        <w:t>大唐电信</w:t>
      </w:r>
      <w:r w:rsidR="00020D62">
        <w:rPr>
          <w:rFonts w:hint="eastAsia"/>
        </w:rPr>
        <w:t>，下属成员如图2.1</w:t>
      </w:r>
      <w:r w:rsidR="00020D62">
        <w:rPr>
          <w:rFonts w:hint="eastAsia"/>
        </w:rPr>
        <w:t>5</w:t>
      </w:r>
      <w:r w:rsidR="00020D62">
        <w:rPr>
          <w:rFonts w:hint="eastAsia"/>
        </w:rPr>
        <w:t>所示（部分）。</w:t>
      </w:r>
    </w:p>
    <w:p w14:paraId="4A72909B" w14:textId="09205F6E" w:rsidR="00463655" w:rsidRDefault="001F6515" w:rsidP="009D6BFA">
      <w:pPr>
        <w:spacing w:before="0" w:after="0"/>
      </w:pPr>
      <w:r w:rsidRPr="001F6515">
        <w:rPr>
          <w:noProof/>
        </w:rPr>
        <w:drawing>
          <wp:inline distT="0" distB="0" distL="0" distR="0" wp14:anchorId="4F7F4F2F" wp14:editId="74F22B80">
            <wp:extent cx="5274310" cy="1778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7800"/>
                    </a:xfrm>
                    <a:prstGeom prst="rect">
                      <a:avLst/>
                    </a:prstGeom>
                  </pic:spPr>
                </pic:pic>
              </a:graphicData>
            </a:graphic>
          </wp:inline>
        </w:drawing>
      </w:r>
    </w:p>
    <w:p w14:paraId="39F9A58D" w14:textId="7DE958AA" w:rsidR="00C80969" w:rsidRPr="00C80969" w:rsidRDefault="00C80969" w:rsidP="00C80969">
      <w:pPr>
        <w:spacing w:before="0" w:after="0"/>
        <w:jc w:val="center"/>
        <w:rPr>
          <w:rFonts w:ascii="楷体" w:eastAsia="楷体" w:hAnsi="楷体" w:hint="eastAsia"/>
          <w:sz w:val="18"/>
          <w:szCs w:val="18"/>
        </w:rPr>
      </w:pPr>
      <w:r w:rsidRPr="00C54C7C">
        <w:rPr>
          <w:rFonts w:ascii="楷体" w:eastAsia="楷体" w:hAnsi="楷体" w:hint="eastAsia"/>
          <w:sz w:val="18"/>
          <w:szCs w:val="18"/>
        </w:rPr>
        <w:t>图2.1</w:t>
      </w:r>
      <w:r>
        <w:rPr>
          <w:rFonts w:ascii="楷体" w:eastAsia="楷体" w:hAnsi="楷体"/>
          <w:sz w:val="18"/>
          <w:szCs w:val="18"/>
        </w:rPr>
        <w:t>4</w:t>
      </w:r>
    </w:p>
    <w:p w14:paraId="3201F15A" w14:textId="2B992B09" w:rsidR="00060015" w:rsidRDefault="00060015" w:rsidP="009D6BFA">
      <w:pPr>
        <w:spacing w:before="0" w:after="0"/>
        <w:rPr>
          <w:rFonts w:hint="eastAsia"/>
        </w:rPr>
      </w:pPr>
      <w:r>
        <w:rPr>
          <w:noProof/>
        </w:rPr>
        <w:drawing>
          <wp:inline distT="0" distB="0" distL="0" distR="0" wp14:anchorId="2E14C872" wp14:editId="0FD54EC5">
            <wp:extent cx="5274310" cy="23298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29815"/>
                    </a:xfrm>
                    <a:prstGeom prst="rect">
                      <a:avLst/>
                    </a:prstGeom>
                  </pic:spPr>
                </pic:pic>
              </a:graphicData>
            </a:graphic>
          </wp:inline>
        </w:drawing>
      </w:r>
    </w:p>
    <w:p w14:paraId="07295E52" w14:textId="6D547F1F" w:rsidR="002C3395" w:rsidRPr="00C54C7C" w:rsidRDefault="002C3395" w:rsidP="00C54C7C">
      <w:pPr>
        <w:spacing w:before="0" w:after="0"/>
        <w:jc w:val="center"/>
        <w:rPr>
          <w:rFonts w:ascii="楷体" w:eastAsia="楷体" w:hAnsi="楷体"/>
          <w:sz w:val="18"/>
          <w:szCs w:val="18"/>
        </w:rPr>
      </w:pPr>
      <w:r w:rsidRPr="00C54C7C">
        <w:rPr>
          <w:rFonts w:ascii="楷体" w:eastAsia="楷体" w:hAnsi="楷体" w:hint="eastAsia"/>
          <w:sz w:val="18"/>
          <w:szCs w:val="18"/>
        </w:rPr>
        <w:t>图2.1</w:t>
      </w:r>
      <w:r w:rsidR="008C584B">
        <w:rPr>
          <w:rFonts w:ascii="楷体" w:eastAsia="楷体" w:hAnsi="楷体"/>
          <w:sz w:val="18"/>
          <w:szCs w:val="18"/>
        </w:rPr>
        <w:t>5</w:t>
      </w:r>
    </w:p>
    <w:p w14:paraId="0000BC20" w14:textId="3BD290A5" w:rsidR="00A13554" w:rsidRDefault="00A13554" w:rsidP="009D6BFA">
      <w:pPr>
        <w:spacing w:before="0" w:after="0"/>
      </w:pPr>
      <w:r w:rsidRPr="00A13554">
        <w:t>② 自底向上，根据自己的持仓分析“最好”的1支或2支股票，所属的上属群体在市场中的表现。</w:t>
      </w:r>
    </w:p>
    <w:p w14:paraId="1803D266" w14:textId="11393A6C" w:rsidR="00905251" w:rsidRDefault="0013299E" w:rsidP="009D6BFA">
      <w:pPr>
        <w:spacing w:before="0" w:after="0"/>
      </w:pPr>
      <w:r>
        <w:rPr>
          <w:rFonts w:hint="eastAsia"/>
        </w:rPr>
        <w:t>在持仓分析中，表现最好的是酒鬼酒，其所属上层群体为</w:t>
      </w:r>
      <w:r w:rsidR="00C13845">
        <w:rPr>
          <w:rFonts w:hint="eastAsia"/>
        </w:rPr>
        <w:t>饮料制造业，表现如下所示</w:t>
      </w:r>
      <w:r w:rsidR="00656112">
        <w:rPr>
          <w:rFonts w:hint="eastAsia"/>
        </w:rPr>
        <w:t>，最近有所回调，但整体仍呈下降趋势。</w:t>
      </w:r>
    </w:p>
    <w:p w14:paraId="35F11A99" w14:textId="66B673A2" w:rsidR="0013299E" w:rsidRDefault="0013299E" w:rsidP="009D6BFA">
      <w:pPr>
        <w:spacing w:before="0" w:after="0"/>
      </w:pPr>
      <w:r>
        <w:rPr>
          <w:noProof/>
        </w:rPr>
        <w:drawing>
          <wp:inline distT="0" distB="0" distL="0" distR="0" wp14:anchorId="7476DF7C" wp14:editId="67A6F747">
            <wp:extent cx="5274310" cy="1987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8755"/>
                    </a:xfrm>
                    <a:prstGeom prst="rect">
                      <a:avLst/>
                    </a:prstGeom>
                  </pic:spPr>
                </pic:pic>
              </a:graphicData>
            </a:graphic>
          </wp:inline>
        </w:drawing>
      </w:r>
    </w:p>
    <w:p w14:paraId="007F04D8" w14:textId="09374DF2" w:rsidR="00C03715" w:rsidRPr="007D0F27" w:rsidRDefault="00C03715" w:rsidP="007D0F27">
      <w:pPr>
        <w:spacing w:before="0" w:after="0"/>
        <w:jc w:val="center"/>
        <w:rPr>
          <w:rFonts w:ascii="楷体" w:eastAsia="楷体" w:hAnsi="楷体"/>
          <w:sz w:val="18"/>
          <w:szCs w:val="18"/>
        </w:rPr>
      </w:pPr>
      <w:r w:rsidRPr="007D0F27">
        <w:rPr>
          <w:rFonts w:ascii="楷体" w:eastAsia="楷体" w:hAnsi="楷体" w:hint="eastAsia"/>
          <w:sz w:val="18"/>
          <w:szCs w:val="18"/>
        </w:rPr>
        <w:t>图2.1</w:t>
      </w:r>
      <w:r w:rsidR="008C584B">
        <w:rPr>
          <w:rFonts w:ascii="楷体" w:eastAsia="楷体" w:hAnsi="楷体"/>
          <w:sz w:val="18"/>
          <w:szCs w:val="18"/>
        </w:rPr>
        <w:t>6</w:t>
      </w:r>
    </w:p>
    <w:sectPr w:rsidR="00C03715" w:rsidRPr="007D0F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4202D" w14:textId="77777777" w:rsidR="00277E67" w:rsidRDefault="00277E67" w:rsidP="00884C9A">
      <w:pPr>
        <w:spacing w:before="0" w:after="0" w:line="240" w:lineRule="auto"/>
      </w:pPr>
      <w:r>
        <w:separator/>
      </w:r>
    </w:p>
  </w:endnote>
  <w:endnote w:type="continuationSeparator" w:id="0">
    <w:p w14:paraId="6E2219DF" w14:textId="77777777" w:rsidR="00277E67" w:rsidRDefault="00277E67" w:rsidP="00884C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9EAA8" w14:textId="77777777" w:rsidR="00277E67" w:rsidRDefault="00277E67" w:rsidP="00884C9A">
      <w:pPr>
        <w:spacing w:before="0" w:after="0" w:line="240" w:lineRule="auto"/>
      </w:pPr>
      <w:r>
        <w:separator/>
      </w:r>
    </w:p>
  </w:footnote>
  <w:footnote w:type="continuationSeparator" w:id="0">
    <w:p w14:paraId="1DF145AF" w14:textId="77777777" w:rsidR="00277E67" w:rsidRDefault="00277E67" w:rsidP="00884C9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26225"/>
    <w:multiLevelType w:val="hybridMultilevel"/>
    <w:tmpl w:val="EF0C214A"/>
    <w:lvl w:ilvl="0" w:tplc="2C7C0CA2">
      <w:start w:val="1"/>
      <w:numFmt w:val="japaneseCounting"/>
      <w:lvlText w:val="%1、"/>
      <w:lvlJc w:val="left"/>
      <w:pPr>
        <w:ind w:left="852" w:hanging="4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873042F"/>
    <w:multiLevelType w:val="hybridMultilevel"/>
    <w:tmpl w:val="900478B8"/>
    <w:lvl w:ilvl="0" w:tplc="5DAAB87A">
      <w:start w:val="1"/>
      <w:numFmt w:val="decimal"/>
      <w:lvlText w:val="（%1）"/>
      <w:lvlJc w:val="left"/>
      <w:pPr>
        <w:ind w:left="1572" w:hanging="72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num w:numId="1" w16cid:durableId="655765190">
    <w:abstractNumId w:val="0"/>
  </w:num>
  <w:num w:numId="2" w16cid:durableId="1642006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39D"/>
    <w:rsid w:val="00014C2B"/>
    <w:rsid w:val="000152A0"/>
    <w:rsid w:val="00020D62"/>
    <w:rsid w:val="00022898"/>
    <w:rsid w:val="00046DDD"/>
    <w:rsid w:val="00060015"/>
    <w:rsid w:val="00080AE7"/>
    <w:rsid w:val="000A2FFD"/>
    <w:rsid w:val="000A45AA"/>
    <w:rsid w:val="000E0BEF"/>
    <w:rsid w:val="000E0D8B"/>
    <w:rsid w:val="000E4A58"/>
    <w:rsid w:val="001031D8"/>
    <w:rsid w:val="0013299E"/>
    <w:rsid w:val="001469C0"/>
    <w:rsid w:val="001A2FD7"/>
    <w:rsid w:val="001D284D"/>
    <w:rsid w:val="001F6515"/>
    <w:rsid w:val="00200285"/>
    <w:rsid w:val="00200EC3"/>
    <w:rsid w:val="0021159C"/>
    <w:rsid w:val="00217280"/>
    <w:rsid w:val="00227719"/>
    <w:rsid w:val="002676FB"/>
    <w:rsid w:val="00277E67"/>
    <w:rsid w:val="002808BC"/>
    <w:rsid w:val="00286BA5"/>
    <w:rsid w:val="002C3395"/>
    <w:rsid w:val="002D5787"/>
    <w:rsid w:val="002E2437"/>
    <w:rsid w:val="002F2FF0"/>
    <w:rsid w:val="003744FB"/>
    <w:rsid w:val="00385F81"/>
    <w:rsid w:val="003A4FD8"/>
    <w:rsid w:val="003A74B7"/>
    <w:rsid w:val="003C34AB"/>
    <w:rsid w:val="003C7C2A"/>
    <w:rsid w:val="003C7CDB"/>
    <w:rsid w:val="003D5B4A"/>
    <w:rsid w:val="00403EEA"/>
    <w:rsid w:val="00463655"/>
    <w:rsid w:val="004863F7"/>
    <w:rsid w:val="004C5207"/>
    <w:rsid w:val="004D146E"/>
    <w:rsid w:val="004D6956"/>
    <w:rsid w:val="004E18FA"/>
    <w:rsid w:val="004F5487"/>
    <w:rsid w:val="0050285F"/>
    <w:rsid w:val="00521D2D"/>
    <w:rsid w:val="00521D70"/>
    <w:rsid w:val="0054472A"/>
    <w:rsid w:val="0056490D"/>
    <w:rsid w:val="00571D31"/>
    <w:rsid w:val="0057439F"/>
    <w:rsid w:val="00580C67"/>
    <w:rsid w:val="00595293"/>
    <w:rsid w:val="005965D7"/>
    <w:rsid w:val="005A7CB6"/>
    <w:rsid w:val="005C75D7"/>
    <w:rsid w:val="005D6763"/>
    <w:rsid w:val="005E183B"/>
    <w:rsid w:val="005E5B38"/>
    <w:rsid w:val="00637788"/>
    <w:rsid w:val="00644B28"/>
    <w:rsid w:val="00646AE2"/>
    <w:rsid w:val="00656112"/>
    <w:rsid w:val="00663354"/>
    <w:rsid w:val="00682F87"/>
    <w:rsid w:val="006B6C84"/>
    <w:rsid w:val="006E5C75"/>
    <w:rsid w:val="0071732D"/>
    <w:rsid w:val="00731FC2"/>
    <w:rsid w:val="007B2F51"/>
    <w:rsid w:val="007B4AC0"/>
    <w:rsid w:val="007C6369"/>
    <w:rsid w:val="007D0F27"/>
    <w:rsid w:val="007F18C5"/>
    <w:rsid w:val="0087396C"/>
    <w:rsid w:val="00884C9A"/>
    <w:rsid w:val="00897B4A"/>
    <w:rsid w:val="008A24B7"/>
    <w:rsid w:val="008C584B"/>
    <w:rsid w:val="00905251"/>
    <w:rsid w:val="00945BB8"/>
    <w:rsid w:val="00980076"/>
    <w:rsid w:val="00982779"/>
    <w:rsid w:val="009D2857"/>
    <w:rsid w:val="009D6BFA"/>
    <w:rsid w:val="00A04052"/>
    <w:rsid w:val="00A13554"/>
    <w:rsid w:val="00A2260F"/>
    <w:rsid w:val="00A2442C"/>
    <w:rsid w:val="00A4339D"/>
    <w:rsid w:val="00AA0747"/>
    <w:rsid w:val="00AB37F3"/>
    <w:rsid w:val="00AC4EBB"/>
    <w:rsid w:val="00AD03F1"/>
    <w:rsid w:val="00AE4B1A"/>
    <w:rsid w:val="00AE5B46"/>
    <w:rsid w:val="00B00550"/>
    <w:rsid w:val="00B1475C"/>
    <w:rsid w:val="00B34071"/>
    <w:rsid w:val="00B471D3"/>
    <w:rsid w:val="00B47438"/>
    <w:rsid w:val="00B579DC"/>
    <w:rsid w:val="00B70F5B"/>
    <w:rsid w:val="00B84844"/>
    <w:rsid w:val="00BA6B9B"/>
    <w:rsid w:val="00BB1139"/>
    <w:rsid w:val="00BC756A"/>
    <w:rsid w:val="00BD32AD"/>
    <w:rsid w:val="00BD3D0C"/>
    <w:rsid w:val="00C03715"/>
    <w:rsid w:val="00C13596"/>
    <w:rsid w:val="00C13845"/>
    <w:rsid w:val="00C14843"/>
    <w:rsid w:val="00C220F4"/>
    <w:rsid w:val="00C24F13"/>
    <w:rsid w:val="00C34965"/>
    <w:rsid w:val="00C366B8"/>
    <w:rsid w:val="00C522FD"/>
    <w:rsid w:val="00C54C7C"/>
    <w:rsid w:val="00C7186D"/>
    <w:rsid w:val="00C71E18"/>
    <w:rsid w:val="00C80969"/>
    <w:rsid w:val="00C827F6"/>
    <w:rsid w:val="00CA33C1"/>
    <w:rsid w:val="00CB0691"/>
    <w:rsid w:val="00CB2AD1"/>
    <w:rsid w:val="00CD766A"/>
    <w:rsid w:val="00CE2D81"/>
    <w:rsid w:val="00CF22A5"/>
    <w:rsid w:val="00D87A78"/>
    <w:rsid w:val="00DA292F"/>
    <w:rsid w:val="00DB4B37"/>
    <w:rsid w:val="00DB7A4A"/>
    <w:rsid w:val="00DD54D2"/>
    <w:rsid w:val="00DD5CCF"/>
    <w:rsid w:val="00DE0798"/>
    <w:rsid w:val="00E10802"/>
    <w:rsid w:val="00E32B09"/>
    <w:rsid w:val="00E4016B"/>
    <w:rsid w:val="00E507D8"/>
    <w:rsid w:val="00E50CEA"/>
    <w:rsid w:val="00E564D0"/>
    <w:rsid w:val="00E95171"/>
    <w:rsid w:val="00F01C58"/>
    <w:rsid w:val="00F20308"/>
    <w:rsid w:val="00F355B0"/>
    <w:rsid w:val="00F40B1C"/>
    <w:rsid w:val="00F951FB"/>
    <w:rsid w:val="00FA220D"/>
    <w:rsid w:val="00FA5FC1"/>
    <w:rsid w:val="00FE2CA6"/>
    <w:rsid w:val="00FE2E14"/>
    <w:rsid w:val="00FE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E85A4"/>
  <w15:chartTrackingRefBased/>
  <w15:docId w15:val="{B9311FA8-633F-41C4-8DF3-0458E3CD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before="340" w:after="330" w:line="5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88" w:lineRule="auto"/>
    </w:pPr>
  </w:style>
  <w:style w:type="paragraph" w:styleId="1">
    <w:name w:val="heading 1"/>
    <w:basedOn w:val="a"/>
    <w:next w:val="a"/>
    <w:link w:val="10"/>
    <w:uiPriority w:val="9"/>
    <w:qFormat/>
    <w:rsid w:val="00CF22A5"/>
    <w:pPr>
      <w:keepNext/>
      <w:keepLines/>
      <w:spacing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7719"/>
    <w:pPr>
      <w:ind w:firstLineChars="200" w:firstLine="420"/>
    </w:pPr>
  </w:style>
  <w:style w:type="character" w:customStyle="1" w:styleId="10">
    <w:name w:val="标题 1 字符"/>
    <w:basedOn w:val="a0"/>
    <w:link w:val="1"/>
    <w:uiPriority w:val="9"/>
    <w:rsid w:val="00CF22A5"/>
    <w:rPr>
      <w:b/>
      <w:bCs/>
      <w:kern w:val="44"/>
      <w:sz w:val="44"/>
      <w:szCs w:val="44"/>
    </w:rPr>
  </w:style>
  <w:style w:type="paragraph" w:styleId="a4">
    <w:name w:val="header"/>
    <w:basedOn w:val="a"/>
    <w:link w:val="a5"/>
    <w:uiPriority w:val="99"/>
    <w:unhideWhenUsed/>
    <w:rsid w:val="00884C9A"/>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884C9A"/>
    <w:rPr>
      <w:sz w:val="18"/>
      <w:szCs w:val="18"/>
    </w:rPr>
  </w:style>
  <w:style w:type="paragraph" w:styleId="a6">
    <w:name w:val="footer"/>
    <w:basedOn w:val="a"/>
    <w:link w:val="a7"/>
    <w:uiPriority w:val="99"/>
    <w:unhideWhenUsed/>
    <w:rsid w:val="00884C9A"/>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884C9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23.png"/><Relationship Id="rId21" Type="http://schemas.openxmlformats.org/officeDocument/2006/relationships/oleObject" Target="embeddings/oleObject6.bin"/><Relationship Id="rId34" Type="http://schemas.openxmlformats.org/officeDocument/2006/relationships/image" Target="media/image18.png"/><Relationship Id="rId42" Type="http://schemas.openxmlformats.org/officeDocument/2006/relationships/image" Target="media/image26.wmf"/><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oleObject" Target="embeddings/oleObject12.bin"/><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9.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oleObject" Target="embeddings/oleObject11.bin"/><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9.wmf"/><Relationship Id="rId41" Type="http://schemas.openxmlformats.org/officeDocument/2006/relationships/image" Target="media/image25.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4.wmf"/><Relationship Id="rId31" Type="http://schemas.openxmlformats.org/officeDocument/2006/relationships/image" Target="media/image15.png"/><Relationship Id="rId44" Type="http://schemas.openxmlformats.org/officeDocument/2006/relationships/image" Target="media/image27.wmf"/><Relationship Id="rId52"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9</Pages>
  <Words>477</Words>
  <Characters>2722</Characters>
  <Application>Microsoft Office Word</Application>
  <DocSecurity>0</DocSecurity>
  <Lines>22</Lines>
  <Paragraphs>6</Paragraphs>
  <ScaleCrop>false</ScaleCrop>
  <Company/>
  <LinksUpToDate>false</LinksUpToDate>
  <CharactersWithSpaces>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铭</dc:creator>
  <cp:keywords/>
  <dc:description/>
  <cp:lastModifiedBy>王 铭</cp:lastModifiedBy>
  <cp:revision>154</cp:revision>
  <dcterms:created xsi:type="dcterms:W3CDTF">2022-05-15T04:24:00Z</dcterms:created>
  <dcterms:modified xsi:type="dcterms:W3CDTF">2022-05-15T15:09:00Z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