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B3A5C"/>
          <w:sz w:val="34"/>
          <w:szCs w:val="34"/>
        </w:rPr>
        <w:t xml:space="preserve">EXECUTIVE SUMMARY</w:t>
      </w:r>
    </w:p>
    <w:p>
      <w:pPr>
        <w:spacing w:after="30"/>
        <w:jc w:val="center"/>
      </w:pPr>
      <w:r>
        <w:rPr>
          <w:rFonts w:ascii="Arial" w:cs="Arial" w:eastAsia="Arial" w:hAnsi="Arial"/>
          <w:color w:val="555555"/>
          <w:sz w:val="20"/>
          <w:szCs w:val="20"/>
        </w:rPr>
        <w:t xml:space="preserve">Comprehensive Bill of Materials — 100 Building Configurations</w:t>
      </w:r>
    </w:p>
    <w:p>
      <w:pPr>
        <w:spacing w:after="180"/>
        <w:jc w:val="center"/>
      </w:pPr>
      <w:r>
        <w:rPr>
          <w:rFonts w:ascii="Arial" w:cs="Arial" w:eastAsia="Arial" w:hAnsi="Arial"/>
          <w:i/>
          <w:iCs/>
          <w:color w:val="888888"/>
          <w:sz w:val="17"/>
          <w:szCs w:val="17"/>
        </w:rPr>
        <w:t xml:space="preserve">February 2026  |  Prepared for Burnett Customs, LLC</w:t>
      </w:r>
    </w:p>
    <w:p>
      <w:pPr>
        <w:pStyle w:val="Heading1"/>
      </w:pPr>
      <w:r>
        <w:rPr>
          <w:rFonts w:ascii="Arial" w:cs="Arial" w:eastAsia="Arial" w:hAnsi="Arial"/>
          <w:b/>
          <w:bCs/>
          <w:color w:val="1B3A5C"/>
          <w:sz w:val="26"/>
          <w:szCs w:val="26"/>
        </w:rPr>
        <w:t xml:space="preserve">Project Scope</w:t>
      </w:r>
    </w:p>
    <w:p>
      <w:pPr>
        <w:spacing w:after="140" w:before="0" w:line="264"/>
        <w:jc w:val="left"/>
      </w:pPr>
      <w:r>
        <w:rPr>
          <w:rFonts w:ascii="Arial" w:cs="Arial" w:eastAsia="Arial" w:hAnsi="Arial"/>
          <w:color w:val="333333"/>
          <w:sz w:val="19"/>
          <w:szCs w:val="19"/>
        </w:rPr>
        <w:t xml:space="preserve">This deliverable contains </w:t>
      </w:r>
      <w:r>
        <w:rPr>
          <w:rFonts w:ascii="Arial" w:cs="Arial" w:eastAsia="Arial" w:hAnsi="Arial"/>
          <w:b/>
          <w:bCs/>
          <w:color w:val="1B3A5C"/>
          <w:sz w:val="19"/>
          <w:szCs w:val="19"/>
        </w:rPr>
        <w:t xml:space="preserve">100 individual Bills of Materials</w:t>
      </w:r>
      <w:r>
        <w:rPr>
          <w:rFonts w:ascii="Arial" w:cs="Arial" w:eastAsia="Arial" w:hAnsi="Arial"/>
          <w:color w:val="333333"/>
          <w:sz w:val="19"/>
          <w:szCs w:val="19"/>
        </w:rPr>
        <w:t xml:space="preserve"> covering every standard building configuration offered by 13|7 FrameWorks. The BOMs span </w:t>
      </w:r>
      <w:r>
        <w:rPr>
          <w:rFonts w:ascii="Arial" w:cs="Arial" w:eastAsia="Arial" w:hAnsi="Arial"/>
          <w:b/>
          <w:bCs/>
          <w:color w:val="333333"/>
          <w:sz w:val="19"/>
          <w:szCs w:val="19"/>
        </w:rPr>
        <w:t xml:space="preserve">2 construction types</w:t>
      </w:r>
      <w:r>
        <w:rPr>
          <w:rFonts w:ascii="Arial" w:cs="Arial" w:eastAsia="Arial" w:hAnsi="Arial"/>
          <w:color w:val="333333"/>
          <w:sz w:val="19"/>
          <w:szCs w:val="19"/>
        </w:rPr>
        <w:t xml:space="preserve"> (Pole Barn weld-up and I-Beam rigid frame), </w:t>
      </w:r>
      <w:r>
        <w:rPr>
          <w:rFonts w:ascii="Arial" w:cs="Arial" w:eastAsia="Arial" w:hAnsi="Arial"/>
          <w:b/>
          <w:bCs/>
          <w:color w:val="333333"/>
          <w:sz w:val="19"/>
          <w:szCs w:val="19"/>
        </w:rPr>
        <w:t xml:space="preserve">10 building sizes</w:t>
      </w:r>
      <w:r>
        <w:rPr>
          <w:rFonts w:ascii="Arial" w:cs="Arial" w:eastAsia="Arial" w:hAnsi="Arial"/>
          <w:color w:val="333333"/>
          <w:sz w:val="19"/>
          <w:szCs w:val="19"/>
        </w:rPr>
        <w:t xml:space="preserve"> (1,200 to 6,000 sq ft), and </w:t>
      </w:r>
      <w:r>
        <w:rPr>
          <w:rFonts w:ascii="Arial" w:cs="Arial" w:eastAsia="Arial" w:hAnsi="Arial"/>
          <w:b/>
          <w:bCs/>
          <w:color w:val="333333"/>
          <w:sz w:val="19"/>
          <w:szCs w:val="19"/>
        </w:rPr>
        <w:t xml:space="preserve">5 eave heights</w:t>
      </w:r>
      <w:r>
        <w:rPr>
          <w:rFonts w:ascii="Arial" w:cs="Arial" w:eastAsia="Arial" w:hAnsi="Arial"/>
          <w:color w:val="333333"/>
          <w:sz w:val="19"/>
          <w:szCs w:val="19"/>
        </w:rPr>
        <w:t xml:space="preserve"> (10’, 12’, 14’, 16’, and 20’). All configurations are shell-only packages at 3:12 roof pitch, with material quantities calculated to pass a Texas municipal building inspection. Each BOM carries the company’s target 45% gross margin uniformly across all line items.</w:t>
      </w:r>
    </w:p>
    <w:p>
      <w:pPr>
        <w:spacing w:after="140" w:before="0" w:line="264"/>
        <w:jc w:val="left"/>
      </w:pPr>
      <w:r>
        <w:rPr>
          <w:rFonts w:ascii="Arial" w:cs="Arial" w:eastAsia="Arial" w:hAnsi="Arial"/>
          <w:color w:val="333333"/>
          <w:sz w:val="19"/>
          <w:szCs w:val="19"/>
        </w:rPr>
        <w:t xml:space="preserve">The 100 BOMs are organized into </w:t>
      </w:r>
      <w:r>
        <w:rPr>
          <w:rFonts w:ascii="Arial" w:cs="Arial" w:eastAsia="Arial" w:hAnsi="Arial"/>
          <w:b/>
          <w:bCs/>
          <w:color w:val="333333"/>
          <w:sz w:val="19"/>
          <w:szCs w:val="19"/>
        </w:rPr>
        <w:t xml:space="preserve">10 Excel workbooks</w:t>
      </w:r>
      <w:r>
        <w:rPr>
          <w:rFonts w:ascii="Arial" w:cs="Arial" w:eastAsia="Arial" w:hAnsi="Arial"/>
          <w:color w:val="333333"/>
          <w:sz w:val="19"/>
          <w:szCs w:val="19"/>
        </w:rPr>
        <w:t xml:space="preserve"> (one per building size), each containing 10 tabs—five Pole Barn heights and five I-Beam heights—plus a Summary tab. Across all files, </w:t>
      </w:r>
      <w:r>
        <w:rPr>
          <w:rFonts w:ascii="Arial" w:cs="Arial" w:eastAsia="Arial" w:hAnsi="Arial"/>
          <w:b/>
          <w:bCs/>
          <w:color w:val="333333"/>
          <w:sz w:val="19"/>
          <w:szCs w:val="19"/>
        </w:rPr>
        <w:t xml:space="preserve">12,600 live Excel formulas</w:t>
      </w:r>
      <w:r>
        <w:rPr>
          <w:rFonts w:ascii="Arial" w:cs="Arial" w:eastAsia="Arial" w:hAnsi="Arial"/>
          <w:color w:val="333333"/>
          <w:sz w:val="19"/>
          <w:szCs w:val="19"/>
        </w:rPr>
        <w:t xml:space="preserve"> drive every cost, selling price, and margin calculation, ensuring the spreadsheets update dynamically if any unit cost is changed.</w:t>
      </w:r>
    </w:p>
    <w:p>
      <w:pPr>
        <w:pStyle w:val="Heading1"/>
      </w:pPr>
      <w:r>
        <w:rPr>
          <w:rFonts w:ascii="Arial" w:cs="Arial" w:eastAsia="Arial" w:hAnsi="Arial"/>
          <w:b/>
          <w:bCs/>
          <w:color w:val="1B3A5C"/>
          <w:sz w:val="26"/>
          <w:szCs w:val="26"/>
        </w:rPr>
        <w:t xml:space="preserve">Key Findings</w:t>
      </w:r>
    </w:p>
    <w:p>
      <w:pPr>
        <w:pStyle w:val="Heading2"/>
      </w:pPr>
      <w:r>
        <w:rPr>
          <w:rFonts w:ascii="Arial" w:cs="Arial" w:eastAsia="Arial" w:hAnsi="Arial"/>
          <w:b/>
          <w:bCs/>
          <w:color w:val="1B3A5C"/>
          <w:sz w:val="22"/>
          <w:szCs w:val="22"/>
        </w:rPr>
        <w:t xml:space="preserve">Height Is the Dominant Cost Driver</w:t>
      </w:r>
    </w:p>
    <w:p>
      <w:pPr>
        <w:spacing w:after="140" w:before="0" w:line="264"/>
        <w:jc w:val="left"/>
      </w:pPr>
      <w:r>
        <w:rPr>
          <w:rFonts w:ascii="Arial" w:cs="Arial" w:eastAsia="Arial" w:hAnsi="Arial"/>
          <w:color w:val="333333"/>
          <w:sz w:val="19"/>
          <w:szCs w:val="19"/>
        </w:rPr>
        <w:t xml:space="preserve">Moving from a 10’ to a 20’ eave height increases material cost by </w:t>
      </w:r>
      <w:r>
        <w:rPr>
          <w:rFonts w:ascii="Arial" w:cs="Arial" w:eastAsia="Arial" w:hAnsi="Arial"/>
          <w:b/>
          <w:bCs/>
          <w:color w:val="1B3A5C"/>
          <w:sz w:val="19"/>
          <w:szCs w:val="19"/>
        </w:rPr>
        <w:t xml:space="preserve">43–78%</w:t>
      </w:r>
      <w:r>
        <w:rPr>
          <w:rFonts w:ascii="Arial" w:cs="Arial" w:eastAsia="Arial" w:hAnsi="Arial"/>
          <w:color w:val="333333"/>
          <w:sz w:val="19"/>
          <w:szCs w:val="19"/>
        </w:rPr>
        <w:t xml:space="preserve"> depending on building size and type. Smaller buildings see the largest percentage increase because the height-driven components (taller posts, additional girt rows, taller wall panels, portal bracing, fly braces) represent a larger share of total cost. At 14’+ eave height, the BOM expands from 28 to 30 line items with the addition of fly braces and sag rods. At 16’+, it grows to 32 items with portal frame bracing kits and DTI washers for wind resistance.</w:t>
      </w:r>
    </w:p>
    <w:p>
      <w:pPr>
        <w:pStyle w:val="Heading2"/>
        <w:spacing w:before="80"/>
      </w:pPr>
      <w:r>
        <w:rPr>
          <w:rFonts w:ascii="Arial" w:cs="Arial" w:eastAsia="Arial" w:hAnsi="Arial"/>
          <w:b/>
          <w:bCs/>
          <w:color w:val="1B3A5C"/>
          <w:sz w:val="20"/>
          <w:szCs w:val="20"/>
        </w:rPr>
        <w:t xml:space="preserve">Cost Impact: 10’ vs. 20’ Eave Height (Internal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50"/>
        <w:gridCol w:w="750"/>
        <w:gridCol w:w="1150"/>
        <w:gridCol w:w="1150"/>
        <w:gridCol w:w="810"/>
        <w:gridCol w:w="1150"/>
        <w:gridCol w:w="1150"/>
        <w:gridCol w:w="810"/>
      </w:tblGrid>
      <w:tr>
        <w:tc>
          <w:tcPr>
            <w:tcW w:type="dxa" w:w="10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Size</w:t>
            </w:r>
          </w:p>
        </w:tc>
        <w:tc>
          <w:tcPr>
            <w:tcW w:type="dxa" w:w="7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Sq Ft</w:t>
            </w:r>
          </w:p>
        </w:tc>
        <w:tc>
          <w:tcPr>
            <w:tcW w:type="dxa" w:w="11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10’</w:t>
            </w:r>
          </w:p>
        </w:tc>
        <w:tc>
          <w:tcPr>
            <w:tcW w:type="dxa" w:w="11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20’</w:t>
            </w:r>
          </w:p>
        </w:tc>
        <w:tc>
          <w:tcPr>
            <w:tcW w:type="dxa" w:w="81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Δ</w:t>
            </w:r>
          </w:p>
        </w:tc>
        <w:tc>
          <w:tcPr>
            <w:tcW w:type="dxa" w:w="11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IB 10’</w:t>
            </w:r>
          </w:p>
        </w:tc>
        <w:tc>
          <w:tcPr>
            <w:tcW w:type="dxa" w:w="115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IB 20’</w:t>
            </w:r>
          </w:p>
        </w:tc>
        <w:tc>
          <w:tcPr>
            <w:tcW w:type="dxa" w:w="81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IB Δ</w:t>
            </w:r>
          </w:p>
        </w:tc>
      </w:tr>
      <w:tr>
        <w:tc>
          <w:tcPr>
            <w:tcW w:type="dxa" w:w="10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30'×40'</w:t>
            </w:r>
          </w:p>
        </w:tc>
        <w:tc>
          <w:tcPr>
            <w:tcW w:type="dxa" w:w="7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1,200</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$10,382</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$17,292</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+67%</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$10,192</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$18,097</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+78%</w:t>
            </w:r>
          </w:p>
        </w:tc>
      </w:tr>
      <w:tr>
        <w:tc>
          <w:tcPr>
            <w:tcW w:type="dxa" w:w="10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30'×50'</w:t>
            </w:r>
          </w:p>
        </w:tc>
        <w:tc>
          <w:tcPr>
            <w:tcW w:type="dxa" w:w="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1,500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$12,426</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$20,371</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+64%</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$12,093</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$21,200</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+75%</w:t>
            </w:r>
          </w:p>
        </w:tc>
      </w:tr>
      <w:tr>
        <w:tc>
          <w:tcPr>
            <w:tcW w:type="dxa" w:w="10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40'×40'</w:t>
            </w:r>
          </w:p>
        </w:tc>
        <w:tc>
          <w:tcPr>
            <w:tcW w:type="dxa" w:w="7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1,600</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$12,739</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$20,477</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+61%</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$12,099</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$20,697</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+71%</w:t>
            </w:r>
          </w:p>
        </w:tc>
      </w:tr>
      <w:tr>
        <w:tc>
          <w:tcPr>
            <w:tcW w:type="dxa" w:w="10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40'×50'</w:t>
            </w:r>
          </w:p>
        </w:tc>
        <w:tc>
          <w:tcPr>
            <w:tcW w:type="dxa" w:w="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2,000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$15,203</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$24,030</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+58%</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$14,285</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$24,099</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+69%</w:t>
            </w:r>
          </w:p>
        </w:tc>
      </w:tr>
      <w:tr>
        <w:tc>
          <w:tcPr>
            <w:tcW w:type="dxa" w:w="10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40'×60'</w:t>
            </w:r>
          </w:p>
        </w:tc>
        <w:tc>
          <w:tcPr>
            <w:tcW w:type="dxa" w:w="7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2,400</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$17,353</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$27,198</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+57%</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$16,307</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$27,311</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+67%</w:t>
            </w:r>
          </w:p>
        </w:tc>
      </w:tr>
      <w:tr>
        <w:tc>
          <w:tcPr>
            <w:tcW w:type="dxa" w:w="10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50'×50'</w:t>
            </w:r>
          </w:p>
        </w:tc>
        <w:tc>
          <w:tcPr>
            <w:tcW w:type="dxa" w:w="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2,500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$19,113</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$29,052</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+52%</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$17,220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$27,854</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+62%</w:t>
            </w:r>
          </w:p>
        </w:tc>
      </w:tr>
      <w:tr>
        <w:tc>
          <w:tcPr>
            <w:tcW w:type="dxa" w:w="10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50'×60'</w:t>
            </w:r>
          </w:p>
        </w:tc>
        <w:tc>
          <w:tcPr>
            <w:tcW w:type="dxa" w:w="7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3,000</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$21,813</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$32,861</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+51%</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$19,642</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$31,511</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+60%</w:t>
            </w:r>
          </w:p>
        </w:tc>
      </w:tr>
      <w:tr>
        <w:tc>
          <w:tcPr>
            <w:tcW w:type="dxa" w:w="10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50'×80'</w:t>
            </w:r>
          </w:p>
        </w:tc>
        <w:tc>
          <w:tcPr>
            <w:tcW w:type="dxa" w:w="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4,000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$27,832</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$41,214</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+48%</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$24,880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$39,270</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+58%</w:t>
            </w:r>
          </w:p>
        </w:tc>
      </w:tr>
      <w:tr>
        <w:tc>
          <w:tcPr>
            <w:tcW w:type="dxa" w:w="10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60'×60'</w:t>
            </w:r>
          </w:p>
        </w:tc>
        <w:tc>
          <w:tcPr>
            <w:tcW w:type="dxa" w:w="7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3,600</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$25,788</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$38,004</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+47%</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$22,492</w:t>
            </w:r>
          </w:p>
        </w:tc>
        <w:tc>
          <w:tcPr>
            <w:tcW w:type="dxa" w:w="115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$35,192</w:t>
            </w:r>
          </w:p>
        </w:tc>
        <w:tc>
          <w:tcPr>
            <w:tcW w:type="dxa" w:w="81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+56%</w:t>
            </w:r>
          </w:p>
        </w:tc>
      </w:tr>
      <w:tr>
        <w:tc>
          <w:tcPr>
            <w:tcW w:type="dxa" w:w="10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60'×100'</w:t>
            </w:r>
          </w:p>
        </w:tc>
        <w:tc>
          <w:tcPr>
            <w:tcW w:type="dxa" w:w="7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6,000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$40,120</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$57,487</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+43%</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$34,512</w:t>
            </w:r>
          </w:p>
        </w:tc>
        <w:tc>
          <w:tcPr>
            <w:tcW w:type="dxa" w:w="115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$52,511</w:t>
            </w:r>
          </w:p>
        </w:tc>
        <w:tc>
          <w:tcPr>
            <w:tcW w:type="dxa" w:w="81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+52%</w:t>
            </w:r>
          </w:p>
        </w:tc>
      </w:tr>
    </w:tbl>
    <w:p>
      <w:r>
        <w:br w:type="page"/>
      </w:r>
    </w:p>
    <w:p>
      <w:pPr>
        <w:pStyle w:val="Heading1"/>
      </w:pPr>
      <w:r>
        <w:rPr>
          <w:rFonts w:ascii="Arial" w:cs="Arial" w:eastAsia="Arial" w:hAnsi="Arial"/>
          <w:b/>
          <w:bCs/>
          <w:color w:val="1B3A5C"/>
          <w:sz w:val="26"/>
          <w:szCs w:val="26"/>
        </w:rPr>
        <w:t xml:space="preserve">Pole Barn vs. I-Beam: The Gap Narrows at Height</w:t>
      </w:r>
    </w:p>
    <w:p>
      <w:pPr>
        <w:spacing w:after="140" w:before="0" w:line="264"/>
        <w:jc w:val="left"/>
      </w:pPr>
      <w:r>
        <w:rPr>
          <w:rFonts w:ascii="Arial" w:cs="Arial" w:eastAsia="Arial" w:hAnsi="Arial"/>
          <w:color w:val="333333"/>
          <w:sz w:val="19"/>
          <w:szCs w:val="19"/>
        </w:rPr>
        <w:t xml:space="preserve">At 10’ eave height, Pole Barn material costs run </w:t>
      </w:r>
      <w:r>
        <w:rPr>
          <w:rFonts w:ascii="Arial" w:cs="Arial" w:eastAsia="Arial" w:hAnsi="Arial"/>
          <w:b/>
          <w:bCs/>
          <w:color w:val="333333"/>
          <w:sz w:val="19"/>
          <w:szCs w:val="19"/>
        </w:rPr>
        <w:t xml:space="preserve">10.4% higher</w:t>
      </w:r>
      <w:r>
        <w:rPr>
          <w:rFonts w:ascii="Arial" w:cs="Arial" w:eastAsia="Arial" w:hAnsi="Arial"/>
          <w:color w:val="333333"/>
          <w:sz w:val="19"/>
          <w:szCs w:val="19"/>
        </w:rPr>
        <w:t xml:space="preserve"> than I-Beam across all sizes. This gap steadily closes as buildings get taller—at 20’, the premium drops to just </w:t>
      </w:r>
      <w:r>
        <w:rPr>
          <w:rFonts w:ascii="Arial" w:cs="Arial" w:eastAsia="Arial" w:hAnsi="Arial"/>
          <w:b/>
          <w:bCs/>
          <w:color w:val="1B3A5C"/>
          <w:sz w:val="19"/>
          <w:szCs w:val="19"/>
        </w:rPr>
        <w:t xml:space="preserve">3.4%</w:t>
      </w:r>
      <w:r>
        <w:rPr>
          <w:rFonts w:ascii="Arial" w:cs="Arial" w:eastAsia="Arial" w:hAnsi="Arial"/>
          <w:color w:val="333333"/>
          <w:sz w:val="19"/>
          <w:szCs w:val="19"/>
        </w:rPr>
        <w:t xml:space="preserve">. The convergence happens because I-Beam’s heavier structural steel (W-shapes vs. 4” tube) becomes proportionally more expensive at taller heights, requiring upgrades from W6×20 to W10×33 columns. Meanwhile, both types share identical panel, purlin, and trim costs which dominate total material spend on taller builds.</w:t>
      </w:r>
    </w:p>
    <w:p>
      <w:pPr>
        <w:pStyle w:val="Heading2"/>
        <w:spacing w:before="80"/>
      </w:pPr>
      <w:r>
        <w:rPr>
          <w:rFonts w:ascii="Arial" w:cs="Arial" w:eastAsia="Arial" w:hAnsi="Arial"/>
          <w:b/>
          <w:bCs/>
          <w:color w:val="1B3A5C"/>
          <w:sz w:val="20"/>
          <w:szCs w:val="20"/>
        </w:rPr>
        <w:t xml:space="preserve">Aggregate Cost Across All 10 Sizes, by Height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400"/>
        <w:gridCol w:w="1500"/>
        <w:gridCol w:w="1500"/>
      </w:tblGrid>
      <w:tr>
        <w:tc>
          <w:tcPr>
            <w:tcW w:type="dxa" w:w="14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Height</w:t>
            </w:r>
          </w:p>
        </w:tc>
        <w:tc>
          <w:tcPr>
            <w:tcW w:type="dxa" w:w="15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Cost</w:t>
            </w:r>
          </w:p>
        </w:tc>
        <w:tc>
          <w:tcPr>
            <w:tcW w:type="dxa" w:w="15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Sell</w:t>
            </w:r>
          </w:p>
        </w:tc>
        <w:tc>
          <w:tcPr>
            <w:tcW w:type="dxa" w:w="14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IB Cost</w:t>
            </w:r>
          </w:p>
        </w:tc>
        <w:tc>
          <w:tcPr>
            <w:tcW w:type="dxa" w:w="15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IB Sell</w:t>
            </w:r>
          </w:p>
        </w:tc>
        <w:tc>
          <w:tcPr>
            <w:tcW w:type="dxa" w:w="1500"/>
            <w:tcBorders>
              <w:top w:val="single" w:color="B0B0B0" w:sz="1"/>
              <w:left w:val="single" w:color="B0B0B0" w:sz="1"/>
              <w:bottom w:val="single" w:color="B0B0B0" w:sz="1"/>
              <w:right w:val="single" w:color="B0B0B0" w:sz="1"/>
            </w:tcBorders>
            <w:shd w:fill="1B3A5C" w:val="clear"/>
            <w:tcMar>
              <w:top w:type="dxa" w:w="50"/>
              <w:left w:type="dxa" w:w="100"/>
              <w:bottom w:type="dxa" w:w="50"/>
              <w:right w:type="dxa" w:w="100"/>
            </w:tcMar>
          </w:tcPr>
          <w:p>
            <w:pPr>
              <w:jc w:val="center"/>
            </w:pPr>
            <w:r>
              <w:rPr>
                <w:rFonts w:ascii="Arial" w:cs="Arial" w:eastAsia="Arial" w:hAnsi="Arial"/>
                <w:b/>
                <w:bCs/>
                <w:color w:val="FFFFFF"/>
                <w:sz w:val="16"/>
                <w:szCs w:val="16"/>
              </w:rPr>
              <w:t xml:space="preserve">PB Premium</w:t>
            </w:r>
          </w:p>
        </w:tc>
      </w:tr>
      <w:tr>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10' Eave</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$202,769</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$368,675</w:t>
            </w:r>
          </w:p>
        </w:tc>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$183,722</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$334,044</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10.4%</w:t>
            </w:r>
          </w:p>
        </w:tc>
      </w:tr>
      <w:tr>
        <w:tc>
          <w:tcPr>
            <w:tcW w:type="dxa" w:w="1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12' Eave</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$219,338</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$398,800</w:t>
            </w:r>
          </w:p>
        </w:tc>
        <w:tc>
          <w:tcPr>
            <w:tcW w:type="dxa" w:w="1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$202,775</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$368,684</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8.2%</w:t>
            </w:r>
          </w:p>
        </w:tc>
      </w:tr>
      <w:tr>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14' Eave</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$230,451</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$419,002</w:t>
            </w:r>
          </w:p>
        </w:tc>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$217,062</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$394,660</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6.2%</w:t>
            </w:r>
          </w:p>
        </w:tc>
      </w:tr>
      <w:tr>
        <w:tc>
          <w:tcPr>
            <w:tcW w:type="dxa" w:w="1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bCs/>
                <w:sz w:val="16"/>
                <w:szCs w:val="16"/>
              </w:rPr>
              <w:t xml:space="preserve">16' Eave</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$268,235</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$487,698</w:t>
            </w:r>
          </w:p>
        </w:tc>
        <w:tc>
          <w:tcPr>
            <w:tcW w:type="dxa" w:w="1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$254,071</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$461,951</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5.6%</w:t>
            </w:r>
          </w:p>
        </w:tc>
      </w:tr>
      <w:tr>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bCs/>
                <w:sz w:val="16"/>
                <w:szCs w:val="16"/>
              </w:rPr>
              <w:t xml:space="preserve">20' Eave</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$307,986</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$559,974</w:t>
            </w:r>
          </w:p>
        </w:tc>
        <w:tc>
          <w:tcPr>
            <w:tcW w:type="dxa" w:w="14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$297,742</w:t>
            </w:r>
          </w:p>
        </w:tc>
        <w:tc>
          <w:tcPr>
            <w:tcW w:type="dxa" w:w="1500"/>
            <w:tcBorders>
              <w:top w:val="single" w:color="B0B0B0" w:sz="1"/>
              <w:left w:val="single" w:color="B0B0B0" w:sz="1"/>
              <w:bottom w:val="single" w:color="B0B0B0" w:sz="1"/>
              <w:right w:val="single" w:color="B0B0B0" w:sz="1"/>
            </w:tcBorders>
            <w:shd w:fill="F2F7FB" w:val="clear"/>
            <w:tcMar>
              <w:top w:type="dxa" w:w="50"/>
              <w:left w:type="dxa" w:w="100"/>
              <w:bottom w:type="dxa" w:w="50"/>
              <w:right w:type="dxa" w:w="100"/>
            </w:tcMar>
          </w:tcPr>
          <w:p>
            <w:pPr>
              <w:jc w:val="center"/>
            </w:pPr>
            <w:r>
              <w:rPr>
                <w:rFonts w:ascii="Arial" w:cs="Arial" w:eastAsia="Arial" w:hAnsi="Arial"/>
                <w:b w:val="false"/>
                <w:bCs w:val="false"/>
                <w:sz w:val="16"/>
                <w:szCs w:val="16"/>
              </w:rPr>
              <w:t xml:space="preserve">$541,350</w:t>
            </w:r>
          </w:p>
        </w:tc>
        <w:tc>
          <w:tcPr>
            <w:tcW w:type="dxa" w:w="15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tcPr>
          <w:p>
            <w:pPr>
              <w:jc w:val="center"/>
            </w:pPr>
            <w:r>
              <w:rPr>
                <w:rFonts w:ascii="Arial" w:cs="Arial" w:eastAsia="Arial" w:hAnsi="Arial"/>
                <w:b/>
                <w:bCs/>
                <w:sz w:val="16"/>
                <w:szCs w:val="16"/>
              </w:rPr>
              <w:t xml:space="preserve">3.4%</w:t>
            </w:r>
          </w:p>
        </w:tc>
      </w:tr>
    </w:tbl>
    <w:p>
      <w:pPr>
        <w:pStyle w:val="Heading1"/>
        <w:spacing w:before="200"/>
      </w:pPr>
      <w:r>
        <w:rPr>
          <w:rFonts w:ascii="Arial" w:cs="Arial" w:eastAsia="Arial" w:hAnsi="Arial"/>
          <w:b/>
          <w:bCs/>
          <w:color w:val="1B3A5C"/>
          <w:sz w:val="26"/>
          <w:szCs w:val="26"/>
        </w:rPr>
        <w:t xml:space="preserve">What Changes at Each Height Tier</w:t>
      </w:r>
    </w:p>
    <w:p>
      <w:pPr>
        <w:spacing w:after="140" w:before="0" w:line="264"/>
        <w:jc w:val="left"/>
      </w:pPr>
      <w:r>
        <w:rPr>
          <w:rFonts w:ascii="Arial" w:cs="Arial" w:eastAsia="Arial" w:hAnsi="Arial"/>
          <w:b/>
          <w:bCs/>
          <w:color w:val="1B3A5C"/>
          <w:sz w:val="19"/>
          <w:szCs w:val="19"/>
        </w:rPr>
        <w:t xml:space="preserve">10’–12’ (28 items): </w:t>
      </w:r>
      <w:r>
        <w:rPr>
          <w:rFonts w:ascii="Arial" w:cs="Arial" w:eastAsia="Arial" w:hAnsi="Arial"/>
          <w:color w:val="333333"/>
          <w:sz w:val="19"/>
          <w:szCs w:val="19"/>
        </w:rPr>
        <w:t xml:space="preserve">Standard frame with longer posts, costlier post steel, and one additional wall girt row at 12’. All roof components, purlins, and trim remain unchanged. This is the most cost-effective height range.</w:t>
      </w:r>
    </w:p>
    <w:p>
      <w:pPr>
        <w:spacing w:after="140" w:before="0" w:line="264"/>
        <w:jc w:val="left"/>
      </w:pPr>
      <w:r>
        <w:rPr>
          <w:rFonts w:ascii="Arial" w:cs="Arial" w:eastAsia="Arial" w:hAnsi="Arial"/>
          <w:b/>
          <w:bCs/>
          <w:color w:val="1B3A5C"/>
          <w:sz w:val="19"/>
          <w:szCs w:val="19"/>
        </w:rPr>
        <w:t xml:space="preserve">14’ (30 items): </w:t>
      </w:r>
      <w:r>
        <w:rPr>
          <w:rFonts w:ascii="Arial" w:cs="Arial" w:eastAsia="Arial" w:hAnsi="Arial"/>
          <w:color w:val="333333"/>
          <w:sz w:val="19"/>
          <w:szCs w:val="19"/>
        </w:rPr>
        <w:t xml:space="preserve">Adds fly braces (knee braces at every frame for lateral stability) and flange brace sag rod sets (1 per bay). Posts upgrade to heavier wall thickness. Wall panels cost ~40% more than 10’ panels due to added length. Eave strut cost steps up.</w:t>
      </w:r>
    </w:p>
    <w:p>
      <w:pPr>
        <w:spacing w:after="140" w:before="0" w:line="264"/>
        <w:jc w:val="left"/>
      </w:pPr>
      <w:r>
        <w:rPr>
          <w:rFonts w:ascii="Arial" w:cs="Arial" w:eastAsia="Arial" w:hAnsi="Arial"/>
          <w:b/>
          <w:bCs/>
          <w:color w:val="1B3A5C"/>
          <w:sz w:val="19"/>
          <w:szCs w:val="19"/>
        </w:rPr>
        <w:t xml:space="preserve">16’–20’ (32 items): </w:t>
      </w:r>
      <w:r>
        <w:rPr>
          <w:rFonts w:ascii="Arial" w:cs="Arial" w:eastAsia="Arial" w:hAnsi="Arial"/>
          <w:color w:val="333333"/>
          <w:sz w:val="19"/>
          <w:szCs w:val="19"/>
        </w:rPr>
        <w:t xml:space="preserve">Adds portal frame bracing kits (critical for wind resistance on tall sidewalls in Texas) and DTI tension-indicating washers on all structural connections. Posts upgrade to 6” tube (Pole Barn) or W10 shapes (I-Beam). Wall girts upgrade from 4” to 6” C-sections. Cross bracing sets increase significantly. At 20’, fly braces double to 4 per frame.</w:t>
      </w:r>
    </w:p>
    <w:p>
      <w:pPr>
        <w:pStyle w:val="Heading1"/>
        <w:spacing w:before="200"/>
      </w:pPr>
      <w:r>
        <w:rPr>
          <w:rFonts w:ascii="Arial" w:cs="Arial" w:eastAsia="Arial" w:hAnsi="Arial"/>
          <w:b/>
          <w:bCs/>
          <w:color w:val="1B3A5C"/>
          <w:sz w:val="26"/>
          <w:szCs w:val="26"/>
        </w:rPr>
        <w:t xml:space="preserve">Recommendation</w:t>
      </w:r>
    </w:p>
    <w:p>
      <w:pPr>
        <w:spacing w:after="140" w:before="0" w:line="264"/>
        <w:jc w:val="left"/>
      </w:pPr>
      <w:r>
        <w:rPr>
          <w:rFonts w:ascii="Arial" w:cs="Arial" w:eastAsia="Arial" w:hAnsi="Arial"/>
          <w:color w:val="333333"/>
          <w:sz w:val="19"/>
          <w:szCs w:val="19"/>
        </w:rPr>
        <w:t xml:space="preserve">For customers comparing the two construction methods, the data supports a clear narrative: at standard 10–12’ eave heights, </w:t>
      </w:r>
      <w:r>
        <w:rPr>
          <w:rFonts w:ascii="Arial" w:cs="Arial" w:eastAsia="Arial" w:hAnsi="Arial"/>
          <w:b/>
          <w:bCs/>
          <w:color w:val="333333"/>
          <w:sz w:val="19"/>
          <w:szCs w:val="19"/>
        </w:rPr>
        <w:t xml:space="preserve">I-Beam offers a 8–10% material cost advantage</w:t>
      </w:r>
      <w:r>
        <w:rPr>
          <w:rFonts w:ascii="Arial" w:cs="Arial" w:eastAsia="Arial" w:hAnsi="Arial"/>
          <w:color w:val="333333"/>
          <w:sz w:val="19"/>
          <w:szCs w:val="19"/>
        </w:rPr>
        <w:t xml:space="preserve"> with superior clear-span capability. At taller heights (16–20’), </w:t>
      </w:r>
      <w:r>
        <w:rPr>
          <w:rFonts w:ascii="Arial" w:cs="Arial" w:eastAsia="Arial" w:hAnsi="Arial"/>
          <w:b/>
          <w:bCs/>
          <w:color w:val="333333"/>
          <w:sz w:val="19"/>
          <w:szCs w:val="19"/>
        </w:rPr>
        <w:t xml:space="preserve">the cost difference nearly disappears</w:t>
      </w:r>
      <w:r>
        <w:rPr>
          <w:rFonts w:ascii="Arial" w:cs="Arial" w:eastAsia="Arial" w:hAnsi="Arial"/>
          <w:color w:val="333333"/>
          <w:sz w:val="19"/>
          <w:szCs w:val="19"/>
        </w:rPr>
        <w:t xml:space="preserve"> while I-Beam retains its structural superiority for wind and snow loading. Pole Barn remains competitive on faster field assembly time and simpler foundation requirements. For pricing purposes, the height modifier in the estimator app ($0 at 10’, +$1,500 at 12’, +$3,500 at 14’, +$6,000 at 16’, +$12,000 at 20’) aligns directionally with the cost data, though large buildings at 20’ may warrant individual review.</w:t>
      </w:r>
    </w:p>
    <w:p>
      <w:pPr>
        <w:spacing w:before="240" w:after="0"/>
      </w:pPr>
      <w:r>
        <w:rPr>
          <w:rFonts w:ascii="Arial" w:cs="Arial" w:eastAsia="Arial" w:hAnsi="Arial"/>
          <w:b/>
          <w:bCs/>
          <w:i/>
          <w:iCs/>
          <w:color w:val="999999"/>
          <w:sz w:val="15"/>
          <w:szCs w:val="15"/>
        </w:rPr>
        <w:t xml:space="preserve">Note: </w:t>
      </w:r>
      <w:r>
        <w:rPr>
          <w:rFonts w:ascii="Arial" w:cs="Arial" w:eastAsia="Arial" w:hAnsi="Arial"/>
          <w:i/>
          <w:iCs/>
          <w:color w:val="999999"/>
          <w:sz w:val="15"/>
          <w:szCs w:val="15"/>
        </w:rPr>
        <w:t xml:space="preserve">All figures reflect shell-only material packages at 3:12 roof pitch. Costs exclude doors, windows, insulation, concrete, labor, delivery, and accessories. 28–32 line items per BOM depending on height tier. 12,600 formulas across 10 workbooks with 0 calculation errors. Target 45% gross margin applied uniformly.</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r>
      <w:rPr>
        <w:rFonts w:ascii="Arial" w:cs="Arial" w:eastAsia="Arial" w:hAnsi="Arial"/>
        <w:color w:val="999999"/>
        <w:sz w:val="15"/>
        <w:szCs w:val="15"/>
      </w:rPr>
      <w:t xml:space="preserve"> of </w:t>
    </w:r>
    <w:r>
      <w:rPr>
        <w:rFonts w:ascii="Arial" w:cs="Arial" w:eastAsia="Arial" w:hAnsi="Arial"/>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1B3A5C"/>
        <w:sz w:val="15"/>
        <w:szCs w:val="15"/>
      </w:rPr>
      <w:t xml:space="preserve">13|7 FrameWorks</w:t>
    </w:r>
    <w:r>
      <w:rPr>
        <w:rFonts w:ascii="Arial" w:cs="Arial" w:eastAsia="Arial" w:hAnsi="Arial"/>
        <w:color w:val="999999"/>
        <w:sz w:val="13"/>
        <w:szCs w:val="13"/>
      </w:rPr>
      <w:t xml:space="preserve">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100"/>
      <w:outlineLvl w:val="0"/>
    </w:pPr>
    <w:rPr>
      <w:rFonts w:ascii="Arial" w:cs="Arial" w:eastAsia="Arial" w:hAnsi="Arial"/>
      <w:b/>
      <w:bCs/>
      <w:color w:val="1B3A5C"/>
      <w:sz w:val="26"/>
      <w:szCs w:val="26"/>
    </w:rPr>
  </w:style>
  <w:style w:type="paragraph" w:styleId="Heading2">
    <w:name w:val="Heading 2"/>
    <w:basedOn w:val="Normal"/>
    <w:next w:val="Normal"/>
    <w:qFormat/>
    <w:pPr>
      <w:spacing w:before="140" w:after="8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2026-02-15T02:28:52.465Z</dcterms:created>
  <dcterms:modified xsi:type="dcterms:W3CDTF">2026-02-15T02:28:52.466Z</dcterms:modified>
</cp:coreProperties>
</file>

<file path=docProps/custom.xml><?xml version="1.0" encoding="utf-8"?>
<Properties xmlns="http://schemas.openxmlformats.org/officeDocument/2006/custom-properties" xmlns:vt="http://schemas.openxmlformats.org/officeDocument/2006/docPropsVTypes"/>
</file>