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48" w:rsidRDefault="00972448" w:rsidP="00972448">
      <w:pPr>
        <w:rPr>
          <w:u w:val="single"/>
        </w:rPr>
      </w:pPr>
      <w:r w:rsidRPr="00972448">
        <w:rPr>
          <w:u w:val="single"/>
        </w:rPr>
        <w:t>Task 1</w:t>
      </w:r>
    </w:p>
    <w:p w:rsidR="00972448" w:rsidRPr="00972448" w:rsidRDefault="00972448" w:rsidP="00972448">
      <w:pPr>
        <w:rPr>
          <w:u w:val="single"/>
        </w:rPr>
      </w:pPr>
    </w:p>
    <w:p w:rsidR="00972448" w:rsidRDefault="00972448" w:rsidP="00972448">
      <w:pPr>
        <w:pStyle w:val="ListParagraph"/>
        <w:numPr>
          <w:ilvl w:val="0"/>
          <w:numId w:val="7"/>
        </w:numPr>
      </w:pPr>
      <w:r>
        <w:t>Simulating SDE</w:t>
      </w:r>
    </w:p>
    <w:p w:rsidR="00972448" w:rsidRDefault="00972448" w:rsidP="00972448">
      <w:pPr>
        <w:pStyle w:val="ListParagraph"/>
        <w:ind w:left="1080"/>
      </w:pPr>
    </w:p>
    <w:p w:rsidR="00972448" w:rsidRDefault="00972448" w:rsidP="00972448">
      <w:pPr>
        <w:pStyle w:val="ListParagraph"/>
      </w:pPr>
      <w:r>
        <w:rPr>
          <w:noProof/>
        </w:rPr>
        <w:drawing>
          <wp:inline distT="0" distB="0" distL="0" distR="0">
            <wp:extent cx="4058217" cy="335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 q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48" w:rsidRDefault="00972448" w:rsidP="00972448">
      <w:pPr>
        <w:pStyle w:val="ListParagraph"/>
      </w:pPr>
    </w:p>
    <w:p w:rsidR="00972448" w:rsidRDefault="00972448" w:rsidP="00972448">
      <w:pPr>
        <w:pStyle w:val="ListParagraph"/>
      </w:pPr>
      <w:r>
        <w:t xml:space="preserve">From the diagram, we can see that the expectation value of </w:t>
      </w:r>
      <w:proofErr w:type="gramStart"/>
      <w:r>
        <w:t>S(</w:t>
      </w:r>
      <w:proofErr w:type="gramEnd"/>
      <w:r>
        <w:t xml:space="preserve">3) is 52.4642595165, the mean of S(3) is calculated using </w:t>
      </w:r>
      <w:proofErr w:type="spellStart"/>
      <w:r>
        <w:t>numpy</w:t>
      </w:r>
      <w:proofErr w:type="spellEnd"/>
      <w:r>
        <w:t xml:space="preserve"> function, which is </w:t>
      </w:r>
      <w:proofErr w:type="spellStart"/>
      <w:r>
        <w:t>np.mean</w:t>
      </w:r>
      <w:proofErr w:type="spellEnd"/>
      <w:r>
        <w:t>(</w:t>
      </w:r>
      <w:r w:rsidR="0056603F">
        <w:t>x)</w:t>
      </w:r>
      <w:r>
        <w:t xml:space="preserve">. Next, the variance of </w:t>
      </w:r>
      <w:proofErr w:type="gramStart"/>
      <w:r>
        <w:t>S(</w:t>
      </w:r>
      <w:proofErr w:type="gramEnd"/>
      <w:r>
        <w:t xml:space="preserve">3) is </w:t>
      </w:r>
      <w:r w:rsidR="0056603F">
        <w:t xml:space="preserve">615.616539826, it is </w:t>
      </w:r>
      <w:r>
        <w:t>c</w:t>
      </w:r>
      <w:r w:rsidR="0056603F">
        <w:t xml:space="preserve">alculated using </w:t>
      </w:r>
      <w:proofErr w:type="spellStart"/>
      <w:r w:rsidR="0056603F">
        <w:t>numpy</w:t>
      </w:r>
      <w:proofErr w:type="spellEnd"/>
      <w:r w:rsidR="0056603F">
        <w:t xml:space="preserve"> function, </w:t>
      </w:r>
      <w:proofErr w:type="spellStart"/>
      <w:r w:rsidR="0056603F">
        <w:t>np.var</w:t>
      </w:r>
      <w:proofErr w:type="spellEnd"/>
      <w:r w:rsidR="0056603F">
        <w:t>(x).</w:t>
      </w:r>
      <w:r w:rsidR="003A1437">
        <w:t xml:space="preserve"> Mask is used in the case that stock price at time 3 is greater than 39, the probability of stock price at time 3 is greater than 39 is calculated using total sum of mask divide by total length of mask</w:t>
      </w:r>
      <w:r w:rsidR="00717D49">
        <w:t xml:space="preserve"> which the probability is 0.664</w:t>
      </w:r>
      <w:r w:rsidR="003A1437">
        <w:t>. Then, I calculate the pro</w:t>
      </w:r>
      <w:r w:rsidR="00153A46">
        <w:t>d</w:t>
      </w:r>
      <w:r w:rsidR="003A1437">
        <w:t xml:space="preserve">uct of </w:t>
      </w:r>
      <w:r w:rsidR="00153A46">
        <w:t>stock price at time 3 with mask to get the stock price at time 3 which is greater than 39 and use the total sum of all the values divide by total sum of mask to get the conditional expectatio</w:t>
      </w:r>
      <w:r w:rsidR="00717D49">
        <w:t>n of stock price at time 3 that</w:t>
      </w:r>
      <w:r w:rsidR="00153A46">
        <w:t xml:space="preserve"> greater than 39</w:t>
      </w:r>
      <w:r w:rsidR="00717D49">
        <w:t xml:space="preserve"> which the conditional expectation value is 64.0325100729</w:t>
      </w:r>
      <w:r w:rsidR="00153A46">
        <w:t>.</w:t>
      </w:r>
    </w:p>
    <w:p w:rsidR="00C162EE" w:rsidRDefault="00C162EE" w:rsidP="00972448">
      <w:pPr>
        <w:pStyle w:val="ListParagraph"/>
      </w:pPr>
    </w:p>
    <w:p w:rsidR="00C162EE" w:rsidRDefault="00C162EE" w:rsidP="00972448">
      <w:pPr>
        <w:pStyle w:val="ListParagraph"/>
      </w:pPr>
    </w:p>
    <w:p w:rsidR="00C162EE" w:rsidRDefault="00C162EE" w:rsidP="00972448">
      <w:pPr>
        <w:pStyle w:val="ListParagraph"/>
      </w:pPr>
    </w:p>
    <w:p w:rsidR="00C162EE" w:rsidRDefault="00C162EE" w:rsidP="00972448">
      <w:pPr>
        <w:pStyle w:val="ListParagraph"/>
      </w:pPr>
    </w:p>
    <w:p w:rsidR="00C162EE" w:rsidRDefault="00C162EE" w:rsidP="00972448">
      <w:pPr>
        <w:pStyle w:val="ListParagraph"/>
      </w:pPr>
    </w:p>
    <w:p w:rsidR="00C162EE" w:rsidRDefault="00C162EE" w:rsidP="00972448">
      <w:pPr>
        <w:pStyle w:val="ListParagraph"/>
      </w:pPr>
    </w:p>
    <w:p w:rsidR="00C162EE" w:rsidRDefault="00C162EE" w:rsidP="00972448">
      <w:pPr>
        <w:pStyle w:val="ListParagraph"/>
      </w:pPr>
    </w:p>
    <w:p w:rsidR="00C162EE" w:rsidRDefault="00C162EE" w:rsidP="00972448">
      <w:pPr>
        <w:pStyle w:val="ListParagraph"/>
      </w:pPr>
    </w:p>
    <w:p w:rsidR="00C162EE" w:rsidRDefault="00C162EE" w:rsidP="00972448">
      <w:pPr>
        <w:pStyle w:val="ListParagraph"/>
      </w:pPr>
    </w:p>
    <w:p w:rsidR="00C162EE" w:rsidRDefault="00C162EE" w:rsidP="00972448">
      <w:pPr>
        <w:pStyle w:val="ListParagraph"/>
        <w:rPr>
          <w:b/>
          <w:u w:val="single"/>
        </w:rPr>
      </w:pPr>
      <w:r w:rsidRPr="00C162EE">
        <w:rPr>
          <w:b/>
          <w:u w:val="single"/>
        </w:rPr>
        <w:lastRenderedPageBreak/>
        <w:t xml:space="preserve">Calculation for expected value of </w:t>
      </w:r>
      <w:proofErr w:type="gramStart"/>
      <w:r w:rsidRPr="00C162EE">
        <w:rPr>
          <w:b/>
          <w:u w:val="single"/>
        </w:rPr>
        <w:t>S(</w:t>
      </w:r>
      <w:proofErr w:type="gramEnd"/>
      <w:r w:rsidRPr="00C162EE">
        <w:rPr>
          <w:b/>
          <w:u w:val="single"/>
        </w:rPr>
        <w:t>3), variance of S(3), P[S(3)&gt;39] and E[S(3) | S(3) &gt; 39]</w:t>
      </w:r>
      <w:r>
        <w:rPr>
          <w:b/>
          <w:u w:val="single"/>
        </w:rPr>
        <w:t xml:space="preserve"> simulations.</w:t>
      </w:r>
    </w:p>
    <w:p w:rsidR="00C162EE" w:rsidRPr="00C162EE" w:rsidRDefault="00C162EE" w:rsidP="00972448">
      <w:pPr>
        <w:pStyle w:val="ListParagraph"/>
        <w:rPr>
          <w:b/>
          <w:u w:val="single"/>
        </w:rPr>
      </w:pPr>
    </w:p>
    <w:p w:rsidR="00153A46" w:rsidRDefault="00C162EE" w:rsidP="00972448">
      <w:pPr>
        <w:pStyle w:val="ListParagraph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334745" cy="591585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46" w:rsidRDefault="00153A46" w:rsidP="00153A46">
      <w:pPr>
        <w:pStyle w:val="ListParagraph"/>
        <w:ind w:left="1080"/>
      </w:pPr>
    </w:p>
    <w:p w:rsidR="00153A46" w:rsidRDefault="00153A46" w:rsidP="00153A46">
      <w:pPr>
        <w:ind w:left="720"/>
      </w:pPr>
    </w:p>
    <w:p w:rsidR="00153A46" w:rsidRDefault="00153A46" w:rsidP="00153A46">
      <w:pPr>
        <w:ind w:left="720"/>
      </w:pPr>
    </w:p>
    <w:p w:rsidR="00153A46" w:rsidRDefault="00153A46" w:rsidP="00153A46"/>
    <w:p w:rsidR="00153A46" w:rsidRDefault="00153A46" w:rsidP="00153A46"/>
    <w:p w:rsidR="00153A46" w:rsidRDefault="00153A46" w:rsidP="00153A46"/>
    <w:p w:rsidR="00153A46" w:rsidRDefault="00153A46" w:rsidP="00153A46">
      <w:pPr>
        <w:pStyle w:val="ListParagraph"/>
        <w:numPr>
          <w:ilvl w:val="0"/>
          <w:numId w:val="7"/>
        </w:numPr>
      </w:pPr>
      <w:r>
        <w:t>Simulating mean reversal process</w:t>
      </w:r>
    </w:p>
    <w:p w:rsidR="00CD3F95" w:rsidRDefault="00CD3F95" w:rsidP="00CD3F95">
      <w:pPr>
        <w:pStyle w:val="ListParagraph"/>
        <w:ind w:left="1080"/>
      </w:pPr>
    </w:p>
    <w:p w:rsidR="00CD3F95" w:rsidRDefault="00CD3F95" w:rsidP="00CD3F95">
      <w:pPr>
        <w:pStyle w:val="ListParagraph"/>
        <w:ind w:left="1080"/>
      </w:pPr>
    </w:p>
    <w:p w:rsidR="00CD3F95" w:rsidRDefault="00CD3F95" w:rsidP="00CD3F95">
      <w:pPr>
        <w:pStyle w:val="ListParagraph"/>
        <w:ind w:left="1080"/>
      </w:pPr>
      <w:r>
        <w:t xml:space="preserve">Alpha, theta, sigma and initial value of R </w:t>
      </w:r>
      <w:proofErr w:type="gramStart"/>
      <w:r>
        <w:t>is</w:t>
      </w:r>
      <w:proofErr w:type="gramEnd"/>
      <w:r>
        <w:t xml:space="preserve"> declared at beginning. Then, array is computed using </w:t>
      </w:r>
      <w:proofErr w:type="spellStart"/>
      <w:r>
        <w:t>pylab</w:t>
      </w:r>
      <w:proofErr w:type="spellEnd"/>
      <w:r>
        <w:t xml:space="preserve"> </w:t>
      </w:r>
      <w:proofErr w:type="spellStart"/>
      <w:r>
        <w:t>linspace</w:t>
      </w:r>
      <w:proofErr w:type="spellEnd"/>
      <w:r>
        <w:t xml:space="preserve"> function with 1000 simulation runs on 1000 paths within the interval zero to one. Then, I plot 5 realizations of the mean reversal process against time and it is shown in the diagram below:</w:t>
      </w:r>
    </w:p>
    <w:p w:rsidR="00153A46" w:rsidRDefault="00153A46" w:rsidP="00153A46">
      <w:pPr>
        <w:pStyle w:val="ListParagraph"/>
        <w:ind w:left="1080"/>
      </w:pPr>
    </w:p>
    <w:p w:rsidR="00153A46" w:rsidRDefault="00153A46" w:rsidP="00153A4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477375" cy="3086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 q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46" w:rsidRDefault="00153A46" w:rsidP="00153A46">
      <w:pPr>
        <w:pStyle w:val="ListParagraph"/>
        <w:ind w:left="1080"/>
      </w:pPr>
    </w:p>
    <w:p w:rsidR="00CD3F95" w:rsidRDefault="00CD3F95" w:rsidP="00153A46">
      <w:pPr>
        <w:pStyle w:val="ListParagraph"/>
        <w:ind w:left="1080"/>
      </w:pPr>
      <w:r>
        <w:t xml:space="preserve">The expectation value of </w:t>
      </w:r>
      <w:proofErr w:type="gramStart"/>
      <w:r>
        <w:t>R(</w:t>
      </w:r>
      <w:proofErr w:type="gramEnd"/>
      <w:r>
        <w:t>1) is 1.1552219503</w:t>
      </w:r>
      <w:r w:rsidR="00717D49">
        <w:t xml:space="preserve">, the value is calculate using </w:t>
      </w:r>
      <w:proofErr w:type="spellStart"/>
      <w:r w:rsidR="00717D49">
        <w:t>np.mean</w:t>
      </w:r>
      <w:proofErr w:type="spellEnd"/>
      <w:r w:rsidR="00717D49">
        <w:t>(x) function. Mask is used in a condition that R(1) &gt; 2, the probability that the Riemann sum at time 1 is greater than 2 I calculated by dividing total sum of mask by total number of path, which the probability is 0.021.</w:t>
      </w:r>
    </w:p>
    <w:p w:rsidR="00C162EE" w:rsidRDefault="00C162EE" w:rsidP="00153A46">
      <w:pPr>
        <w:pStyle w:val="ListParagraph"/>
        <w:ind w:left="1080"/>
      </w:pPr>
    </w:p>
    <w:p w:rsidR="00C162EE" w:rsidRDefault="00C162EE" w:rsidP="00153A46">
      <w:pPr>
        <w:pStyle w:val="ListParagraph"/>
        <w:ind w:left="1080"/>
      </w:pPr>
    </w:p>
    <w:p w:rsidR="00C162EE" w:rsidRDefault="00C162EE" w:rsidP="00153A46">
      <w:pPr>
        <w:pStyle w:val="ListParagraph"/>
        <w:ind w:left="1080"/>
      </w:pPr>
    </w:p>
    <w:p w:rsidR="00C162EE" w:rsidRDefault="00C162EE" w:rsidP="00153A46">
      <w:pPr>
        <w:pStyle w:val="ListParagraph"/>
        <w:ind w:left="1080"/>
      </w:pPr>
    </w:p>
    <w:p w:rsidR="00C162EE" w:rsidRDefault="00C162EE" w:rsidP="00153A46">
      <w:pPr>
        <w:pStyle w:val="ListParagraph"/>
        <w:ind w:left="1080"/>
      </w:pPr>
    </w:p>
    <w:p w:rsidR="00C162EE" w:rsidRDefault="00C162EE" w:rsidP="00153A46">
      <w:pPr>
        <w:pStyle w:val="ListParagraph"/>
        <w:ind w:left="1080"/>
      </w:pPr>
    </w:p>
    <w:p w:rsidR="00C162EE" w:rsidRDefault="00C162EE" w:rsidP="00153A46">
      <w:pPr>
        <w:pStyle w:val="ListParagraph"/>
        <w:ind w:left="1080"/>
      </w:pPr>
    </w:p>
    <w:p w:rsidR="00C162EE" w:rsidRDefault="00C162EE" w:rsidP="00153A46">
      <w:pPr>
        <w:pStyle w:val="ListParagraph"/>
        <w:ind w:left="1080"/>
      </w:pPr>
    </w:p>
    <w:p w:rsidR="00C162EE" w:rsidRDefault="00C162EE" w:rsidP="00153A46">
      <w:pPr>
        <w:pStyle w:val="ListParagraph"/>
        <w:ind w:left="1080"/>
      </w:pPr>
    </w:p>
    <w:p w:rsidR="00C162EE" w:rsidRDefault="00C162EE" w:rsidP="00C162EE"/>
    <w:p w:rsidR="00C162EE" w:rsidRDefault="00C162EE" w:rsidP="00C162EE">
      <w:r w:rsidRPr="00A135C0">
        <w:rPr>
          <w:b/>
          <w:u w:val="single"/>
        </w:rPr>
        <w:lastRenderedPageBreak/>
        <w:t xml:space="preserve">Calculation of the expectation value of </w:t>
      </w:r>
      <w:proofErr w:type="gramStart"/>
      <w:r w:rsidRPr="00A135C0">
        <w:rPr>
          <w:b/>
          <w:u w:val="single"/>
        </w:rPr>
        <w:t>R(</w:t>
      </w:r>
      <w:proofErr w:type="gramEnd"/>
      <w:r w:rsidRPr="00A135C0">
        <w:rPr>
          <w:b/>
          <w:u w:val="single"/>
        </w:rPr>
        <w:t>1) and P[R(1)&gt;2]</w:t>
      </w:r>
    </w:p>
    <w:p w:rsidR="00A135C0" w:rsidRPr="00A135C0" w:rsidRDefault="00A135C0" w:rsidP="00C162EE"/>
    <w:p w:rsidR="00717D49" w:rsidRDefault="00C162EE" w:rsidP="00717D49">
      <w:r>
        <w:rPr>
          <w:noProof/>
        </w:rPr>
        <w:drawing>
          <wp:inline distT="0" distB="0" distL="0" distR="0">
            <wp:extent cx="594360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9" w:rsidRDefault="00717D49" w:rsidP="00717D49"/>
    <w:p w:rsidR="00717D49" w:rsidRDefault="00717D49" w:rsidP="00717D49"/>
    <w:p w:rsidR="00717D49" w:rsidRDefault="00717D49" w:rsidP="00717D49"/>
    <w:p w:rsidR="00717D49" w:rsidRDefault="00717D49" w:rsidP="00717D49"/>
    <w:p w:rsidR="00717D49" w:rsidRDefault="00717D49" w:rsidP="00717D49"/>
    <w:p w:rsidR="00A135C0" w:rsidRDefault="00A135C0" w:rsidP="00717D49"/>
    <w:p w:rsidR="00A135C0" w:rsidRDefault="00A135C0" w:rsidP="00717D49"/>
    <w:p w:rsidR="00A135C0" w:rsidRDefault="00A135C0" w:rsidP="00717D49"/>
    <w:p w:rsidR="00A135C0" w:rsidRDefault="00A135C0" w:rsidP="00717D49">
      <w:bookmarkStart w:id="0" w:name="_GoBack"/>
      <w:bookmarkEnd w:id="0"/>
    </w:p>
    <w:p w:rsidR="00717D49" w:rsidRDefault="00717D49" w:rsidP="00717D49"/>
    <w:p w:rsidR="00717D49" w:rsidRPr="00717D49" w:rsidRDefault="00717D49" w:rsidP="00717D49">
      <w:pPr>
        <w:rPr>
          <w:u w:val="single"/>
        </w:rPr>
      </w:pPr>
      <w:r w:rsidRPr="00717D49">
        <w:rPr>
          <w:u w:val="single"/>
        </w:rPr>
        <w:lastRenderedPageBreak/>
        <w:t>Task 2</w:t>
      </w:r>
    </w:p>
    <w:p w:rsidR="00717D49" w:rsidRDefault="00717D49" w:rsidP="00717D49">
      <w:pPr>
        <w:pStyle w:val="ListParagraph"/>
        <w:numPr>
          <w:ilvl w:val="0"/>
          <w:numId w:val="8"/>
        </w:numPr>
      </w:pPr>
      <w:r>
        <w:t>There are 30 component stocks in FTSE Burse Malaysia KLCI Index:</w:t>
      </w:r>
    </w:p>
    <w:p w:rsidR="00717D49" w:rsidRDefault="00717D49" w:rsidP="00717D49">
      <w:pPr>
        <w:pStyle w:val="ListParagraph"/>
      </w:pP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259"/>
        <w:gridCol w:w="1848"/>
        <w:gridCol w:w="856"/>
        <w:gridCol w:w="1877"/>
        <w:gridCol w:w="1442"/>
        <w:gridCol w:w="746"/>
        <w:gridCol w:w="1455"/>
      </w:tblGrid>
      <w:tr w:rsidR="00717D49" w:rsidRPr="00103150" w:rsidTr="00717D49">
        <w:trPr>
          <w:trHeight w:val="1155"/>
        </w:trPr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</w:p>
          <w:p w:rsidR="00717D49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</w:p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No.</w:t>
            </w:r>
          </w:p>
        </w:tc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Stock Name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Stock Code</w:t>
            </w:r>
          </w:p>
        </w:tc>
        <w:tc>
          <w:tcPr>
            <w:tcW w:w="1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Stock sector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  <w:proofErr w:type="gramStart"/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Weightage(</w:t>
            </w:r>
            <w:proofErr w:type="gramEnd"/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%)</w:t>
            </w:r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PE ratio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Net market capital(</w:t>
            </w:r>
            <w:proofErr w:type="spellStart"/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MYRb</w:t>
            </w:r>
            <w:proofErr w:type="spellEnd"/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AMMB Holdings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0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1015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Financials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2.38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8.82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16.97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Astro Malaysia Holdings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1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6399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Communications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1.22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28.06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15.761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Axiata Group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2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6888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Communications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5.67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24.18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55.349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British American Tobacco (Malaysia)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3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4162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</w:t>
            </w:r>
            <w:r w:rsidR="00717D49"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onsumer</w:t>
            </w: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Staples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20.06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18.445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CIMB Group Holdings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4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1023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Financials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5.96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17.52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46.694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Digi.com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5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6947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Communications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4.04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21.02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41.83</w:t>
            </w:r>
            <w:r w:rsidR="00A01DF6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0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Genting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6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3182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Comsumer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Discretionary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3.61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19.3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30.748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Genting Malaysia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7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4715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Comsumer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Discretionary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20.21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24.097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Hong Leong Bank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8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5819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Financials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1.67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11.19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24.572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Hong Leong Financial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9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1082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Financials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0.64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9.92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16.255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IHH Healthcare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0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5225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Health Care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3.28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63.15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48.758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IOI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1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1961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Consumer Staples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2.99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73.65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26.731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KLCC Prop &amp; </w:t>
            </w: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Reits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- stapled sec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103150">
              <w:rPr>
                <w:rFonts w:ascii="Calibri" w:eastAsia="Times New Roman" w:hAnsi="Calibri" w:cs="Times New Roman"/>
                <w:color w:val="0000FF"/>
                <w:u w:val="single"/>
              </w:rPr>
              <w:t>5235ss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Financials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0.63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28.22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12.728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Kuala Lumpur Kepong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2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2445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Materials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2.28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29.21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23.983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Malayan Banking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3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1155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Financials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9.46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12.45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88.041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Maxis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4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6012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Communications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3.45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30.05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49.409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MISC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5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3816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Industrials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2.45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15.99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35.264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PETRONAS Chemicals Group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6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5183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Materials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3.68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21.83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50.64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Petronas </w:t>
            </w: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Dagangan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7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5681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Energy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1.21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37.05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20.445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Petronas Gas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8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6033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Energy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3.4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22.79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42.741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lastRenderedPageBreak/>
              <w:t>21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PPB Group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29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4065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Consumer Staples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1.8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18.13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18.233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Public Bank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30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1295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Financials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15.21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73.368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RHB Capital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31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1066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Financials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1.06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9.18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19.129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SapuraKencana Petroleum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32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5218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Energy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1.98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12.08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14.321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Sime Darby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33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4197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Consumer Discretionary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5.56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21.89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52.671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26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Telekom Malaysia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34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4863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Communications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2.96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32.34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24.915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Tenaga </w:t>
            </w: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Nasional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35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5347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Utilities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01DF6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9.00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9.15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69.304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UMW Holdings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36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4588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Consumer Discretionary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1.37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20.41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11.987</w:t>
            </w:r>
          </w:p>
        </w:tc>
      </w:tr>
      <w:tr w:rsidR="00717D49" w:rsidRPr="00103150" w:rsidTr="00717D49">
        <w:trPr>
          <w:trHeight w:val="58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29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Westports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holdings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103150">
              <w:rPr>
                <w:rFonts w:ascii="Calibri" w:eastAsia="Times New Roman" w:hAnsi="Calibri" w:cs="Times New Roman"/>
                <w:color w:val="0000FF"/>
                <w:u w:val="single"/>
              </w:rPr>
              <w:t>5246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Industrials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0.93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26.60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13.913</w:t>
            </w:r>
          </w:p>
        </w:tc>
      </w:tr>
      <w:tr w:rsidR="00717D49" w:rsidRPr="00103150" w:rsidTr="00717D49">
        <w:trPr>
          <w:trHeight w:val="315"/>
        </w:trPr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7D49" w:rsidRPr="00103150" w:rsidRDefault="00717D49" w:rsidP="00717D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YTL Corp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A135C0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37" w:history="1">
              <w:r w:rsidR="00717D49" w:rsidRPr="00103150">
                <w:rPr>
                  <w:rFonts w:ascii="Calibri" w:eastAsia="Times New Roman" w:hAnsi="Calibri" w:cs="Times New Roman"/>
                  <w:color w:val="0000FF"/>
                  <w:u w:val="single"/>
                </w:rPr>
                <w:t>4677</w:t>
              </w:r>
            </w:hyperlink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9A6E34" w:rsidP="00825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Utilities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1.63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14.95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7D49" w:rsidRPr="00103150" w:rsidRDefault="00717D49" w:rsidP="00825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16.67</w:t>
            </w:r>
          </w:p>
        </w:tc>
      </w:tr>
    </w:tbl>
    <w:p w:rsidR="00717D49" w:rsidRDefault="00717D49" w:rsidP="00717D49">
      <w:pPr>
        <w:pStyle w:val="ListParagraph"/>
      </w:pPr>
      <w:r>
        <w:t xml:space="preserve"> </w:t>
      </w:r>
    </w:p>
    <w:p w:rsidR="00153A46" w:rsidRDefault="00153A46" w:rsidP="00153A46">
      <w:pPr>
        <w:pStyle w:val="ListParagraph"/>
        <w:ind w:left="1080"/>
      </w:pPr>
    </w:p>
    <w:p w:rsidR="00C079FE" w:rsidRDefault="00C079FE" w:rsidP="00153A46">
      <w:pPr>
        <w:pStyle w:val="ListParagraph"/>
        <w:ind w:left="1080"/>
      </w:pPr>
    </w:p>
    <w:p w:rsidR="00C079FE" w:rsidRDefault="00C079FE" w:rsidP="00C079FE">
      <w:pPr>
        <w:pStyle w:val="ListParagraph"/>
        <w:numPr>
          <w:ilvl w:val="0"/>
          <w:numId w:val="8"/>
        </w:numPr>
      </w:pPr>
      <w:r>
        <w:t>Calculate 5-day moving average</w:t>
      </w:r>
    </w:p>
    <w:p w:rsidR="00C079FE" w:rsidRDefault="00C079FE" w:rsidP="00C079FE">
      <w:pPr>
        <w:ind w:firstLine="720"/>
      </w:pPr>
      <w:r>
        <w:t xml:space="preserve">I made Genting </w:t>
      </w:r>
      <w:proofErr w:type="spellStart"/>
      <w:r>
        <w:t>Bhd</w:t>
      </w:r>
      <w:proofErr w:type="spellEnd"/>
      <w:r>
        <w:t xml:space="preserve"> as my choice for FTSEKLCI component and the stock price for Genting </w:t>
      </w:r>
      <w:proofErr w:type="spellStart"/>
      <w:r>
        <w:t>Bhd</w:t>
      </w:r>
      <w:proofErr w:type="spellEnd"/>
      <w:r>
        <w:t xml:space="preserve"> is downloaded for the period from 1/1/2011 until 1/1/2015. Firstly, I use </w:t>
      </w:r>
      <w:proofErr w:type="gramStart"/>
      <w:r>
        <w:t>DR(</w:t>
      </w:r>
      <w:proofErr w:type="gramEnd"/>
      <w:r>
        <w:t xml:space="preserve">“3182.KL”,’yahoo’, start, end)[‘Close’] to take the Genting </w:t>
      </w:r>
      <w:proofErr w:type="spellStart"/>
      <w:r>
        <w:t>Bhd</w:t>
      </w:r>
      <w:proofErr w:type="spellEnd"/>
      <w:r>
        <w:t xml:space="preserve"> closing stock price. Then, moving average is calculated by using pandas function which is </w:t>
      </w:r>
      <w:proofErr w:type="spellStart"/>
      <w:r>
        <w:t>pd.rolling_</w:t>
      </w:r>
      <w:proofErr w:type="gramStart"/>
      <w:r>
        <w:t>mean</w:t>
      </w:r>
      <w:proofErr w:type="spellEnd"/>
      <w:r>
        <w:t>(</w:t>
      </w:r>
      <w:proofErr w:type="spellStart"/>
      <w:proofErr w:type="gramEnd"/>
      <w:r>
        <w:t>genting</w:t>
      </w:r>
      <w:proofErr w:type="spellEnd"/>
      <w:r>
        <w:t xml:space="preserve">, </w:t>
      </w:r>
      <w:proofErr w:type="spellStart"/>
      <w:r>
        <w:t>avg_days</w:t>
      </w:r>
      <w:proofErr w:type="spellEnd"/>
      <w:r>
        <w:t>)</w:t>
      </w:r>
      <w:r w:rsidR="00682426">
        <w:t xml:space="preserve"> and the 5-day moving average is plotted as diagram below:</w:t>
      </w:r>
    </w:p>
    <w:p w:rsidR="00682426" w:rsidRDefault="00682426" w:rsidP="00C079FE">
      <w:pPr>
        <w:ind w:firstLine="720"/>
      </w:pPr>
      <w:r>
        <w:rPr>
          <w:noProof/>
        </w:rPr>
        <w:drawing>
          <wp:inline distT="0" distB="0" distL="0" distR="0">
            <wp:extent cx="4039164" cy="3229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 q 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26" w:rsidRDefault="00682426" w:rsidP="00C079FE">
      <w:pPr>
        <w:ind w:firstLine="720"/>
      </w:pPr>
      <w:r>
        <w:lastRenderedPageBreak/>
        <w:t xml:space="preserve">In order to compute the correlation of Genting </w:t>
      </w:r>
      <w:proofErr w:type="spellStart"/>
      <w:r>
        <w:t>Bhd</w:t>
      </w:r>
      <w:proofErr w:type="spellEnd"/>
      <w:r>
        <w:t xml:space="preserve"> with FTSEKLCI, I download the stock price for FTSEKLCI for the same duration as Genting </w:t>
      </w:r>
      <w:proofErr w:type="spellStart"/>
      <w:r>
        <w:t>Bhd</w:t>
      </w:r>
      <w:proofErr w:type="spellEnd"/>
      <w:r>
        <w:t xml:space="preserve"> as well. Then, I combine those data under a variable ‘combine’ and a new variable named ‘</w:t>
      </w:r>
      <w:proofErr w:type="spellStart"/>
      <w:r>
        <w:t>new_data</w:t>
      </w:r>
      <w:proofErr w:type="spellEnd"/>
      <w:r>
        <w:t xml:space="preserve">’ is used to find the closing stock price of variable ‘combine’. Lastly, the correlation of Genting </w:t>
      </w:r>
      <w:proofErr w:type="spellStart"/>
      <w:r>
        <w:t>Bhd</w:t>
      </w:r>
      <w:proofErr w:type="spellEnd"/>
      <w:r>
        <w:t xml:space="preserve"> with FTSEKLCI is computed using function </w:t>
      </w:r>
      <w:proofErr w:type="spellStart"/>
      <w:proofErr w:type="gramStart"/>
      <w:r>
        <w:t>corr</w:t>
      </w:r>
      <w:proofErr w:type="spellEnd"/>
      <w:r>
        <w:t>(</w:t>
      </w:r>
      <w:proofErr w:type="gramEnd"/>
      <w:r>
        <w:t>) which the correlation is 0.496531.</w:t>
      </w:r>
    </w:p>
    <w:sectPr w:rsidR="00682426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393C"/>
    <w:multiLevelType w:val="hybridMultilevel"/>
    <w:tmpl w:val="EA2AFA5E"/>
    <w:lvl w:ilvl="0" w:tplc="44090011">
      <w:start w:val="1"/>
      <w:numFmt w:val="decimal"/>
      <w:lvlText w:val="%1)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B5DC5"/>
    <w:multiLevelType w:val="hybridMultilevel"/>
    <w:tmpl w:val="596ACBD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97420"/>
    <w:multiLevelType w:val="hybridMultilevel"/>
    <w:tmpl w:val="600E515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A33CC"/>
    <w:multiLevelType w:val="hybridMultilevel"/>
    <w:tmpl w:val="BF744298"/>
    <w:lvl w:ilvl="0" w:tplc="F5DA5D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D677A"/>
    <w:multiLevelType w:val="hybridMultilevel"/>
    <w:tmpl w:val="B98CD8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C3371"/>
    <w:multiLevelType w:val="hybridMultilevel"/>
    <w:tmpl w:val="3DB6E9F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64734"/>
    <w:multiLevelType w:val="hybridMultilevel"/>
    <w:tmpl w:val="ED1252A4"/>
    <w:lvl w:ilvl="0" w:tplc="54DAC27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C71D2"/>
    <w:multiLevelType w:val="hybridMultilevel"/>
    <w:tmpl w:val="188AE29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BC"/>
    <w:rsid w:val="00153A46"/>
    <w:rsid w:val="003A1437"/>
    <w:rsid w:val="0056603F"/>
    <w:rsid w:val="00682426"/>
    <w:rsid w:val="00717D49"/>
    <w:rsid w:val="00972448"/>
    <w:rsid w:val="009A6E34"/>
    <w:rsid w:val="00A01DF6"/>
    <w:rsid w:val="00A135C0"/>
    <w:rsid w:val="00B56EF7"/>
    <w:rsid w:val="00C079FE"/>
    <w:rsid w:val="00C162EE"/>
    <w:rsid w:val="00CD3F95"/>
    <w:rsid w:val="00D15CEC"/>
    <w:rsid w:val="00F1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48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972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48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97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bursamalaysia.com/market/listed-companies/list-of-companies/plc-profile.html?stock_code=4162" TargetMode="External"/><Relationship Id="rId18" Type="http://schemas.openxmlformats.org/officeDocument/2006/relationships/hyperlink" Target="http://www.bursamalaysia.com/market/listed-companies/list-of-companies/plc-profile.html?stock_code=5819" TargetMode="External"/><Relationship Id="rId26" Type="http://schemas.openxmlformats.org/officeDocument/2006/relationships/hyperlink" Target="http://www.bursamalaysia.com/market/listed-companies/list-of-companies/plc-profile.html?stock_code=5183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bursamalaysia.com/market/listed-companies/list-of-companies/plc-profile.html?stock_code=1961" TargetMode="External"/><Relationship Id="rId34" Type="http://schemas.openxmlformats.org/officeDocument/2006/relationships/hyperlink" Target="http://www.bursamalaysia.com/market/listed-companies/list-of-companies/plc-profile.html?stock_code=4863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bursamalaysia.com/market/listed-companies/list-of-companies/plc-profile.html?stock_code=6888" TargetMode="External"/><Relationship Id="rId17" Type="http://schemas.openxmlformats.org/officeDocument/2006/relationships/hyperlink" Target="http://www.bursamalaysia.com/market/listed-companies/list-of-companies/plc-profile.html?stock_code=4715" TargetMode="External"/><Relationship Id="rId25" Type="http://schemas.openxmlformats.org/officeDocument/2006/relationships/hyperlink" Target="http://www.bursamalaysia.com/market/listed-companies/list-of-companies/plc-profile.html?stock_code=3816" TargetMode="External"/><Relationship Id="rId33" Type="http://schemas.openxmlformats.org/officeDocument/2006/relationships/hyperlink" Target="http://www.bursamalaysia.com/market/listed-companies/list-of-companies/plc-profile.html?stock_code=4197" TargetMode="External"/><Relationship Id="rId38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www.bursamalaysia.com/market/listed-companies/list-of-companies/plc-profile.html?stock_code=3182" TargetMode="External"/><Relationship Id="rId20" Type="http://schemas.openxmlformats.org/officeDocument/2006/relationships/hyperlink" Target="http://www.bursamalaysia.com/market/listed-companies/list-of-companies/plc-profile.html?stock_code=5225" TargetMode="External"/><Relationship Id="rId29" Type="http://schemas.openxmlformats.org/officeDocument/2006/relationships/hyperlink" Target="http://www.bursamalaysia.com/market/listed-companies/list-of-companies/plc-profile.html?stock_code=406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bursamalaysia.com/market/listed-companies/list-of-companies/plc-profile.html?stock_code=6399" TargetMode="External"/><Relationship Id="rId24" Type="http://schemas.openxmlformats.org/officeDocument/2006/relationships/hyperlink" Target="http://www.bursamalaysia.com/market/listed-companies/list-of-companies/plc-profile.html?stock_code=6012" TargetMode="External"/><Relationship Id="rId32" Type="http://schemas.openxmlformats.org/officeDocument/2006/relationships/hyperlink" Target="http://www.bursamalaysia.com/market/listed-companies/list-of-companies/plc-profile.html?stock_code=5218" TargetMode="External"/><Relationship Id="rId37" Type="http://schemas.openxmlformats.org/officeDocument/2006/relationships/hyperlink" Target="http://www.bursamalaysia.com/market/listed-companies/list-of-companies/plc-profile.html?stock_code=4677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bursamalaysia.com/market/listed-companies/list-of-companies/plc-profile.html?stock_code=6947" TargetMode="External"/><Relationship Id="rId23" Type="http://schemas.openxmlformats.org/officeDocument/2006/relationships/hyperlink" Target="http://www.bursamalaysia.com/market/listed-companies/list-of-companies/plc-profile.html?stock_code=1155" TargetMode="External"/><Relationship Id="rId28" Type="http://schemas.openxmlformats.org/officeDocument/2006/relationships/hyperlink" Target="http://www.bursamalaysia.com/market/listed-companies/list-of-companies/plc-profile.html?stock_code=6033" TargetMode="External"/><Relationship Id="rId36" Type="http://schemas.openxmlformats.org/officeDocument/2006/relationships/hyperlink" Target="http://www.bursamalaysia.com/market/listed-companies/list-of-companies/plc-profile.html?stock_code=4588" TargetMode="External"/><Relationship Id="rId10" Type="http://schemas.openxmlformats.org/officeDocument/2006/relationships/hyperlink" Target="http://www.bursamalaysia.com/market/listed-companies/list-of-companies/plc-profile.html?stock_code=1015" TargetMode="External"/><Relationship Id="rId19" Type="http://schemas.openxmlformats.org/officeDocument/2006/relationships/hyperlink" Target="http://www.bursamalaysia.com/market/listed-companies/list-of-companies/plc-profile.html?stock_code=1082" TargetMode="External"/><Relationship Id="rId31" Type="http://schemas.openxmlformats.org/officeDocument/2006/relationships/hyperlink" Target="http://www.bursamalaysia.com/market/listed-companies/list-of-companies/plc-profile.html?stock_code=10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bursamalaysia.com/market/listed-companies/list-of-companies/plc-profile.html?stock_code=1023" TargetMode="External"/><Relationship Id="rId22" Type="http://schemas.openxmlformats.org/officeDocument/2006/relationships/hyperlink" Target="http://www.bursamalaysia.com/market/listed-companies/list-of-companies/plc-profile.html?stock_code=2445" TargetMode="External"/><Relationship Id="rId27" Type="http://schemas.openxmlformats.org/officeDocument/2006/relationships/hyperlink" Target="http://www.bursamalaysia.com/market/listed-companies/list-of-companies/plc-profile.html?stock_code=5681" TargetMode="External"/><Relationship Id="rId30" Type="http://schemas.openxmlformats.org/officeDocument/2006/relationships/hyperlink" Target="http://www.bursamalaysia.com/market/listed-companies/list-of-companies/plc-profile.html?stock_code=1295" TargetMode="External"/><Relationship Id="rId35" Type="http://schemas.openxmlformats.org/officeDocument/2006/relationships/hyperlink" Target="http://www.bursamalaysia.com/market/listed-companies/list-of-companies/plc-profile.html?stock_code=53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Matthew</cp:lastModifiedBy>
  <cp:revision>3</cp:revision>
  <dcterms:created xsi:type="dcterms:W3CDTF">2015-07-26T18:35:00Z</dcterms:created>
  <dcterms:modified xsi:type="dcterms:W3CDTF">2015-07-31T15:12:00Z</dcterms:modified>
</cp:coreProperties>
</file>