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SimPT60: A Traceable Time-Series Power-Flow Dataset for Portugal’s High-Voltage Grid</w:t>
      </w:r>
    </w:p>
    <w:p>
      <w:pPr>
        <w:pStyle w:val="Date"/>
      </w:pPr>
      <w:r>
        <w:rPr>
          <w:rFonts w:ascii="Times New Roman" w:hAnsi="Times New Roman"/>
        </w:rPr>
        <w:t xml:space="preserve">September 2026</w:t>
      </w:r>
    </w:p>
    <w:bookmarkStart w:id="20" w:name="Xb7a494e137746066c5b4640dd030a8eb4029a24"/>
    <w:bookmarkEnd w:id="20"/>
    <w:bookmarkStart w:id="21" w:name="abstract"/>
    <w:p>
      <w:pPr>
        <w:pStyle w:val="Heading1"/>
      </w:pPr>
      <w:r>
        <w:rPr>
          <w:rFonts w:ascii="Times New Roman" w:hAnsi="Times New Roman"/>
        </w:rPr>
        <w:t xml:space="preserve">Abstract</w:t>
      </w:r>
    </w:p>
    <w:p>
      <w:pPr>
        <w:pStyle w:val="FirstParagraph"/>
      </w:pPr>
      <w:r>
        <w:rPr>
          <w:rFonts w:ascii="Times New Roman" w:hAnsi="Times New Roman"/>
        </w:rPr>
        <w:t xml:space="preserve">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N−1 contingency screening. SimPT60 is a public-data-derived research model and has not been validated as an operator network model at equipment level.</w:t>
      </w:r>
    </w:p>
    <w:p>
      <w:pPr>
        <w:pStyle w:val="BodyText"/>
        <w:spacing w:before="100" w:after="180"/>
      </w:pPr>
      <w:r>
        <w:rPr>
          <w:rFonts w:ascii="Times New Roman" w:hAnsi="Times New Roman"/>
          <w:b/>
          <w:bCs/>
          <w:sz w:val="19"/>
        </w:rPr>
        <w:t xml:space="preserve">Keywords:</w:t>
      </w:r>
      <w:r>
        <w:rPr>
          <w:rFonts w:ascii="Times New Roman" w:hAnsi="Times New Roman"/>
          <w:sz w:val="19"/>
        </w:rPr>
        <w:t xml:space="preserve"> </w:t>
      </w:r>
      <w:r>
        <w:rPr>
          <w:rFonts w:ascii="Times New Roman" w:hAnsi="Times New Roman"/>
          <w:sz w:val="19"/>
        </w:rPr>
        <w:t xml:space="preserve">power-system dataset; Portugal; public data; grid reconstruction; power flow; time series; provenance; cross-source validation</w:t>
      </w:r>
    </w:p>
    <w:bookmarkEnd w:id="21"/>
    <w:bookmarkStart w:id="24" w:name="introduction"/>
    <w:p>
      <w:pPr>
        <w:pStyle w:val="Heading1"/>
      </w:pPr>
      <w:r>
        <w:rPr>
          <w:rFonts w:ascii="Times New Roman" w:hAnsi="Times New Roman"/>
        </w:rPr>
        <w:t xml:space="preserve">1. Introduction</w:t>
      </w:r>
    </w:p>
    <w:p>
      <w:pPr>
        <w:pStyle w:val="FirstParagraph"/>
      </w:pPr>
      <w:r>
        <w:rPr>
          <w:rFonts w:ascii="Times New Roman" w:hAnsi="Times New Roman"/>
        </w:rPr>
        <w:t xml:space="preserve">Power-flow simulation underpins many studies of grid operation, planning, and risk, and requires data that describe network topology, equipment attributes, and operating conditions (</w:t>
      </w:r>
      <w:hyperlink w:anchor="ref-Thurner2018">
        <w:r>
          <w:rPr>
            <w:rStyle w:val="Hyperlink"/>
          </w:rPr>
          <w:t xml:space="preserve">Thurner et al., 2018</w:t>
        </w:r>
      </w:hyperlink>
      <w:r>
        <w:rPr>
          <w:rFonts w:ascii="Times New Roman" w:hAnsi="Times New Roman"/>
        </w:rPr>
        <w:t xml:space="preserve">). As research moves from individual snapshots to time-series analysis, a static network must also be linked to continuous load, generation, and other operating records (</w:t>
      </w:r>
      <w:hyperlink w:anchor="ref-Horsch2018">
        <w:r>
          <w:rPr>
            <w:rStyle w:val="Hyperlink"/>
          </w:rPr>
          <w:t xml:space="preserve">Hörsch et al., 2018</w:t>
        </w:r>
      </w:hyperlink>
      <w:r>
        <w:rPr>
          <w:rFonts w:ascii="Times New Roman" w:hAnsi="Times New Roman"/>
        </w:rPr>
        <w:t xml:space="preserve">;</w:t>
      </w:r>
      <w:r>
        <w:rPr>
          <w:rFonts w:ascii="Times New Roman" w:hAnsi="Times New Roman"/>
        </w:rPr>
        <w:t xml:space="preserve"> </w:t>
      </w:r>
      <w:hyperlink w:anchor="ref-Meinecke2020">
        <w:r>
          <w:rPr>
            <w:rStyle w:val="Hyperlink"/>
          </w:rPr>
          <w:t xml:space="preserve">Meinecke et al., 2020</w:t>
        </w:r>
      </w:hyperlink>
      <w:r>
        <w:rPr>
          <w:rFonts w:ascii="Times New Roman" w:hAnsi="Times New Roman"/>
        </w:rPr>
        <w:t xml:space="preserve">).</w:t>
      </w:r>
    </w:p>
    <w:p>
      <w:pPr>
        <w:pStyle w:val="BodyText"/>
      </w:pPr>
      <w:r>
        <w:rPr>
          <w:rFonts w:ascii="Times New Roman" w:hAnsi="Times New Roman"/>
        </w:rPr>
        <w:t xml:space="preserve">Several public resources already provide reusable grid models and benchmark datasets. PyPSA-Eur supplies a transmission-network model for European energy-system optimization and operational studies (</w:t>
      </w:r>
      <w:hyperlink w:anchor="ref-Horsch2018">
        <w:r>
          <w:rPr>
            <w:rStyle w:val="Hyperlink"/>
          </w:rPr>
          <w:t xml:space="preserve">Hörsch et al., 2018</w:t>
        </w:r>
      </w:hyperlink>
      <w:r>
        <w:rPr>
          <w:rFonts w:ascii="Times New Roman" w:hAnsi="Times New Roman"/>
        </w:rPr>
        <w:t xml:space="preserve">). Recent open-data reconstruction work has expanded the geographic representation of the European high-voltage grid (</w:t>
      </w:r>
      <w:hyperlink w:anchor="ref-Xiong2025">
        <w:r>
          <w:rPr>
            <w:rStyle w:val="Hyperlink"/>
          </w:rPr>
          <w:t xml:space="preserve">Xiong et al., 2025</w:t>
        </w:r>
      </w:hyperlink>
      <w:r>
        <w:rPr>
          <w:rFonts w:ascii="Times New Roman" w:hAnsi="Times New Roman"/>
        </w:rPr>
        <w:t xml:space="preserve">). SimBench provides representative networks across several voltage levels together with annual load and generation profiles (</w:t>
      </w:r>
      <w:hyperlink w:anchor="ref-Meinecke2020">
        <w:r>
          <w:rPr>
            <w:rStyle w:val="Hyperlink"/>
          </w:rPr>
          <w:t xml:space="preserve">Meinecke et al., 2020</w:t>
        </w:r>
      </w:hyperlink>
      <w:r>
        <w:rPr>
          <w:rFonts w:ascii="Times New Roman" w:hAnsi="Times New Roman"/>
        </w:rPr>
        <w:t xml:space="preserve">). These resources support system optimization, network reconstruction, and method comparison, respectively, and provide an important basis for open power-system research.</w:t>
      </w:r>
    </w:p>
    <w:bookmarkStart w:id="22" w:name="motivation"/>
    <w:p>
      <w:pPr>
        <w:pStyle w:val="Heading2"/>
      </w:pPr>
      <w:r>
        <w:rPr>
          <w:rFonts w:ascii="Times New Roman" w:hAnsi="Times New Roman"/>
        </w:rPr>
        <w:t xml:space="preserve">1.1 Motivation</w:t>
      </w:r>
    </w:p>
    <w:p>
      <w:pPr>
        <w:pStyle w:val="FirstParagraph"/>
      </w:pPr>
      <w:r>
        <w:rPr>
          <w:rFonts w:ascii="Times New Roman" w:hAnsi="Times New Roman"/>
        </w:rPr>
        <w:t xml:space="preserve">Portugal’s National Energy and Climate Plan identifies renewable generation, storage, electrification, and cross-border interconnection as central elements of the energy transition (</w:t>
      </w:r>
      <w:hyperlink w:anchor="ref-DGEGPNEC2030Revision2024">
        <w:r>
          <w:rPr>
            <w:rStyle w:val="Hyperlink"/>
          </w:rPr>
          <w:t xml:space="preserve">DGEG, 2024</w:t>
        </w:r>
      </w:hyperlink>
      <w:r>
        <w:rPr>
          <w:rFonts w:ascii="Times New Roman" w:hAnsi="Times New Roman"/>
        </w:rPr>
        <w:t xml:space="preserve">). These developments alter the scale and spatial distribution of generation and demand and therefore affect line flows, bus voltages, and system risk. Studying the time-varying behavior of the Portuguese grid consequently requires a data foundation that represents both network structure and continuous operating conditions.</w:t>
      </w:r>
    </w:p>
    <w:p>
      <w:pPr>
        <w:pStyle w:val="BodyText"/>
      </w:pPr>
      <w:r>
        <w:rPr>
          <w:rFonts w:ascii="Times New Roman" w:hAnsi="Times New Roman"/>
        </w:rPr>
        <w:t xml:space="preserve">The relevant public records are distributed across E-REDES, Redes Energéticas Nacionais (REN), the Direção-Geral de Energia e Geologia (DGEG), the Entidade Reguladora dos Serviços Energéticos (ERSE), and open geospatial platforms (</w:t>
      </w:r>
      <w:hyperlink w:anchor="ref-EREDESRND2026">
        <w:r>
          <w:rPr>
            <w:rStyle w:val="Hyperlink"/>
          </w:rPr>
          <w:t xml:space="preserve">E-REDES, n.d.-f</w:t>
        </w:r>
      </w:hyperlink>
      <w:r>
        <w:rPr>
          <w:rFonts w:ascii="Times New Roman" w:hAnsi="Times New Roman"/>
        </w:rPr>
        <w:t xml:space="preserve">;</w:t>
      </w:r>
      <w:r>
        <w:rPr>
          <w:rFonts w:ascii="Times New Roman" w:hAnsi="Times New Roman"/>
        </w:rPr>
        <w:t xml:space="preserve"> </w:t>
      </w:r>
      <w:hyperlink w:anchor="ref-RENDataHub2026">
        <w:r>
          <w:rPr>
            <w:rStyle w:val="Hyperlink"/>
          </w:rPr>
          <w:t xml:space="preserve">REN, n.d.</w:t>
        </w:r>
      </w:hyperlink>
      <w:r>
        <w:rPr>
          <w:rFonts w:ascii="Times New Roman" w:hAnsi="Times New Roman"/>
        </w:rPr>
        <w:t xml:space="preserve">;</w:t>
      </w:r>
      <w:r>
        <w:rPr>
          <w:rFonts w:ascii="Times New Roman" w:hAnsi="Times New Roman"/>
        </w:rPr>
        <w:t xml:space="preserve"> </w:t>
      </w:r>
      <w:hyperlink w:anchor="ref-DGEGGeo2026">
        <w:r>
          <w:rPr>
            <w:rStyle w:val="Hyperlink"/>
          </w:rPr>
          <w:t xml:space="preserve">DGEG, n.d.</w:t>
        </w:r>
      </w:hyperlink>
      <w:r>
        <w:rPr>
          <w:rFonts w:ascii="Times New Roman" w:hAnsi="Times New Roman"/>
        </w:rPr>
        <w:t xml:space="preserve">;</w:t>
      </w:r>
      <w:r>
        <w:rPr>
          <w:rFonts w:ascii="Times New Roman" w:hAnsi="Times New Roman"/>
        </w:rPr>
        <w:t xml:space="preserve"> </w:t>
      </w:r>
      <w:hyperlink w:anchor="ref-ERSEPDIRT2024">
        <w:r>
          <w:rPr>
            <w:rStyle w:val="Hyperlink"/>
          </w:rPr>
          <w:t xml:space="preserve">REN, 2024</w:t>
        </w:r>
      </w:hyperlink>
      <w:r>
        <w:rPr>
          <w:rFonts w:ascii="Times New Roman" w:hAnsi="Times New Roman"/>
        </w:rPr>
        <w:t xml:space="preserve">;</w:t>
      </w:r>
      <w:r>
        <w:rPr>
          <w:rFonts w:ascii="Times New Roman" w:hAnsi="Times New Roman"/>
        </w:rPr>
        <w:t xml:space="preserve"> </w:t>
      </w:r>
      <w:hyperlink w:anchor="ref-OSM2026">
        <w:r>
          <w:rPr>
            <w:rStyle w:val="Hyperlink"/>
          </w:rPr>
          <w:t xml:space="preserve">OpenStreetMap contributors, n.d.</w:t>
        </w:r>
      </w:hyperlink>
      <w:r>
        <w:rPr>
          <w:rFonts w:ascii="Times New Roman" w:hAnsi="Times New Roman"/>
        </w:rPr>
        <w:t xml:space="preserve">). Their spatial coverage, temporal resolution, identifiers, and field definitions differ. Using them in a common power-flow model requires topology reconstruction, completion of electrical parameters, asset-to-bus mapping, temporal alignment, and allocation of aggregate power to nodes.</w:t>
      </w:r>
    </w:p>
    <w:p>
      <w:pPr>
        <w:pStyle w:val="BodyText"/>
      </w:pPr>
      <w:r>
        <w:rPr>
          <w:rFonts w:ascii="Times New Roman" w:hAnsi="Times New Roman"/>
        </w:rPr>
        <w:t xml:space="preserve">Existing resources also have different modelling objectives and scopes. European-scale models primarily address cross-regional system studies (</w:t>
      </w:r>
      <w:hyperlink w:anchor="ref-Horsch2018">
        <w:r>
          <w:rPr>
            <w:rStyle w:val="Hyperlink"/>
          </w:rPr>
          <w:t xml:space="preserve">Hörsch et al., 2018</w:t>
        </w:r>
      </w:hyperlink>
      <w:r>
        <w:rPr>
          <w:rFonts w:ascii="Times New Roman" w:hAnsi="Times New Roman"/>
        </w:rPr>
        <w:t xml:space="preserve">); open high-voltage reconstructions focus mainly on AC networks at 220 kV and above (</w:t>
      </w:r>
      <w:hyperlink w:anchor="ref-Xiong2025">
        <w:r>
          <w:rPr>
            <w:rStyle w:val="Hyperlink"/>
          </w:rPr>
          <w:t xml:space="preserve">Xiong et al., 2025</w:t>
        </w:r>
      </w:hyperlink>
      <w:r>
        <w:rPr>
          <w:rFonts w:ascii="Times New Roman" w:hAnsi="Times New Roman"/>
        </w:rPr>
        <w:t xml:space="preserve">); and representative benchmarks do not describe the geographic Portuguese grid (</w:t>
      </w:r>
      <w:hyperlink w:anchor="ref-Meinecke2020">
        <w:r>
          <w:rPr>
            <w:rStyle w:val="Hyperlink"/>
          </w:rPr>
          <w:t xml:space="preserve">Meinecke et al., 2020</w:t>
        </w:r>
      </w:hyperlink>
      <w:r>
        <w:rPr>
          <w:rFonts w:ascii="Times New Roman" w:hAnsi="Times New Roman"/>
        </w:rPr>
        <w:t xml:space="preserve">). A public research resource that combines the continental Portuguese 60–400 kV network, 15-minute operating time series, solvable power-flow cases, and explicit provenance has therefore remained unavailable.</w:t>
      </w:r>
    </w:p>
    <w:p>
      <w:pPr>
        <w:pStyle w:val="BodyText"/>
      </w:pPr>
      <w:r>
        <w:rPr>
          <w:rFonts w:ascii="Times New Roman" w:hAnsi="Times New Roman"/>
        </w:rPr>
        <w:t xml:space="preserve">This study develops a traceable, computationally usable Portuguese high-voltage grid dataset with continuous time-indexed cases for power-flow analysis, grid-risk screening, scenario comparison, and method testing.</w:t>
      </w:r>
    </w:p>
    <w:bookmarkEnd w:id="22"/>
    <w:bookmarkStart w:id="23" w:name="introducing-simpt60"/>
    <w:p>
      <w:pPr>
        <w:pStyle w:val="Heading2"/>
      </w:pPr>
      <w:r>
        <w:rPr>
          <w:rFonts w:ascii="Times New Roman" w:hAnsi="Times New Roman"/>
        </w:rPr>
        <w:t xml:space="preserve">1.2 Introducing SimPT60</w:t>
      </w:r>
    </w:p>
    <w:p>
      <w:pPr>
        <w:pStyle w:val="FirstParagraph"/>
      </w:pPr>
      <w:r>
        <w:rPr>
          <w:rFonts w:ascii="Times New Roman" w:hAnsi="Times New Roman"/>
        </w:rPr>
        <w:t xml:space="preserve">SimPT60 reconstructs the continental Portuguese high-voltage grid from multiple public sources. It covers the 60, 130, 150, 220, and 400 kV networks and retains the boundary nodes required to represent Portugal–Spain interconnections. Raw sources, the static network, time-series inputs, power-flow results, and validation records are stored in linked layers so that users can trace key fields to their source and processing rule.</w:t>
      </w:r>
    </w:p>
    <w:p>
      <w:pPr>
        <w:pStyle w:val="BodyText"/>
      </w:pPr>
      <w:r>
        <w:rPr>
          <w:rFonts w:ascii="Times New Roman" w:hAnsi="Times New Roman"/>
        </w:rPr>
        <w:t xml:space="preserve">The main contribution is a versioned data product that links a traceable public-data reconstruction of the continental Portuguese 60–400 kV grid to 31,492 consecutive and reproducible 15-minute AC power-flow states. Raw records, derived objects, and validation results remain separate but connected. Table 1 summarizes the scope, principal products, and interpretation boundaries; Section 4.7 states the limitations.</w:t>
      </w:r>
    </w:p>
    <w:p>
      <w:pPr>
        <w:pStyle w:val="BodyText"/>
        <w:keepNext/>
        <w:spacing w:before="120" w:after="40"/>
        <w:jc w:val="left"/>
      </w:pPr>
      <w:r>
        <w:rPr>
          <w:rFonts w:ascii="Times New Roman" w:hAnsi="Times New Roman"/>
          <w:b/>
          <w:bCs/>
          <w:sz w:val="18"/>
        </w:rPr>
        <w:t xml:space="preserve">Table 1—Scope and data products of SimPT60.</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640"/>
        <w:gridCol w:w="2640"/>
        <w:gridCol w:w="264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Dimension</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Scope or product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Interpretation boundary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Geography</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Continental Portugal and Portugal–Spain boundary endpoints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Excludes islands and distribution networks below 60 kV</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Voltage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60, 130, 150, 220, and 400 kV</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Reconstructed from multiple public sources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Time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2025-05-01 to 2026-03-24; 15 min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Europe/Lisbon civil days; aligned in Coordinated Universal Time (UTC)</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Static network</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Buses, lines, transformers, assets, and geometry</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Public connection evidence and engineering proxies coexist</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Operating cases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31,492 steady-state AC power-flow cases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Computed model states, not equipment telemetry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Distribution and provenance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Main database, 11 monthly databases, raw-record locators, and source hashes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Source licensing and release snapshots are managed separately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Validation and application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External temporal/spatial comparisons, perturbation tests, stress scenarios, and N−1</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Aggregate consistency does not establish equipment-level truth</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Sections 1–3 define the scope, construction rules, and data products.</w:t>
      </w:r>
    </w:p>
    <w:p>
      <w:pPr>
        <w:pStyle w:val="BodyText"/>
      </w:pPr>
      <w:r>
        <w:rPr>
          <w:rFonts w:ascii="Times New Roman" w:hAnsi="Times New Roman"/>
        </w:rPr>
        <w:t xml:space="preserve">The remainder of the paper is organized as follows. Section 2 describes the source data and construction method. Section 3 presents the static network, time series, and power-flow cases. Section 4 reports validation results, Section 5 provides application examples, and Section 6 concludes the paper.</w:t>
      </w:r>
    </w:p>
    <w:bookmarkEnd w:id="23"/>
    <w:bookmarkEnd w:id="24"/>
    <w:bookmarkStart w:id="44" w:name="methodology"/>
    <w:p>
      <w:pPr>
        <w:pStyle w:val="Heading1"/>
      </w:pPr>
      <w:r>
        <w:rPr>
          <w:rFonts w:ascii="Times New Roman" w:hAnsi="Times New Roman"/>
        </w:rPr>
        <w:t xml:space="preserve">2. Methodology</w:t>
      </w:r>
    </w:p>
    <w:p>
      <w:pPr>
        <w:pStyle w:val="FirstParagraph"/>
      </w:pPr>
      <w:r>
        <w:rPr>
          <w:rFonts w:ascii="Times New Roman" w:hAnsi="Times New Roman"/>
        </w:rPr>
        <w:t xml:space="preserve">SimPT60 was constructed in five stages: archiving and standardizing public records; reconstructing the 60–400 kV static network; mapping assets and operating records to a common 15-minute calendar; generating and solving one AC power-flow case per interval; and storing the results in linked layers with explicit quality controls.</w:t>
      </w:r>
    </w:p>
    <w:bookmarkStart w:id="27" w:name="public-data-scope-and-standardization"/>
    <w:p>
      <w:pPr>
        <w:pStyle w:val="Heading2"/>
      </w:pPr>
      <w:r>
        <w:rPr>
          <w:rFonts w:ascii="Times New Roman" w:hAnsi="Times New Roman"/>
        </w:rPr>
        <w:t xml:space="preserve">2.1 Public Data Scope and Standardization</w:t>
      </w:r>
    </w:p>
    <w:bookmarkStart w:id="25" w:name="scope-and-sources"/>
    <w:p>
      <w:pPr>
        <w:pStyle w:val="Heading3"/>
      </w:pPr>
      <w:r>
        <w:rPr>
          <w:rFonts w:ascii="Times New Roman" w:hAnsi="Times New Roman"/>
        </w:rPr>
        <w:t xml:space="preserve">2.1.1 Scope and Sources</w:t>
      </w:r>
    </w:p>
    <w:p>
      <w:pPr>
        <w:pStyle w:val="FirstParagraph"/>
      </w:pPr>
      <w:r>
        <w:rPr>
          <w:rFonts w:ascii="Times New Roman" w:hAnsi="Times New Roman"/>
        </w:rPr>
        <w:t xml:space="preserve">The geographic, voltage, and temporal scope is given in Table 1. Network geometry is drawn mainly from the E-REDES 60/130 kV network and the OSM/Geofabrik 150/220/400 kV network (</w:t>
      </w:r>
      <w:hyperlink w:anchor="ref-GeofabrikPortugal2026">
        <w:r>
          <w:rPr>
            <w:rStyle w:val="Hyperlink"/>
          </w:rPr>
          <w:t xml:space="preserve">Geofabrik GmbH, n.d.</w:t>
        </w:r>
      </w:hyperlink>
      <w:r>
        <w:rPr>
          <w:rFonts w:ascii="Times New Roman" w:hAnsi="Times New Roman"/>
        </w:rPr>
        <w:t xml:space="preserve">). DGEG and APA records supplement generation, storage, and connection evidence (</w:t>
      </w:r>
      <w:hyperlink w:anchor="ref-DGEGGeo2026">
        <w:r>
          <w:rPr>
            <w:rStyle w:val="Hyperlink"/>
          </w:rPr>
          <w:t xml:space="preserve">DGEG, n.d.</w:t>
        </w:r>
      </w:hyperlink>
      <w:r>
        <w:rPr>
          <w:rFonts w:ascii="Times New Roman" w:hAnsi="Times New Roman"/>
        </w:rPr>
        <w:t xml:space="preserve">;</w:t>
      </w:r>
      <w:r>
        <w:rPr>
          <w:rFonts w:ascii="Times New Roman" w:hAnsi="Times New Roman"/>
        </w:rPr>
        <w:t xml:space="preserve"> </w:t>
      </w:r>
      <w:hyperlink w:anchor="ref-APA3403">
        <w:r>
          <w:rPr>
            <w:rStyle w:val="Hyperlink"/>
          </w:rPr>
          <w:t xml:space="preserve">APA, 2021</w:t>
        </w:r>
      </w:hyperlink>
      <w:r>
        <w:rPr>
          <w:rFonts w:ascii="Times New Roman" w:hAnsi="Times New Roman"/>
        </w:rPr>
        <w:t xml:space="preserve">;</w:t>
      </w:r>
      <w:r>
        <w:rPr>
          <w:rFonts w:ascii="Times New Roman" w:hAnsi="Times New Roman"/>
        </w:rPr>
        <w:t xml:space="preserve"> </w:t>
      </w:r>
      <w:hyperlink w:anchor="ref-APAPPA421">
        <w:r>
          <w:rPr>
            <w:rStyle w:val="Hyperlink"/>
          </w:rPr>
          <w:t xml:space="preserve">APA, n.d.-a</w:t>
        </w:r>
      </w:hyperlink>
      <w:r>
        <w:rPr>
          <w:rFonts w:ascii="Times New Roman" w:hAnsi="Times New Roman"/>
        </w:rPr>
        <w:t xml:space="preserve">;</w:t>
      </w:r>
      <w:r>
        <w:rPr>
          <w:rFonts w:ascii="Times New Roman" w:hAnsi="Times New Roman"/>
        </w:rPr>
        <w:t xml:space="preserve"> </w:t>
      </w:r>
      <w:hyperlink w:anchor="ref-APAPPA407">
        <w:r>
          <w:rPr>
            <w:rStyle w:val="Hyperlink"/>
          </w:rPr>
          <w:t xml:space="preserve">APA, n.d.-b</w:t>
        </w:r>
      </w:hyperlink>
      <w:r>
        <w:rPr>
          <w:rFonts w:ascii="Times New Roman" w:hAnsi="Times New Roman"/>
        </w:rPr>
        <w:t xml:space="preserve">). REN provides national 15-minute operating series, whereas E-REDES provides substation energy. PDIRT and PDIRD documents provide delivery-point profiles and selected equipment parameters (</w:t>
      </w:r>
      <w:hyperlink w:anchor="ref-EREDESRND2026">
        <w:r>
          <w:rPr>
            <w:rStyle w:val="Hyperlink"/>
          </w:rPr>
          <w:t xml:space="preserve">E-REDES, n.d.-f</w:t>
        </w:r>
      </w:hyperlink>
      <w:r>
        <w:rPr>
          <w:rFonts w:ascii="Times New Roman" w:hAnsi="Times New Roman"/>
        </w:rPr>
        <w:t xml:space="preserve">;</w:t>
      </w:r>
      <w:r>
        <w:rPr>
          <w:rFonts w:ascii="Times New Roman" w:hAnsi="Times New Roman"/>
        </w:rPr>
        <w:t xml:space="preserve"> </w:t>
      </w:r>
      <w:hyperlink w:anchor="ref-OSM2026">
        <w:r>
          <w:rPr>
            <w:rStyle w:val="Hyperlink"/>
          </w:rPr>
          <w:t xml:space="preserve">OpenStreetMap contributors, n.d.</w:t>
        </w:r>
      </w:hyperlink>
      <w:r>
        <w:rPr>
          <w:rFonts w:ascii="Times New Roman" w:hAnsi="Times New Roman"/>
        </w:rPr>
        <w:t xml:space="preserve">;</w:t>
      </w:r>
      <w:r>
        <w:rPr>
          <w:rFonts w:ascii="Times New Roman" w:hAnsi="Times New Roman"/>
        </w:rPr>
        <w:t xml:space="preserve"> </w:t>
      </w:r>
      <w:hyperlink w:anchor="ref-RENDataHub2026">
        <w:r>
          <w:rPr>
            <w:rStyle w:val="Hyperlink"/>
          </w:rPr>
          <w:t xml:space="preserve">REN, n.d.</w:t>
        </w:r>
      </w:hyperlink>
      <w:r>
        <w:rPr>
          <w:rFonts w:ascii="Times New Roman" w:hAnsi="Times New Roman"/>
        </w:rPr>
        <w:t xml:space="preserve">;</w:t>
      </w:r>
      <w:r>
        <w:rPr>
          <w:rFonts w:ascii="Times New Roman" w:hAnsi="Times New Roman"/>
        </w:rPr>
        <w:t xml:space="preserve"> </w:t>
      </w:r>
      <w:hyperlink w:anchor="ref-ERSEPDIRT2024">
        <w:r>
          <w:rPr>
            <w:rStyle w:val="Hyperlink"/>
          </w:rPr>
          <w:t xml:space="preserve">REN, 2024</w:t>
        </w:r>
      </w:hyperlink>
      <w:r>
        <w:rPr>
          <w:rFonts w:ascii="Times New Roman" w:hAnsi="Times New Roman"/>
        </w:rPr>
        <w:t xml:space="preserve">). GISCO supplies the continental boundary (</w:t>
      </w:r>
      <w:hyperlink w:anchor="ref-GISCO2024">
        <w:r>
          <w:rPr>
            <w:rStyle w:val="Hyperlink"/>
          </w:rPr>
          <w:t xml:space="preserve">Eurostat GISCO, 2024</w:t>
        </w:r>
      </w:hyperlink>
      <w:r>
        <w:rPr>
          <w:rFonts w:ascii="Times New Roman" w:hAnsi="Times New Roman"/>
        </w:rPr>
        <w:t xml:space="preserve">); REN and REE records support transmission and interconnection checks. OpenInfraMap, which derives from OSM, is used only for display checks and is not treated as independent evidence (</w:t>
      </w:r>
      <w:hyperlink w:anchor="ref-OpenInfraMap2026">
        <w:r>
          <w:rPr>
            <w:rStyle w:val="Hyperlink"/>
          </w:rPr>
          <w:t xml:space="preserve">OpenInfraMap contributors, n.d.</w:t>
        </w:r>
      </w:hyperlink>
      <w:r>
        <w:rPr>
          <w:rFonts w:ascii="Times New Roman" w:hAnsi="Times New Roman"/>
        </w:rPr>
        <w:t xml:space="preserve">).</w:t>
      </w:r>
    </w:p>
    <w:p>
      <w:pPr>
        <w:pStyle w:val="BodyText"/>
      </w:pPr>
      <w:r>
        <w:rPr>
          <w:rFonts w:ascii="Times New Roman" w:hAnsi="Times New Roman"/>
        </w:rPr>
        <w:t xml:space="preserve">Table 2 summarizes the source scope and modelling role. The common study window is determined by synchronized E-REDES and REN series. Static-source versions, case dates, and historical availability are recorded separately; the common window is not interpreted as the observation date of every device.</w:t>
      </w:r>
    </w:p>
    <w:p>
      <w:pPr>
        <w:pStyle w:val="BodyText"/>
        <w:keepNext/>
        <w:spacing w:before="120" w:after="40"/>
        <w:jc w:val="left"/>
      </w:pPr>
      <w:r>
        <w:rPr>
          <w:rFonts w:ascii="Times New Roman" w:hAnsi="Times New Roman"/>
          <w:b/>
          <w:bCs/>
          <w:sz w:val="18"/>
        </w:rPr>
        <w:t xml:space="preserve">Table 2—Public data sources, coverage, and modelling roles.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80"/>
        <w:gridCol w:w="1980"/>
        <w:gridCol w:w="1980"/>
        <w:gridCol w:w="198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Publisher / product</w:t>
            </w:r>
          </w:p>
        </w:tc>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Spatial or temporal coverage</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Principal content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Role in this study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E-REDES / RND AT</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Continental 60/130 kV; archived snapshot</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Lines, facilities, codes, and geometry</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Network construction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OSM / Geofabrik</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Continental Portugal and Spain boundary; archived snapshot</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150/220/400 kV facilities and circuits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Network and asset construction</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DGEG; APA; project notices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Generation, storage, and connection records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Location, technology, capacity, and commissioning evidence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Asset completion and evidence</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REN / Data Hub</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15 min in common window; 15 series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Demand, generation, storage, imports, and exports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Inputs and withheld comparison</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E-REDES / substation energy</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397 stations; 15 min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Facility code, interval-end timestamp, and kWh</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Direct nodal load</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ERSE / PDIRT; PDIRD</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Planning and equipment inventories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Delivery-point profiles, circuits, and ratings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Residual weights and parameter evidence</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REN / REE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Transmission system and interconnection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Circuit, length, and capacity aggregates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Inventory, calibration, and context</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GISCO</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Continental Portugal</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National boundary geometry</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Spatial clipping and cartography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E-REDES auxiliary statistics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14 datasets; multiple resolutions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National, municipal, injection, and seasonal load statistics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External comparison; excluded from nodal construction</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The common modelling window is 2025-05-01 to 2026-03-24. Source entry points, archived versions, and file fingerprints are listed in the data documentation and release manifest.</w:t>
      </w:r>
    </w:p>
    <w:bookmarkEnd w:id="25"/>
    <w:bookmarkStart w:id="26" w:name="archiving-and-standardization"/>
    <w:p>
      <w:pPr>
        <w:pStyle w:val="Heading3"/>
      </w:pPr>
      <w:r>
        <w:rPr>
          <w:rFonts w:ascii="Times New Roman" w:hAnsi="Times New Roman"/>
        </w:rPr>
        <w:t xml:space="preserve">2.1.2 Archiving and Standardization</w:t>
      </w:r>
    </w:p>
    <w:p>
      <w:pPr>
        <w:pStyle w:val="FirstParagraph"/>
      </w:pPr>
      <w:r>
        <w:rPr>
          <w:rFonts w:ascii="Times New Roman" w:hAnsi="Times New Roman"/>
        </w:rPr>
        <w:t xml:space="preserve">Raw files are archived immutably by source together with the source URL, download time, file size, and SHA-256 hash; processing reads the raw layer without modifying it. Coordinates are stored in World Geodetic System 1984 (WGS 84) and transformed to the Portuguese national projection for distance calculations. Voltage, power, energy, and distance are standardized to kV, MW/Mvar, kWh, and km. E-REDES 15-minute energy is converted to interval-average power as</w:t>
      </w:r>
    </w:p>
    <w:p>
      <w:pPr>
        <w:pStyle w:val="BodyText"/>
        <w:spacing w:before="80" w:after="80"/>
        <w:jc w:val="center"/>
      </w:pPr>
      <m:oMathPara>
        <m:oMathParaPr>
          <m:jc m:val="center"/>
        </m:oMathParaP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m:oMathPara>
    </w:p>
    <w:p>
      <w:pPr>
        <w:pStyle w:val="FirstParagraph"/>
      </w:pPr>
      <w:r>
        <w:rPr>
          <w:rFonts w:ascii="Times New Roman" w:hAnsi="Times New Roman"/>
        </w:rPr>
        <w:t xml:space="preserve">Both Europe/Lisbon local time and UTC are retained. Stable identifiers are derived from source equipment codes, and every derived object retains source keys and processing status. Supplementary Table S1 maps raw source fields to standardized semantics.</w:t>
      </w:r>
    </w:p>
    <w:bookmarkEnd w:id="26"/>
    <w:bookmarkEnd w:id="27"/>
    <w:bookmarkStart w:id="34" w:name="static-network-reconstruction"/>
    <w:p>
      <w:pPr>
        <w:pStyle w:val="Heading2"/>
      </w:pPr>
      <w:r>
        <w:rPr>
          <w:rFonts w:ascii="Times New Roman" w:hAnsi="Times New Roman"/>
        </w:rPr>
        <w:t xml:space="preserve">2.2 Static Network Reconstruction</w:t>
      </w:r>
    </w:p>
    <w:p>
      <w:pPr>
        <w:pStyle w:val="FirstParagraph"/>
      </w:pPr>
      <w:r>
        <w:rPr>
          <w:rFonts w:ascii="Times New Roman" w:hAnsi="Times New Roman"/>
        </w:rPr>
        <w:t xml:space="preserve">The static network is represented as</w:t>
      </w:r>
    </w:p>
    <w:p>
      <w:pPr>
        <w:pStyle w:val="BodyText"/>
        <w:spacing w:before="80" w:after="80"/>
        <w:jc w:val="center"/>
      </w:pPr>
      <m:oMathPara>
        <m:oMathParaPr>
          <m:jc m:val="center"/>
        </m:oMathParaPr>
        <m:oMath>
          <m:r>
            <m:t>G</m:t>
          </m:r>
          <m:r>
            <m:rPr>
              <m:sty m:val="p"/>
            </m:rPr>
            <m:t>=</m:t>
          </m:r>
          <m:d>
            <m:dPr>
              <m:begChr m:val="("/>
              <m:endChr m:val=")"/>
              <m:sepChr m:val=""/>
              <m:grow/>
            </m:dPr>
            <m:e>
              <m:r>
                <m:t>B</m:t>
              </m:r>
              <m:r>
                <m:rPr>
                  <m:sty m:val="p"/>
                </m:rPr>
                <m:t>,</m:t>
              </m:r>
              <m:r>
                <m:t>L</m:t>
              </m:r>
              <m:r>
                <m:rPr>
                  <m:sty m:val="p"/>
                </m:rPr>
                <m:t>,</m:t>
              </m:r>
              <m:r>
                <m:t>T</m:t>
              </m:r>
            </m:e>
          </m:d>
          <m:r>
            <m:rPr>
              <m:sty m:val="p"/>
            </m:rPr>
            <m:t>,</m:t>
          </m:r>
        </m:oMath>
      </m:oMathPara>
    </w:p>
    <w:p>
      <w:pPr>
        <w:pStyle w:val="FirstParagraph"/>
      </w:pPr>
      <w:r>
        <w:rPr>
          <w:rFonts w:ascii="Times New Roman" w:hAnsi="Times New Roman"/>
        </w:rPr>
        <w:t xml:space="preserve">where</w:t>
      </w:r>
      <w:r>
        <w:rPr>
          <w:rFonts w:ascii="Times New Roman" w:hAnsi="Times New Roman"/>
        </w:rPr>
        <w:t xml:space="preserve"> </w:t>
      </w:r>
      <m:oMath>
        <m:r>
          <m:t>B</m:t>
        </m:r>
      </m:oMath>
      <w:r>
        <w:rPr>
          <w:rFonts w:ascii="Times New Roman" w:hAnsi="Times New Roman"/>
        </w:rPr>
        <w:t xml:space="preserve">,</w:t>
      </w:r>
      <w:r>
        <w:rPr>
          <w:rFonts w:ascii="Times New Roman" w:hAnsi="Times New Roman"/>
        </w:rPr>
        <w:t xml:space="preserve"> </w:t>
      </w:r>
      <m:oMath>
        <m:r>
          <m:t>L</m:t>
        </m:r>
      </m:oMath>
      <w:r>
        <w:rPr>
          <w:rFonts w:ascii="Times New Roman" w:hAnsi="Times New Roman"/>
        </w:rPr>
        <w:t xml:space="preserve">, and</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denote buses, lines, and transformers. Connections are established in the order source relationship, voltage consistency, and constrained spatial matching. This hierarchy prevents geographic proximity or line crossings from being interpreted directly as electrical connectivity.</w:t>
      </w:r>
    </w:p>
    <w:bookmarkStart w:id="28" w:name="buses-and-lines"/>
    <w:p>
      <w:pPr>
        <w:pStyle w:val="Heading3"/>
      </w:pPr>
      <w:r>
        <w:rPr>
          <w:rFonts w:ascii="Times New Roman" w:hAnsi="Times New Roman"/>
        </w:rPr>
        <w:t xml:space="preserve">2.2.1 Buses and Lines</w:t>
      </w:r>
    </w:p>
    <w:p>
      <w:pPr>
        <w:pStyle w:val="FirstParagraph"/>
      </w:pPr>
      <w:r>
        <w:rPr>
          <w:rFonts w:ascii="Times New Roman" w:hAnsi="Times New Roman"/>
        </w:rPr>
        <w:t xml:space="preserve">E-REDES is preferred for 60/130 kV lines, whereas OSM supplies most 150/220/400 kV lines and facilities; the latter are checked against REN length statistics. Duplicate E-REDES facilities, mobile facilities within 250 m of permanent stations, and colocated same-name stations are normalized while retaining a merge ledger.</w:t>
      </w:r>
    </w:p>
    <w:p>
      <w:pPr>
        <w:pStyle w:val="BodyText"/>
      </w:pPr>
      <w:r>
        <w:rPr>
          <w:rFonts w:ascii="Times New Roman" w:hAnsi="Times New Roman"/>
        </w:rPr>
        <w:t xml:space="preserve">Line endpoints are grouped by voltage and clustered within 75 m in EPSG:3763 coordinates. Different voltage levels are never merged. Each endpoint cluster is assigned to a same-voltage facility within 250 m; otherwise, a derived connection bus is created. OSM ways are split only at way endpoints or explicit shared nodes, so geometric crossings do not create connections. The OSM</w:t>
      </w:r>
      <w:r>
        <w:rPr>
          <w:rFonts w:ascii="Times New Roman" w:hAnsi="Times New Roman"/>
        </w:rPr>
        <w:t xml:space="preserve"> </w:t>
      </w:r>
      <w:r>
        <w:rPr>
          <w:rStyle w:val="VerbatimChar"/>
          <w:rFonts w:ascii="Times New Roman" w:hAnsi="Times New Roman"/>
        </w:rPr>
        <w:t xml:space="preserve">circuit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line_section</w:t>
      </w:r>
      <w:r>
        <w:rPr>
          <w:rFonts w:ascii="Times New Roman" w:hAnsi="Times New Roman"/>
        </w:rPr>
        <w:t xml:space="preserve"> </w:t>
      </w:r>
      <w:r>
        <w:rPr>
          <w:rFonts w:ascii="Times New Roman" w:hAnsi="Times New Roman"/>
        </w:rPr>
        <w:t xml:space="preserve">relations restore circuit identity. Parallel circuits are retained, while self-loops and non-positive-length branches are blocked and recorded.</w:t>
      </w:r>
    </w:p>
    <w:bookmarkEnd w:id="28"/>
    <w:bookmarkStart w:id="32" w:name="transformers-and-parameters"/>
    <w:p>
      <w:pPr>
        <w:pStyle w:val="Heading3"/>
      </w:pPr>
      <w:r>
        <w:rPr>
          <w:rFonts w:ascii="Times New Roman" w:hAnsi="Times New Roman"/>
        </w:rPr>
        <w:t xml:space="preserve">2.2.2 Transformers and Parameters</w:t>
      </w:r>
    </w:p>
    <w:p>
      <w:pPr>
        <w:pStyle w:val="FirstParagraph"/>
      </w:pPr>
      <w:r>
        <w:rPr>
          <w:rFonts w:ascii="Times New Roman" w:hAnsi="Times New Roman"/>
        </w:rPr>
        <w:t xml:space="preserve">Transformers are created from three evidence classes. Explicit OSM transformers are matched to high- and low-voltage buses within 1 km. Adjacent voltage levels in the same OSM substation produce colocated transformers. RARI (Regulamento do Acesso às Redes e às Interligações do Setor Elétrico) boundary names are matched to facilities within 5 km, with a fallback to a 60 kV endpoint within 1 km of the high-voltage station. Public</w:t>
      </w:r>
      <w:r>
        <w:rPr>
          <w:rFonts w:ascii="Times New Roman" w:hAnsi="Times New Roman"/>
        </w:rPr>
        <w:t xml:space="preserve"> </w:t>
      </w:r>
      <w:r>
        <w:rPr>
          <w:rStyle w:val="VerbatimChar"/>
          <w:rFonts w:ascii="Times New Roman" w:hAnsi="Times New Roman"/>
        </w:rPr>
        <w:t xml:space="preserve">rating</w:t>
      </w:r>
      <w:r>
        <w:rPr>
          <w:rFonts w:ascii="Times New Roman" w:hAnsi="Times New Roman"/>
        </w:rPr>
        <w:t xml:space="preserve"> </w:t>
      </w:r>
      <w:r>
        <w:rPr>
          <w:rFonts w:ascii="Times New Roman" w:hAnsi="Times New Roman"/>
        </w:rPr>
        <w:t xml:space="preserve">values take precedence; remaining capacities and impedances use voltage-pair proxies. A voltage-pair capacity is scaled upward when its aggregate falls below the corresponding REN total, and the calibration factor is retained (</w:t>
      </w:r>
      <w:hyperlink w:anchor="ref-RENDataHub2026">
        <w:r>
          <w:rPr>
            <w:rStyle w:val="Hyperlink"/>
          </w:rPr>
          <w:t xml:space="preserve">REN, n.d.</w:t>
        </w:r>
      </w:hyperlink>
      <w:r>
        <w:rPr>
          <w:rFonts w:ascii="Times New Roman" w:hAnsi="Times New Roman"/>
        </w:rPr>
        <w:t xml:space="preserve">).</w:t>
      </w:r>
    </w:p>
    <w:p>
      <w:pPr>
        <w:pStyle w:val="BodyText"/>
      </w:pPr>
      <w:r>
        <w:rPr>
          <w:rFonts w:ascii="Times New Roman" w:hAnsi="Times New Roman"/>
        </w:rPr>
        <w:t xml:space="preserve">Line parameters comprise</w:t>
      </w:r>
      <w:r>
        <w:rPr>
          <w:rFonts w:ascii="Times New Roman" w:hAnsi="Times New Roman"/>
        </w:rPr>
        <w:t xml:space="preserve"> </w:t>
      </w:r>
      <m:oMath>
        <m:r>
          <m:t>r</m:t>
        </m:r>
      </m:oMath>
      <w:r>
        <w:rPr>
          <w:rFonts w:ascii="Times New Roman" w:hAnsi="Times New Roman"/>
        </w:rPr>
        <w:t xml:space="preserve">,</w:t>
      </w:r>
      <w:r>
        <w:rPr>
          <w:rFonts w:ascii="Times New Roman" w:hAnsi="Times New Roman"/>
        </w:rPr>
        <w:t xml:space="preserve"> </w:t>
      </w:r>
      <m:oMath>
        <m:r>
          <m:t>x</m:t>
        </m:r>
      </m:oMath>
      <w:r>
        <w:rPr>
          <w:rFonts w:ascii="Times New Roman" w:hAnsi="Times New Roman"/>
        </w:rPr>
        <w:t xml:space="preserve">,</w:t>
      </w:r>
      <w:r>
        <w:rPr>
          <w:rFonts w:ascii="Times New Roman" w:hAnsi="Times New Roman"/>
        </w:rPr>
        <w:t xml:space="preserve"> </w:t>
      </w:r>
      <m:oMath>
        <m:r>
          <m:t>c</m:t>
        </m:r>
      </m:oMath>
      <w:r>
        <w:rPr>
          <w:rFonts w:ascii="Times New Roman" w:hAnsi="Times New Roman"/>
        </w:rPr>
        <w:t xml:space="preserve">, and</w:t>
      </w:r>
      <w:r>
        <w:rPr>
          <w:rFonts w:ascii="Times New Roman" w:hAnsi="Times New Roman"/>
        </w:rPr>
        <w:t xml:space="preserve"> </w:t>
      </w:r>
      <m:oMath>
        <m:sSub>
          <m:e>
            <m:r>
              <m:t>I</m:t>
            </m:r>
          </m:e>
          <m:sub>
            <m:r>
              <m:rPr>
                <m:sty m:val="p"/>
              </m:rPr>
              <m:t>max</m:t>
            </m:r>
          </m:sub>
        </m:sSub>
      </m:oMath>
      <w:r>
        <w:rPr>
          <w:rFonts w:ascii="Times New Roman" w:hAnsi="Times New Roman"/>
        </w:rPr>
        <w:t xml:space="preserve">. Each 60 kV branch is matched to a public PDIRD circuit inventory by a length-weighted shortest path, accepted only when the model-to-source length ratio lies between 0.65 and 1.60 (</w:t>
      </w:r>
      <w:hyperlink w:anchor="ref-EREDESPDIRD2020AnnexB">
        <w:r>
          <w:rPr>
            <w:rStyle w:val="Hyperlink"/>
          </w:rPr>
          <w:t xml:space="preserve">E-REDES and ERSE, 2020</w:t>
        </w:r>
      </w:hyperlink>
      <w:r>
        <w:rPr>
          <w:rFonts w:ascii="Times New Roman" w:hAnsi="Times New Roman"/>
        </w:rPr>
        <w:t xml:space="preserve">). Remaining lines use voltage-class defaults and cable correction factors. Each parameter is labelled as directly published, derived from public documentation, aggregate-calibrated, or an engineering proxy. Some resistance support is transferred from conductor parameters reported in project documentation (</w:t>
      </w:r>
      <w:hyperlink w:anchor="ref-Tocha2019">
        <w:r>
          <w:rPr>
            <w:rStyle w:val="Hyperlink"/>
          </w:rPr>
          <w:t xml:space="preserve">EDP Distribuição, 2019</w:t>
        </w:r>
      </w:hyperlink>
      <w:r>
        <w:rPr>
          <w:rFonts w:ascii="Times New Roman" w:hAnsi="Times New Roman"/>
        </w:rPr>
        <w:t xml:space="preserve">); this transfer remains an engineering assumption rather than a direct line measurement.</w:t>
      </w:r>
    </w:p>
    <w:p>
      <w:pPr>
        <w:pStyle w:val="BodyText"/>
      </w:pPr>
      <w:r>
        <w:rPr>
          <w:rFonts w:ascii="Times New Roman" w:hAnsi="Times New Roman"/>
        </w:rPr>
        <w:t xml:space="preserve">Post-construction checks cover equipment keys, endpoints, positive length, voltage consistency, connected components, and the Portugal–Spain boundary inventory. Lengths at 150, 220, and 400 kV are compared with REN statistics. Parameter completeness means that the model is computationally usable; it does not mean that all parameters are operator measurements.</w:t>
      </w:r>
    </w:p>
    <w:p>
      <w:pPr>
        <w:pStyle w:val="BodyText"/>
      </w:pPr>
      <w:r>
        <w:rPr>
          <w:rFonts w:ascii="Times New Roman" w:hAnsi="Times New Roman"/>
        </w:rPr>
        <w:t xml:space="preserve">Figure 1 illustrates the connection decisions, and Table 3 lists thresholds and unmatched-record handling.</w:t>
      </w:r>
    </w:p>
    <w:p>
      <w:pPr>
        <w:pStyle w:val="CaptionedFigure"/>
        <w:keepNext/>
        <w:spacing w:before="100" w:after="40"/>
        <w:jc w:val="center"/>
      </w:pPr>
      <w:r>
        <w:rPr>
          <w:rFonts w:ascii="Times New Roman" w:hAnsi="Times New Roman"/>
        </w:rPr>
        <w:drawing>
          <wp:inline>
            <wp:extent cx="5334000" cy="3037416"/>
            <wp:effectExtent b="0" l="0" r="0" t="0"/>
            <wp:docPr descr="Figure 1" title="" id="30" name="Picture"/>
            <a:graphic>
              <a:graphicData uri="http://schemas.openxmlformats.org/drawingml/2006/picture">
                <pic:pic>
                  <pic:nvPicPr>
                    <pic:cNvPr descr="figures_final/fig01_network_reconstruction.png" id="31" name="Picture"/>
                    <pic:cNvPicPr>
                      <a:picLocks noChangeArrowheads="1" noChangeAspect="1"/>
                    </pic:cNvPicPr>
                  </pic:nvPicPr>
                  <pic:blipFill>
                    <a:blip r:embed="rId29"/>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w:t>
      </w:r>
    </w:p>
    <w:p>
      <w:pPr>
        <w:pStyle w:val="BodyText"/>
      </w:pPr>
      <w:r>
        <w:rPr>
          <w:rFonts w:ascii="Times New Roman" w:hAnsi="Times New Roman"/>
          <w:b/>
          <w:bCs/>
        </w:rPr>
        <w:t xml:space="preserve">Figure 1—Connection rules used in static-network reconstruction.</w:t>
      </w:r>
      <w:r>
        <w:rPr>
          <w:rFonts w:ascii="Times New Roman" w:hAnsi="Times New Roman"/>
        </w:rPr>
        <w:t xml:space="preserve"> </w:t>
      </w:r>
      <w:r>
        <w:rPr>
          <w:rFonts w:ascii="Times New Roman" w:hAnsi="Times New Roman"/>
        </w:rPr>
        <w:t xml:space="preserve">(a)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w:t>
      </w:r>
    </w:p>
    <w:p>
      <w:pPr>
        <w:pStyle w:val="BodyText"/>
        <w:keepNext/>
        <w:spacing w:before="120" w:after="40"/>
        <w:jc w:val="left"/>
      </w:pPr>
      <w:r>
        <w:rPr>
          <w:rFonts w:ascii="Times New Roman" w:hAnsi="Times New Roman"/>
          <w:b/>
          <w:bCs/>
          <w:sz w:val="18"/>
        </w:rPr>
        <w:t xml:space="preserve">Table 3—Topology rules and thresholds.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640"/>
        <w:gridCol w:w="2640"/>
        <w:gridCol w:w="264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Object / step</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Rule or threshold</w:t>
            </w:r>
          </w:p>
        </w:tc>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Constraint / unmatched handling</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Distance coordinates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EPSG:3763; metres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Longitude and latitude stored in WGS 84</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Endpoint clustering</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75 m within the same voltage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Different voltages are not merged</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Facility assignment</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Same-voltage facility within 250 m</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Create a derived connection bus if unmatched</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Facility normalization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Duplicate or colocated same-name facilities; mobile facilities within 250 m of permanent stations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Retain merge records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OSM splitting</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Way endpoints or explicit shared nodes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Geometric crossings do not create connections</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Circuit identity</w:t>
            </w:r>
          </w:p>
        </w:tc>
        <w:tc>
          <w:tcPr>
            <w:vAlign w:val="center"/>
            <w:tcMar>
              <w:top w:w="70" w:type="dxa"/>
              <w:start w:w="75" w:type="dxa"/>
              <w:bottom w:w="70" w:type="dxa"/>
              <w:end w:w="75" w:type="dxa"/>
            </w:tcMar>
            <w:shd w:fill="F3F7FA"/>
          </w:tcPr>
          <w:p>
            <w:pPr>
              <w:pStyle w:val="Compact"/>
              <w:spacing w:before="0" w:after="0" w:line="240" w:lineRule="auto"/>
            </w:pPr>
            <w:r>
              <w:rPr>
                <w:rStyle w:val="VerbatimChar"/>
                <w:rFonts w:ascii="Arial" w:hAnsi="Arial"/>
                <w:color w:val="000000"/>
                <w:sz w:val="16"/>
              </w:rPr>
              <w:t xml:space="preserve">circuit</w:t>
            </w:r>
            <w:r>
              <w:rPr>
                <w:rFonts w:ascii="Arial" w:hAnsi="Arial"/>
                <w:color w:val="000000"/>
                <w:sz w:val="16"/>
              </w:rPr>
              <w:t xml:space="preserve"> </w:t>
            </w:r>
            <w:r>
              <w:rPr>
                <w:rFonts w:ascii="Arial" w:hAnsi="Arial"/>
                <w:color w:val="000000"/>
                <w:sz w:val="16"/>
              </w:rPr>
              <w:t xml:space="preserve">/</w:t>
            </w:r>
            <w:r>
              <w:rPr>
                <w:rFonts w:ascii="Arial" w:hAnsi="Arial"/>
                <w:color w:val="000000"/>
                <w:sz w:val="16"/>
              </w:rPr>
              <w:t xml:space="preserve"> </w:t>
            </w:r>
            <w:r>
              <w:rPr>
                <w:rStyle w:val="VerbatimChar"/>
                <w:rFonts w:ascii="Arial" w:hAnsi="Arial"/>
                <w:color w:val="000000"/>
                <w:sz w:val="16"/>
              </w:rPr>
              <w:t xml:space="preserve">line_section</w:t>
            </w:r>
            <w:r>
              <w:rPr>
                <w:rFonts w:ascii="Arial" w:hAnsi="Arial"/>
                <w:color w:val="000000"/>
                <w:sz w:val="16"/>
              </w:rPr>
              <w:t xml:space="preserve">; parallel circuits retained</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N−1 removes series model segments by physical circuit</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Explicit transformer</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Match high- and low-voltage buses within 1 km</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Preserve voltage-level consistency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Colocated transformer</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Adjacent voltage levels in one OSM station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Derived connection with evidence level retained</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RARI boundary</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Name-to-facility match within 5 km</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May fall back to a 60 kV endpoint within 1 km of the high-voltage station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PDIRD parameter path</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Length-weighted shortest path; model/source length 0.65–1.60</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Use voltage-class proxy when rejected</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Blocking checks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Self-loop, non-positive length, endpoint or voltage conflict</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Record and block invalid branches</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Rules are defined in Section 2.2 and</w:t>
      </w:r>
      <w:r>
        <w:rPr>
          <w:rFonts w:ascii="Times New Roman" w:hAnsi="Times New Roman"/>
          <w:i/>
          <w:sz w:val="17"/>
        </w:rPr>
        <w:t xml:space="preserve"> </w:t>
      </w:r>
      <w:r>
        <w:rPr>
          <w:rStyle w:val="VerbatimChar"/>
          <w:rFonts w:ascii="Times New Roman" w:hAnsi="Times New Roman"/>
          <w:i/>
          <w:sz w:val="17"/>
        </w:rPr>
        <w:t xml:space="preserve">model_config.json</w:t>
      </w:r>
      <w:r>
        <w:rPr>
          <w:rFonts w:ascii="Times New Roman" w:hAnsi="Times New Roman"/>
          <w:i/>
          <w:sz w:val="17"/>
        </w:rPr>
        <w:t xml:space="preserve">. All distances are projected planar distances. They are reconstruction rules, not operator accuracy guarantees. Default electrical parameters and coverage rules are reported in Supplementary Table S2.</w:t>
      </w:r>
    </w:p>
    <w:bookmarkEnd w:id="32"/>
    <w:bookmarkStart w:id="33" w:name="Xefefd72f15ef8eb94d82faa2f6649a6349cf7d4"/>
    <w:p>
      <w:pPr>
        <w:pStyle w:val="Heading3"/>
      </w:pPr>
      <w:r>
        <w:rPr>
          <w:rFonts w:ascii="Times New Roman" w:hAnsi="Times New Roman"/>
        </w:rPr>
        <w:t xml:space="preserve">2.2.3 Evidence Applicability and Historical Availability</w:t>
      </w:r>
    </w:p>
    <w:p>
      <w:pPr>
        <w:pStyle w:val="FirstParagraph"/>
      </w:pPr>
      <w:r>
        <w:rPr>
          <w:rFonts w:ascii="Times New Roman" w:hAnsi="Times New Roman"/>
        </w:rPr>
        <w:t xml:space="preserve">Static-source dates and operating-case dates are versioned separately. Only assets with an explicit commissioning date are switched by time. Ordinary lines, transformers, and interconnections retain the frozen static state when contemporaneous status records are unavailable. Project documents support only the stated equipment and fields and are not used to infer historical switching states. Cross-section scaling of conductor resistance and transfer to other conductor families remain engineering assumptions. Document pages, equipment identifiers, and field-level judgements are stored in</w:t>
      </w:r>
      <w:r>
        <w:rPr>
          <w:rFonts w:ascii="Times New Roman" w:hAnsi="Times New Roman"/>
        </w:rPr>
        <w:t xml:space="preserve"> </w:t>
      </w:r>
      <w:r>
        <w:rPr>
          <w:rStyle w:val="VerbatimChar"/>
          <w:rFonts w:ascii="Times New Roman" w:hAnsi="Times New Roman"/>
        </w:rPr>
        <w:t xml:space="preserve">citation_evidence_ledger.csv</w:t>
      </w:r>
      <w:r>
        <w:rPr>
          <w:rFonts w:ascii="Times New Roman" w:hAnsi="Times New Roman"/>
        </w:rPr>
        <w:t xml:space="preserve">; Table 4 summarizes temporal handling.</w:t>
      </w:r>
    </w:p>
    <w:p>
      <w:pPr>
        <w:pStyle w:val="BodyText"/>
        <w:keepNext/>
        <w:spacing w:before="120" w:after="40"/>
        <w:jc w:val="left"/>
      </w:pPr>
      <w:r>
        <w:rPr>
          <w:rFonts w:ascii="Times New Roman" w:hAnsi="Times New Roman"/>
          <w:b/>
          <w:bCs/>
          <w:sz w:val="18"/>
        </w:rPr>
        <w:t xml:space="preserve">Table 4—Source versions, validity dates, and case treatment.</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640"/>
        <w:gridCol w:w="2640"/>
        <w:gridCol w:w="264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Object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Date or status evidence</w:t>
            </w:r>
          </w:p>
        </w:tc>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Case treatment and limitation</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Ordinary lines and transformers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Historical status absent for most individual devices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Frozen static state; not a complete historical replay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New Minho–Galicia interconnection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REE announcement dated 2026-07-02</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Disabled in every study case</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Other Portugal–Spain interconnections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Maintenance and switching histories unavailable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Fixed boundary equivalent; historical maps used only to check corridor names (</w:t>
            </w:r>
            <w:hyperlink w:anchor="ref-REE2012">
              <w:r>
                <w:rPr>
                  <w:rStyle w:val="Hyperlink"/>
                </w:rPr>
                <w:t xml:space="preserve">REE, 2012</w:t>
              </w:r>
            </w:hyperlink>
            <w:r>
              <w:rPr>
                <w:rFonts w:ascii="Arial" w:hAnsi="Arial"/>
                <w:color w:val="000000"/>
                <w:sz w:val="16"/>
              </w:rPr>
              <w:t xml:space="preserve">)</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Generation and storage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366 dated and 824 undated assets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Known dates gate availability; unknown dates are treated as available and flagged</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PDIRT/PDIRD and project evidence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Planning inventories, seasonal profiles, or project records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Parameter, weight, and connection evidence; no inference of real-time commissioning</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In N1-3787, the capacity and voltage pair of the three Estoi parallel equivalents are supported by a planning inventory, but simultaneous availability and identical parameters remain model assumptions (</w:t>
      </w:r>
      <w:hyperlink w:anchor="ref-REN2015Estoi">
        <w:r>
          <w:rPr>
            <w:rStyle w:val="Hyperlink"/>
          </w:rPr>
          <w:t xml:space="preserve">REN, 2015</w:t>
        </w:r>
      </w:hyperlink>
      <w:r>
        <w:rPr>
          <w:rFonts w:ascii="Times New Roman" w:hAnsi="Times New Roman"/>
          <w:i/>
          <w:sz w:val="17"/>
        </w:rPr>
        <w:t xml:space="preserve">).</w:t>
      </w:r>
    </w:p>
    <w:bookmarkEnd w:id="33"/>
    <w:bookmarkEnd w:id="34"/>
    <w:bookmarkStart w:id="37" w:name="asset-mapping-and-time-series-alignment"/>
    <w:p>
      <w:pPr>
        <w:pStyle w:val="Heading2"/>
      </w:pPr>
      <w:r>
        <w:rPr>
          <w:rFonts w:ascii="Times New Roman" w:hAnsi="Times New Roman"/>
        </w:rPr>
        <w:t xml:space="preserve">2.3 Asset Mapping and Time-Series Alignment</w:t>
      </w:r>
    </w:p>
    <w:bookmarkStart w:id="35" w:name="asset-mapping-and-calendar"/>
    <w:p>
      <w:pPr>
        <w:pStyle w:val="Heading3"/>
      </w:pPr>
      <w:r>
        <w:rPr>
          <w:rFonts w:ascii="Times New Roman" w:hAnsi="Times New Roman"/>
        </w:rPr>
        <w:t xml:space="preserve">2.3.1 Asset Mapping and Calendar</w:t>
      </w:r>
    </w:p>
    <w:p>
      <w:pPr>
        <w:pStyle w:val="FirstParagraph"/>
      </w:pPr>
      <w:r>
        <w:rPr>
          <w:rFonts w:ascii="Times New Roman" w:hAnsi="Times New Roman"/>
        </w:rPr>
        <w:t xml:space="preserve">The generation and storage inventory combines OSM, DGEG, and project evidence. Plant and generator representations within 3 km and with consistent capacity are merged. DGEG wind records replace incomplete OSM wind capacities, and non-duplicate DGEG photovoltaic records supplement OSM. Mapping priority is public connection evidence, declared voltage, and then constrained spatial proximity. An asset without declared voltage and with capacity of at least 100 MW searches only buses at 150 kV and above; smaller assets search buses at 60 kV and above. The maximum distance is 20 km. Assets beyond this distance remain in the inventory but are not injected. Assets commissioned after a case date are unavailable; missing dates are treated as available and explicitly flagged.</w:t>
      </w:r>
    </w:p>
    <w:p>
      <w:pPr>
        <w:pStyle w:val="BodyText"/>
      </w:pPr>
      <w:r>
        <w:rPr>
          <w:rFonts w:ascii="Times New Roman" w:hAnsi="Times New Roman"/>
        </w:rPr>
        <w:t xml:space="preserve">The common calendar uses</w:t>
      </w:r>
      <w:r>
        <w:rPr>
          <w:rFonts w:ascii="Times New Roman" w:hAnsi="Times New Roman"/>
        </w:rPr>
        <w:t xml:space="preserve"> </w:t>
      </w:r>
      <w:r>
        <w:rPr>
          <w:rStyle w:val="VerbatimChar"/>
          <w:rFonts w:ascii="Times New Roman" w:hAnsi="Times New Roman"/>
        </w:rPr>
        <w:t xml:space="preserve">interval_start_utc</w:t>
      </w:r>
      <w:r>
        <w:rPr>
          <w:rFonts w:ascii="Times New Roman" w:hAnsi="Times New Roman"/>
        </w:rPr>
        <w:t xml:space="preserve"> </w:t>
      </w:r>
      <w:r>
        <w:rPr>
          <w:rFonts w:ascii="Times New Roman" w:hAnsi="Times New Roman"/>
        </w:rPr>
        <w:t xml:space="preserve">as its logical key. REN timestamps denote interval starts, whereas E-REDES timestamps denote interval ends:</w:t>
      </w:r>
    </w:p>
    <w:p>
      <w:pPr>
        <w:pStyle w:val="BodyText"/>
        <w:spacing w:before="80" w:after="80"/>
        <w:jc w:val="center"/>
      </w:pPr>
      <m:oMathPara>
        <m:oMathParaPr>
          <m:jc m:val="center"/>
        </m:oMathParaP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m:oMathPara>
    </w:p>
    <w:p>
      <w:pPr>
        <w:pStyle w:val="FirstParagraph"/>
      </w:pPr>
      <w:r>
        <w:rPr>
          <w:rFonts w:ascii="Times New Roman" w:hAnsi="Times New Roman"/>
        </w:rPr>
        <w:t xml:space="preserve">Calendar days follow Europe/Lisbon civil time, giving 92 and 100 intervals on the spring and autumn daylight-saving transitions. REN intra-day sequence numbers distinguish the repeated hour. E-REDES has no fold marker, so duplicate station timestamps are averaged and flagged as ambiguous. Missing intervals are not interpolated.</w:t>
      </w:r>
    </w:p>
    <w:bookmarkEnd w:id="35"/>
    <w:bookmarkStart w:id="36" w:name="load-generation-and-storage"/>
    <w:p>
      <w:pPr>
        <w:pStyle w:val="Heading3"/>
      </w:pPr>
      <w:r>
        <w:rPr>
          <w:rFonts w:ascii="Times New Roman" w:hAnsi="Times New Roman"/>
        </w:rPr>
        <w:t xml:space="preserve">2.3.2 Load, Generation, and Storage</w:t>
      </w:r>
    </w:p>
    <w:p>
      <w:pPr>
        <w:pStyle w:val="FirstParagraph"/>
      </w:pPr>
      <w:r>
        <w:rPr>
          <w:rFonts w:ascii="Times New Roman" w:hAnsi="Times New Roman"/>
        </w:rPr>
        <w:t xml:space="preserve">E-REDES energy is mapped to buses by facility code and converted to nodal load. The unobserved national residual is</w:t>
      </w:r>
    </w:p>
    <w:p>
      <w:pPr>
        <w:pStyle w:val="BodyText"/>
        <w:spacing w:before="80" w:after="80"/>
        <w:jc w:val="center"/>
      </w:pPr>
      <m:oMathPara>
        <m:oMathParaPr>
          <m:jc m:val="center"/>
        </m:oMathParaP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m:oMathPara>
    </w:p>
    <w:p>
      <w:pPr>
        <w:pStyle w:val="FirstParagraph"/>
      </w:pPr>
      <w:r>
        <w:rPr>
          <w:rFonts w:ascii="Times New Roman" w:hAnsi="Times New Roman"/>
        </w:rPr>
        <w:t xml:space="preserve">The residual is assigned to mapped delivery points using the PDIRT public reference profile from the same season and closest national-load condition (</w:t>
      </w:r>
      <w:hyperlink w:anchor="ref-ERSEPDIRT2024">
        <w:r>
          <w:rPr>
            <w:rStyle w:val="Hyperlink"/>
          </w:rPr>
          <w:t xml:space="preserve">REN, 2024</w:t>
        </w:r>
      </w:hyperlink>
      <w:r>
        <w:rPr>
          <w:rFonts w:ascii="Times New Roman" w:hAnsi="Times New Roman"/>
        </w:rPr>
        <w:t xml:space="preserve">):</w:t>
      </w:r>
    </w:p>
    <w:p>
      <w:pPr>
        <w:pStyle w:val="BodyText"/>
        <w:spacing w:before="80" w:after="80"/>
        <w:jc w:val="center"/>
      </w:pPr>
      <m:oMathPara>
        <m:oMathParaPr>
          <m:jc m:val="center"/>
        </m:oMathParaP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m:oMathPara>
    </w:p>
    <w:p>
      <w:pPr>
        <w:pStyle w:val="FirstParagraph"/>
      </w:pPr>
      <w:r>
        <w:rPr>
          <w:rFonts w:ascii="Times New Roman" w:hAnsi="Times New Roman"/>
        </w:rPr>
        <w:t xml:space="preserve">The profile provides only spatial weights and does not change the 15-minute resolution. E-REDES load uses a 0.97 power factor where reactive power is not observed; residual load retains the PDIRT</w:t>
      </w:r>
      <w:r>
        <w:rPr>
          <w:rFonts w:ascii="Times New Roman" w:hAnsi="Times New Roman"/>
        </w:rPr>
        <w:t xml:space="preserve"> </w:t>
      </w:r>
      <m:oMath>
        <m:r>
          <m:t>Q</m:t>
        </m:r>
        <m:r>
          <m:rPr>
            <m:sty m:val="p"/>
          </m:rPr>
          <m:t>/</m:t>
        </m:r>
        <m:r>
          <m:t>P</m:t>
        </m:r>
      </m:oMath>
      <w:r>
        <w:rPr>
          <w:rFonts w:ascii="Times New Roman" w:hAnsi="Times New Roman"/>
        </w:rPr>
        <w:t xml:space="preserve"> </w:t>
      </w:r>
      <w:r>
        <w:rPr>
          <w:rFonts w:ascii="Times New Roman" w:hAnsi="Times New Roman"/>
        </w:rPr>
        <w:t xml:space="preserve">relationship. Pumping and battery charging are distributed by mapped storage capacity, with any remainder assigned to an explicit national proxy. Nodal electric load must sum to REN</w:t>
      </w:r>
      <w:r>
        <w:rPr>
          <w:rFonts w:ascii="Times New Roman" w:hAnsi="Times New Roman"/>
        </w:rPr>
        <w:t xml:space="preserve"> </w:t>
      </w:r>
      <w:r>
        <w:rPr>
          <w:rStyle w:val="VerbatimChar"/>
          <w:rFonts w:ascii="Times New Roman" w:hAnsi="Times New Roman"/>
        </w:rPr>
        <w:t xml:space="preserve">Consumption + Storage</w:t>
      </w:r>
      <w:r>
        <w:rPr>
          <w:rFonts w:ascii="Times New Roman" w:hAnsi="Times New Roman"/>
        </w:rPr>
        <w:t xml:space="preserve"> </w:t>
      </w:r>
      <w:r>
        <w:rPr>
          <w:rFonts w:ascii="Times New Roman" w:hAnsi="Times New Roman"/>
        </w:rPr>
        <w:t xml:space="preserve">within 0.11 MW.</w:t>
      </w:r>
    </w:p>
    <w:p>
      <w:pPr>
        <w:pStyle w:val="BodyText"/>
      </w:pPr>
      <w:r>
        <w:rPr>
          <w:rFonts w:ascii="Times New Roman" w:hAnsi="Times New Roman"/>
        </w:rPr>
        <w:t xml:space="preserve">REN generation by technology is distributed among mapped and commissioned assets of the same technology under</w:t>
      </w:r>
      <w:r>
        <w:rPr>
          <w:rFonts w:ascii="Times New Roman" w:hAnsi="Times New Roman"/>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rPr>
        <w:t xml:space="preserve">. Hydro and natural gas use deterministic capacity-priority allocation, while other technologies use available-capacity shares. Generation beyond mapped capacity is injected at a designated 400 kV proxy bus as</w:t>
      </w:r>
      <w:r>
        <w:rPr>
          <w:rFonts w:ascii="Times New Roman" w:hAnsi="Times New Roman"/>
        </w:rPr>
        <w:t xml:space="preserve"> </w:t>
      </w:r>
      <w:r>
        <w:rPr>
          <w:rStyle w:val="VerbatimChar"/>
          <w:rFonts w:ascii="Times New Roman" w:hAnsi="Times New Roman"/>
        </w:rPr>
        <w:t xml:space="preserve">UNMAPPED_NATIONAL_RESIDUAL_PROXY</w:t>
      </w:r>
      <w:r>
        <w:rPr>
          <w:rFonts w:ascii="Times New Roman" w:hAnsi="Times New Roman"/>
        </w:rPr>
        <w:t xml:space="preserve">; it must not be interpreted as the location of an omitted plant.</w:t>
      </w:r>
    </w:p>
    <w:p>
      <w:pPr>
        <w:pStyle w:val="BodyText"/>
      </w:pPr>
      <w:r>
        <w:rPr>
          <w:rFonts w:ascii="Times New Roman" w:hAnsi="Times New Roman"/>
        </w:rPr>
        <w:t xml:space="preserve">REN imports and exports are aligned to the common calendar but withheld from boundary-power enforcement. Before solution, the pipeline checks timestamps, required series, mapping completeness, load and generation conservation, and capacity limits. Table 5 summarizes the executable mapping and conservation rules; Supplementary Table S3 lists the associated audit fields.</w:t>
      </w:r>
    </w:p>
    <w:p>
      <w:pPr>
        <w:pStyle w:val="BodyText"/>
        <w:keepNext/>
        <w:spacing w:before="120" w:after="40"/>
        <w:jc w:val="left"/>
      </w:pPr>
      <w:r>
        <w:rPr>
          <w:rFonts w:ascii="Times New Roman" w:hAnsi="Times New Roman"/>
          <w:b/>
          <w:bCs/>
          <w:sz w:val="18"/>
        </w:rPr>
        <w:t xml:space="preserve">Table 5—Asset mapping and time-series transformation rules.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640"/>
        <w:gridCol w:w="2640"/>
        <w:gridCol w:w="264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Process</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Rule</w:t>
            </w:r>
          </w:p>
        </w:tc>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Audit or conservative treatment</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Asset deduplication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Merge plant/generator records within 3 km and with consistent capacity</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Preserve hierarchical deduplication status</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Bus mapping</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Public connection, declared voltage, then constrained nearest bus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Maximum 20 km; retain but do not inject out-of-range assets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Asset without declared voltage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Capacity ≥100 MW searches ≥150 kV; otherwise ≥60 kV</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Spatial proximity is not treated as connection truth</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Commissioning status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Disable when commissioning date is later than the case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Treat unknown dates as available and flag them</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Time labels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REN start; E-REDES end shifted by −15 min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Common key is UTC interval start</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Daylight saving / missing data</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Lisbon civil days contain 92, 96, or 100 intervals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Average and flag repeated E-REDES station labels; no interpolation</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Energy to power</w:t>
            </w:r>
          </w:p>
        </w:tc>
        <w:tc>
          <w:tcPr>
            <w:vAlign w:val="center"/>
            <w:tcMar>
              <w:top w:w="70" w:type="dxa"/>
              <w:start w:w="75" w:type="dxa"/>
              <w:bottom w:w="70" w:type="dxa"/>
              <w:end w:w="75" w:type="dxa"/>
            </w:tcMar>
          </w:tcPr>
          <w:p>
            <w:pPr>
              <w:pStyle w:val="Compact"/>
              <w:spacing w:before="0" w:after="0" w:line="240" w:lineRule="auto"/>
              <w:jc w:val="center"/>
            </w:pPr>
            <m:oMath>
              <m:r>
                <m:t>P</m:t>
              </m:r>
              <m:d>
                <m:dPr>
                  <m:begChr m:val="("/>
                  <m:endChr m:val=")"/>
                  <m:sepChr m:val=""/>
                  <m:grow/>
                </m:dPr>
                <m:e>
                  <m:r>
                    <m:rPr>
                      <m:sty m:val="p"/>
                    </m:rPr>
                    <m:t>M</m:t>
                  </m:r>
                  <m:r>
                    <m:rPr>
                      <m:sty m:val="p"/>
                    </m:rPr>
                    <m:t>W</m:t>
                  </m:r>
                </m:e>
              </m:d>
              <m:r>
                <m:rPr>
                  <m:sty m:val="p"/>
                </m:rPr>
                <m:t>=</m:t>
              </m:r>
              <m:r>
                <m:t>E</m:t>
              </m:r>
              <m:d>
                <m:dPr>
                  <m:begChr m:val="("/>
                  <m:endChr m:val=")"/>
                  <m:sepChr m:val=""/>
                  <m:grow/>
                </m:dPr>
                <m:e>
                  <m:r>
                    <m:rPr>
                      <m:sty m:val="p"/>
                    </m:rPr>
                    <m:t>k</m:t>
                  </m:r>
                  <m:r>
                    <m:rPr>
                      <m:sty m:val="p"/>
                    </m:rPr>
                    <m:t>W</m:t>
                  </m:r>
                  <m:r>
                    <m:rPr>
                      <m:sty m:val="p"/>
                    </m:rPr>
                    <m:t>h</m:t>
                  </m:r>
                </m:e>
              </m:d>
              <m:r>
                <m:rPr>
                  <m:sty m:val="p"/>
                </m:rPr>
                <m:t>/</m:t>
              </m:r>
              <m:r>
                <m:t>250</m:t>
              </m:r>
            </m:oMath>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Interval-average power over 15 min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Direct load and residual</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E-REDES observations plus PDIRT-weighted REN consumption residual</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pf=0.97 when Q is missing; retain residual Q/P</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Pumping and battery charging</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Positive values are electric load; distribute by mapped storage capacity</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Total load returns to Consumption + Storage</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Generation allocation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Same technology, mapped, commissioned, and nameplate-constrained</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Hydro/gas use capacity priority; others use capacity share</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Unmapped generation residual</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Explicit national proxy-bus injection</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Must not be interpreted as a physical omitted-plant location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Cross-border exchange</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REN imports/exports used only after solution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Initial model solution determines boundary injections</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The physical fields are named</w:t>
      </w:r>
      <w:r>
        <w:rPr>
          <w:rFonts w:ascii="Times New Roman" w:hAnsi="Times New Roman"/>
          <w:i/>
          <w:sz w:val="17"/>
        </w:rPr>
        <w:t xml:space="preserve"> </w:t>
      </w:r>
      <w:r>
        <w:rPr>
          <w:rStyle w:val="VerbatimChar"/>
          <w:rFonts w:ascii="Times New Roman" w:hAnsi="Times New Roman"/>
          <w:i/>
          <w:sz w:val="17"/>
        </w:rPr>
        <w:t xml:space="preserve">timestamp_utc</w:t>
      </w:r>
      <w:r>
        <w:rPr>
          <w:rFonts w:ascii="Times New Roman" w:hAnsi="Times New Roman"/>
          <w:i/>
          <w:sz w:val="17"/>
        </w:rPr>
        <w:t xml:space="preserve"> </w:t>
      </w:r>
      <w:r>
        <w:rPr>
          <w:rFonts w:ascii="Times New Roman" w:hAnsi="Times New Roman"/>
          <w:i/>
          <w:sz w:val="17"/>
        </w:rPr>
        <w:t xml:space="preserve">in the calendar and monthly databases;</w:t>
      </w:r>
      <w:r>
        <w:rPr>
          <w:rFonts w:ascii="Times New Roman" w:hAnsi="Times New Roman"/>
          <w:i/>
          <w:sz w:val="17"/>
        </w:rPr>
        <w:t xml:space="preserve"> </w:t>
      </w:r>
      <w:r>
        <w:rPr>
          <w:rStyle w:val="VerbatimChar"/>
          <w:rFonts w:ascii="Times New Roman" w:hAnsi="Times New Roman"/>
          <w:i/>
          <w:sz w:val="17"/>
        </w:rPr>
        <w:t xml:space="preserve">interval_start_utc</w:t>
      </w:r>
      <w:r>
        <w:rPr>
          <w:rFonts w:ascii="Times New Roman" w:hAnsi="Times New Roman"/>
          <w:i/>
          <w:sz w:val="17"/>
        </w:rPr>
        <w:t xml:space="preserve"> </w:t>
      </w:r>
      <w:r>
        <w:rPr>
          <w:rFonts w:ascii="Times New Roman" w:hAnsi="Times New Roman"/>
          <w:i/>
          <w:sz w:val="17"/>
        </w:rPr>
        <w:t xml:space="preserve">describes their temporal semantics.</w:t>
      </w:r>
    </w:p>
    <w:bookmarkEnd w:id="36"/>
    <w:bookmarkEnd w:id="37"/>
    <w:bookmarkStart w:id="40" w:name="Xcf87b73a2d742fbfcbcb17e03e25b153df55fc3"/>
    <w:p>
      <w:pPr>
        <w:pStyle w:val="Heading2"/>
      </w:pPr>
      <w:r>
        <w:rPr>
          <w:rFonts w:ascii="Times New Roman" w:hAnsi="Times New Roman"/>
        </w:rPr>
        <w:t xml:space="preserve">2.4 Time-Indexed Case Generation and Alternating-Current Power Flow</w:t>
      </w:r>
    </w:p>
    <w:p>
      <w:pPr>
        <w:pStyle w:val="FirstParagraph"/>
      </w:pPr>
      <w:r>
        <w:rPr>
          <w:rFonts w:ascii="Times New Roman" w:hAnsi="Times New Roman"/>
        </w:rPr>
        <w:t xml:space="preserve">Each 15-minute interval defines a steady-state case</w:t>
      </w:r>
    </w:p>
    <w:p>
      <w:pPr>
        <w:pStyle w:val="BodyText"/>
        <w:spacing w:before="80" w:after="80"/>
        <w:jc w:val="center"/>
      </w:pPr>
      <m:oMathPara>
        <m:oMathParaPr>
          <m:jc m:val="center"/>
        </m:oMathParaP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m:oMathPara>
    </w:p>
    <w:p>
      <w:pPr>
        <w:pStyle w:val="FirstParagraph"/>
      </w:pPr>
      <w:r>
        <w:rPr>
          <w:rFonts w:ascii="Times New Roman" w:hAnsi="Times New Roman"/>
        </w:rPr>
        <w:t xml:space="preserve">where the static network</w:t>
      </w:r>
      <w:r>
        <w:rPr>
          <w:rFonts w:ascii="Times New Roman" w:hAnsi="Times New Roman"/>
        </w:rPr>
        <w:t xml:space="preserve"> </w:t>
      </w:r>
      <m:oMath>
        <m:r>
          <m:t>G</m:t>
        </m:r>
      </m:oMath>
      <w:r>
        <w:rPr>
          <w:rFonts w:ascii="Times New Roman" w:hAnsi="Times New Roman"/>
        </w:rPr>
        <w:t xml:space="preserve"> </w:t>
      </w:r>
      <w:r>
        <w:rPr>
          <w:rFonts w:ascii="Times New Roman" w:hAnsi="Times New Roman"/>
        </w:rPr>
        <w:t xml:space="preserve">and parameters</w:t>
      </w:r>
      <w:r>
        <w:rPr>
          <w:rFonts w:ascii="Times New Roman" w:hAnsi="Times New Roman"/>
        </w:rPr>
        <w:t xml:space="preserve"> </w:t>
      </w:r>
      <m:oMath>
        <m:r>
          <m:t>θ</m:t>
        </m:r>
      </m:oMath>
      <w:r>
        <w:rPr>
          <w:rFonts w:ascii="Times New Roman" w:hAnsi="Times New Roman"/>
        </w:rPr>
        <w:t xml:space="preserve"> </w:t>
      </w:r>
      <w:r>
        <w:rPr>
          <w:rFonts w:ascii="Times New Roman" w:hAnsi="Times New Roman"/>
        </w:rPr>
        <w:t xml:space="preserve">are shared, while operating inputs</w:t>
      </w:r>
      <w:r>
        <w:rPr>
          <w:rFonts w:ascii="Times New Roman" w:hAnsi="Times New Roman"/>
        </w:rPr>
        <w:t xml:space="preserve"> </w:t>
      </w:r>
      <m:oMath>
        <m:sSub>
          <m:e>
            <m:r>
              <m:t>X</m:t>
            </m:r>
          </m:e>
          <m:sub>
            <m:r>
              <m:t>t</m:t>
            </m:r>
          </m:sub>
        </m:sSub>
      </m:oMath>
      <w:r>
        <w:rPr>
          <w:rFonts w:ascii="Times New Roman" w:hAnsi="Times New Roman"/>
        </w:rPr>
        <w:t xml:space="preserve">, device status</w:t>
      </w:r>
      <w:r>
        <w:rPr>
          <w:rFonts w:ascii="Times New Roman" w:hAnsi="Times New Roman"/>
        </w:rPr>
        <w:t xml:space="preserve"> </w:t>
      </w:r>
      <m:oMath>
        <m:sSub>
          <m:e>
            <m:r>
              <m:t>S</m:t>
            </m:r>
          </m:e>
          <m:sub>
            <m:r>
              <m:t>t</m:t>
            </m:r>
          </m:sub>
        </m:sSub>
      </m:oMath>
      <w:r>
        <w:rPr>
          <w:rFonts w:ascii="Times New Roman" w:hAnsi="Times New Roman"/>
        </w:rPr>
        <w:t xml:space="preserve">, controls</w:t>
      </w:r>
      <w:r>
        <w:rPr>
          <w:rFonts w:ascii="Times New Roman" w:hAnsi="Times New Roman"/>
        </w:rPr>
        <w:t xml:space="preserve"> </w:t>
      </w:r>
      <m:oMath>
        <m:sSub>
          <m:e>
            <m:r>
              <m:t>U</m:t>
            </m:r>
          </m:e>
          <m:sub>
            <m:r>
              <m:t>t</m:t>
            </m:r>
          </m:sub>
        </m:sSub>
      </m:oMath>
      <w:r>
        <w:rPr>
          <w:rFonts w:ascii="Times New Roman" w:hAnsi="Times New Roman"/>
        </w:rPr>
        <w:t xml:space="preserve">, and boundary equivalent</w:t>
      </w:r>
      <w:r>
        <w:rPr>
          <w:rFonts w:ascii="Times New Roman" w:hAnsi="Times New Roman"/>
        </w:rPr>
        <w:t xml:space="preserve"> </w:t>
      </w:r>
      <m:oMath>
        <m:sSub>
          <m:e>
            <m:r>
              <m:t>B</m:t>
            </m:r>
          </m:e>
          <m:sub>
            <m:r>
              <m:t>t</m:t>
            </m:r>
          </m:sub>
        </m:sSub>
      </m:oMath>
      <w:r>
        <w:rPr>
          <w:rFonts w:ascii="Times New Roman" w:hAnsi="Times New Roman"/>
        </w:rPr>
        <w:t xml:space="preserve"> </w:t>
      </w:r>
      <w:r>
        <w:rPr>
          <w:rFonts w:ascii="Times New Roman" w:hAnsi="Times New Roman"/>
        </w:rPr>
        <w:t xml:space="preserve">vary with time. The principal dataset contains one case per interval; sensitivity and application experiments in Sections 4 and 5 use separately selected representative times.</w:t>
      </w:r>
    </w:p>
    <w:bookmarkStart w:id="38" w:name="case-assembly-and-solution"/>
    <w:p>
      <w:pPr>
        <w:pStyle w:val="Heading3"/>
      </w:pPr>
      <w:r>
        <w:rPr>
          <w:rFonts w:ascii="Times New Roman" w:hAnsi="Times New Roman"/>
        </w:rPr>
        <w:t xml:space="preserve">2.4.1 Case Assembly and Solution</w:t>
      </w:r>
    </w:p>
    <w:p>
      <w:pPr>
        <w:pStyle w:val="FirstParagraph"/>
      </w:pPr>
      <w:r>
        <w:rPr>
          <w:rFonts w:ascii="Times New Roman" w:hAnsi="Times New Roman"/>
        </w:rPr>
        <w:t xml:space="preserve">Each case updates load, generation, equipment availability, seasonal ratings, and boundary equivalents. An initial boundary solution determines model net exchange. One angular reference is then retained, and the other boundary nodes receive fixed active-power equivalents distributed by public voltage and circuit count. Contemporaneous REN exchange is used only for post-solution comparison.</w:t>
      </w:r>
    </w:p>
    <w:p>
      <w:pPr>
        <w:pStyle w:val="BodyText"/>
      </w:pPr>
      <w:r>
        <w:rPr>
          <w:rFonts w:ascii="Times New Roman" w:hAnsi="Times New Roman"/>
        </w:rPr>
        <w:t xml:space="preserve">AC power flow uses the pandapower Newton–Raphson implementation with DC initialization (</w:t>
      </w:r>
      <w:hyperlink w:anchor="ref-Thurner2018">
        <w:r>
          <w:rPr>
            <w:rStyle w:val="Hyperlink"/>
          </w:rPr>
          <w:t xml:space="preserve">Thurner et al., 2018</w:t>
        </w:r>
      </w:hyperlink>
      <w:r>
        <w:rPr>
          <w:rFonts w:ascii="Times New Roman" w:hAnsi="Times New Roman"/>
        </w:rPr>
        <w:t xml:space="preserve">). The principal workflow enforces reactive-power limits, resolves once after boundary reconstruction, and performs a bounded tap search. Table 6 lists seasonal ratings, PV/PQ rules, compensation, reactors, boundary weights, and numerical settings. These common settings are computational proxies rather than operator control policies.</w:t>
      </w:r>
    </w:p>
    <w:bookmarkEnd w:id="38"/>
    <w:bookmarkStart w:id="39" w:name="monthly-execution"/>
    <w:p>
      <w:pPr>
        <w:pStyle w:val="Heading3"/>
      </w:pPr>
      <w:r>
        <w:rPr>
          <w:rFonts w:ascii="Times New Roman" w:hAnsi="Times New Roman"/>
        </w:rPr>
        <w:t xml:space="preserve">2.4.2 Monthly Execution</w:t>
      </w:r>
    </w:p>
    <w:p>
      <w:pPr>
        <w:pStyle w:val="FirstParagraph"/>
      </w:pPr>
      <w:r>
        <w:rPr>
          <w:rFonts w:ascii="Times New Roman" w:hAnsi="Times New Roman"/>
        </w:rPr>
        <w:t xml:space="preserve">Cases are processed in parallel by civil month. Workers read inputs and solve cases independently, whereas the parent process writes summaries, state arrays, and audit bundles in one transaction. Re-runs skip complete cases and retry failed cases. A month is complete only when expected cases, completed cases, state arrays, and audit bundles agree.</w:t>
      </w:r>
    </w:p>
    <w:p>
      <w:pPr>
        <w:pStyle w:val="BodyText"/>
        <w:keepNext/>
        <w:spacing w:before="120" w:after="40"/>
        <w:jc w:val="left"/>
      </w:pPr>
      <w:r>
        <w:rPr>
          <w:rFonts w:ascii="Times New Roman" w:hAnsi="Times New Roman"/>
          <w:b/>
          <w:bCs/>
          <w:sz w:val="18"/>
        </w:rPr>
        <w:t xml:space="preserve">Table 6—Case and solver settings.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640"/>
        <w:gridCol w:w="2640"/>
        <w:gridCol w:w="264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Item</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Value or rule</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Status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Seasonal line rating</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May–Sep ×1.00; Mar–Apr and Oct–Nov ×1.10; Dec–Feb ×1.15</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Engineering proxy relative to summer base</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PV threshold</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Non-battery; installed capacity ≥20 MW and voltage ≥60 kV</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Remaining generation is PQ</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PV voltage / reactive power</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1.0 p.u.; ±0.50 × installed MW in Mvar</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Uniform proxy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Load compensation</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Target pf=0.98; maximum 15 Mvar per bus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Engineering proxy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Shunt reactors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5 × 150 Mvar at 400 kV</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Explicitly flagged proxy equipment</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Boundary</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One angle reference; other nodes weighted by voltage × circuit count</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Not calibrated to measured REN exchange</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AC algorithm</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Newton–Raphson; DC initialization; enforce Q limits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Maximum 50 iterations; tolerance</w:t>
            </w:r>
            <w:r>
              <w:rPr>
                <w:rFonts w:ascii="Arial" w:hAnsi="Arial"/>
                <w:color w:val="000000"/>
                <w:sz w:val="16"/>
              </w:rPr>
              <w:t xml:space="preserve"> </w:t>
            </w:r>
            <m:oMath>
              <m:sSup>
                <m:e>
                  <m:r>
                    <m:t>10</m:t>
                  </m:r>
                </m:e>
                <m:sup>
                  <m:r>
                    <m:rPr>
                      <m:sty m:val="p"/>
                    </m:rPr>
                    <m:t>−</m:t>
                  </m:r>
                  <m:r>
                    <m:t>6</m:t>
                  </m:r>
                </m:sup>
              </m:sSup>
            </m:oMath>
            <w:r>
              <w:rPr>
                <w:rFonts w:ascii="Arial" w:hAnsi="Arial"/>
                <w:color w:val="000000"/>
                <w:sz w:val="16"/>
              </w:rPr>
              <w:t xml:space="preserve"> </w:t>
            </w:r>
            <w:r>
              <w:rPr>
                <w:rFonts w:ascii="Arial" w:hAnsi="Arial"/>
                <w:color w:val="000000"/>
                <w:sz w:val="16"/>
              </w:rPr>
              <w:t xml:space="preserve">MVA</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Transformer taps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High-voltage side ±8 steps; 1.25% per step; maximum 16 rounds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Target 0.985–1.015 p.u.</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General screening</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Voltage 0.90–1.10 p.u.; loading 100%</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Violations retained; N−1 criteria defined separately</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Settings come from the frozen</w:t>
      </w:r>
      <w:r>
        <w:rPr>
          <w:rFonts w:ascii="Times New Roman" w:hAnsi="Times New Roman"/>
          <w:i/>
          <w:sz w:val="17"/>
        </w:rPr>
        <w:t xml:space="preserve"> </w:t>
      </w:r>
      <w:r>
        <w:rPr>
          <w:rStyle w:val="VerbatimChar"/>
          <w:rFonts w:ascii="Times New Roman" w:hAnsi="Times New Roman"/>
          <w:i/>
          <w:sz w:val="17"/>
        </w:rPr>
        <w:t xml:space="preserve">model_config.json</w:t>
      </w:r>
      <w:r>
        <w:rPr>
          <w:rFonts w:ascii="Times New Roman" w:hAnsi="Times New Roman"/>
          <w:i/>
          <w:sz w:val="17"/>
        </w:rPr>
        <w:t xml:space="preserve"> </w:t>
      </w:r>
      <w:r>
        <w:rPr>
          <w:rFonts w:ascii="Times New Roman" w:hAnsi="Times New Roman"/>
          <w:i/>
          <w:sz w:val="17"/>
        </w:rPr>
        <w:t xml:space="preserve">and monthly execution code.</w:t>
      </w:r>
    </w:p>
    <w:bookmarkEnd w:id="39"/>
    <w:bookmarkEnd w:id="40"/>
    <w:bookmarkStart w:id="43" w:name="X5b1205fc031ccf504910739c33b3a1b98fddb89"/>
    <w:p>
      <w:pPr>
        <w:pStyle w:val="Heading2"/>
      </w:pPr>
      <w:r>
        <w:rPr>
          <w:rFonts w:ascii="Times New Roman" w:hAnsi="Times New Roman"/>
        </w:rPr>
        <w:t xml:space="preserve">2.5 Layered Storage, Provenance, and Quality Control</w:t>
      </w:r>
    </w:p>
    <w:bookmarkStart w:id="41" w:name="database-and-provenance"/>
    <w:p>
      <w:pPr>
        <w:pStyle w:val="Heading3"/>
      </w:pPr>
      <w:r>
        <w:rPr>
          <w:rFonts w:ascii="Times New Roman" w:hAnsi="Times New Roman"/>
        </w:rPr>
        <w:t xml:space="preserve">2.5.1 Database and Provenance</w:t>
      </w:r>
    </w:p>
    <w:p>
      <w:pPr>
        <w:pStyle w:val="FirstParagraph"/>
      </w:pPr>
      <w:r>
        <w:rPr>
          <w:rFonts w:ascii="Times New Roman" w:hAnsi="Times New Roman"/>
        </w:rPr>
        <w:t xml:space="preserve">The main DuckDB stores sources in</w:t>
      </w:r>
      <w:r>
        <w:rPr>
          <w:rFonts w:ascii="Times New Roman" w:hAnsi="Times New Roman"/>
        </w:rPr>
        <w:t xml:space="preserve"> </w:t>
      </w:r>
      <w:r>
        <w:rPr>
          <w:rStyle w:val="VerbatimChar"/>
          <w:rFonts w:ascii="Times New Roman" w:hAnsi="Times New Roman"/>
        </w:rPr>
        <w:t xml:space="preserve">raw_eredes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raw_dgeg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raw_osm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raw_reference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raw_documents</w:t>
      </w:r>
      <w:r>
        <w:rPr>
          <w:rFonts w:ascii="Times New Roman" w:hAnsi="Times New Roman"/>
        </w:rPr>
        <w:t xml:space="preserve">, and</w:t>
      </w:r>
      <w:r>
        <w:rPr>
          <w:rFonts w:ascii="Times New Roman" w:hAnsi="Times New Roman"/>
        </w:rPr>
        <w:t xml:space="preserve"> </w:t>
      </w:r>
      <w:r>
        <w:rPr>
          <w:rStyle w:val="VerbatimChar"/>
          <w:rFonts w:ascii="Times New Roman" w:hAnsi="Times New Roman"/>
        </w:rPr>
        <w:t xml:space="preserve">raw_eredes_aux</w:t>
      </w:r>
      <w:r>
        <w:rPr>
          <w:rFonts w:ascii="Times New Roman" w:hAnsi="Times New Roman"/>
        </w:rPr>
        <w:t xml:space="preserve">. The</w:t>
      </w:r>
      <w:r>
        <w:rPr>
          <w:rFonts w:ascii="Times New Roman" w:hAnsi="Times New Roman"/>
        </w:rPr>
        <w:t xml:space="preserve"> </w:t>
      </w:r>
      <w:r>
        <w:rPr>
          <w:rStyle w:val="VerbatimChar"/>
          <w:rFonts w:ascii="Times New Roman" w:hAnsi="Times New Roman"/>
        </w:rPr>
        <w:t xml:space="preserve">grid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geo</w:t>
      </w:r>
      <w:r>
        <w:rPr>
          <w:rFonts w:ascii="Times New Roman" w:hAnsi="Times New Roman"/>
        </w:rPr>
        <w:t xml:space="preserve"> </w:t>
      </w:r>
      <w:r>
        <w:rPr>
          <w:rFonts w:ascii="Times New Roman" w:hAnsi="Times New Roman"/>
        </w:rPr>
        <w:t xml:space="preserve">schemas store the static network and geometry,</w:t>
      </w:r>
      <w:r>
        <w:rPr>
          <w:rFonts w:ascii="Times New Roman" w:hAnsi="Times New Roman"/>
        </w:rPr>
        <w:t xml:space="preserve"> </w:t>
      </w:r>
      <w:r>
        <w:rPr>
          <w:rStyle w:val="VerbatimChar"/>
          <w:rFonts w:ascii="Times New Roman" w:hAnsi="Times New Roman"/>
        </w:rPr>
        <w:t xml:space="preserve">scenario</w:t>
      </w:r>
      <w:r>
        <w:rPr>
          <w:rFonts w:ascii="Times New Roman" w:hAnsi="Times New Roman"/>
        </w:rPr>
        <w:t xml:space="preserve"> </w:t>
      </w:r>
      <w:r>
        <w:rPr>
          <w:rFonts w:ascii="Times New Roman" w:hAnsi="Times New Roman"/>
        </w:rPr>
        <w:t xml:space="preserve">stores asset operating points,</w:t>
      </w:r>
      <w:r>
        <w:rPr>
          <w:rFonts w:ascii="Times New Roman" w:hAnsi="Times New Roman"/>
        </w:rPr>
        <w:t xml:space="preserve"> </w:t>
      </w:r>
      <w:r>
        <w:rPr>
          <w:rStyle w:val="VerbatimChar"/>
          <w:rFonts w:ascii="Times New Roman" w:hAnsi="Times New Roman"/>
        </w:rPr>
        <w:t xml:space="preserve">main</w:t>
      </w:r>
      <w:r>
        <w:rPr>
          <w:rFonts w:ascii="Times New Roman" w:hAnsi="Times New Roman"/>
        </w:rPr>
        <w:t xml:space="preserve"> </w:t>
      </w:r>
      <w:r>
        <w:rPr>
          <w:rFonts w:ascii="Times New Roman" w:hAnsi="Times New Roman"/>
        </w:rPr>
        <w:t xml:space="preserve">stores the common calendar and operating series, and</w:t>
      </w:r>
      <w:r>
        <w:rPr>
          <w:rFonts w:ascii="Times New Roman" w:hAnsi="Times New Roman"/>
        </w:rPr>
        <w:t xml:space="preserve"> </w:t>
      </w:r>
      <w:r>
        <w:rPr>
          <w:rStyle w:val="VerbatimChar"/>
          <w:rFonts w:ascii="Times New Roman" w:hAnsi="Times New Roman"/>
        </w:rPr>
        <w:t xml:space="preserve">provenance</w:t>
      </w:r>
      <w:r>
        <w:rPr>
          <w:rFonts w:ascii="Times New Roman" w:hAnsi="Times New Roman"/>
        </w:rPr>
        <w:t xml:space="preserve"> </w:t>
      </w:r>
      <w:r>
        <w:rPr>
          <w:rFonts w:ascii="Times New Roman" w:hAnsi="Times New Roman"/>
        </w:rPr>
        <w:t xml:space="preserve">stores file- and entity-level lineage.</w:t>
      </w:r>
    </w:p>
    <w:p>
      <w:pPr>
        <w:pStyle w:val="BodyText"/>
      </w:pPr>
      <w:r>
        <w:rPr>
          <w:rFonts w:ascii="Times New Roman" w:hAnsi="Times New Roman"/>
        </w:rPr>
        <w:t xml:space="preserve">Each month has a separate result database.</w:t>
      </w:r>
      <w:r>
        <w:rPr>
          <w:rFonts w:ascii="Times New Roman" w:hAnsi="Times New Roman"/>
        </w:rPr>
        <w:t xml:space="preserve"> </w:t>
      </w:r>
      <w:r>
        <w:rPr>
          <w:rStyle w:val="VerbatimChar"/>
          <w:rFonts w:ascii="Times New Roman" w:hAnsi="Times New Roman"/>
        </w:rPr>
        <w:t xml:space="preserve">monthly_model.cases</w:t>
      </w:r>
      <w:r>
        <w:rPr>
          <w:rFonts w:ascii="Times New Roman" w:hAnsi="Times New Roman"/>
        </w:rPr>
        <w:t xml:space="preserve"> </w:t>
      </w:r>
      <w:r>
        <w:rPr>
          <w:rFonts w:ascii="Times New Roman" w:hAnsi="Times New Roman"/>
        </w:rPr>
        <w:t xml:space="preserve">stores one row per timestamp with status, summary metrics, and complete result JSON.</w:t>
      </w:r>
      <w:r>
        <w:rPr>
          <w:rFonts w:ascii="Times New Roman" w:hAnsi="Times New Roman"/>
        </w:rPr>
        <w:t xml:space="preserve"> </w:t>
      </w:r>
      <w:r>
        <w:rPr>
          <w:rStyle w:val="VerbatimChar"/>
          <w:rFonts w:ascii="Times New Roman" w:hAnsi="Times New Roman"/>
        </w:rPr>
        <w:t xml:space="preserve">bus_order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line_order</w:t>
      </w:r>
      <w:r>
        <w:rPr>
          <w:rFonts w:ascii="Times New Roman" w:hAnsi="Times New Roman"/>
        </w:rPr>
        <w:t xml:space="preserve">, and</w:t>
      </w:r>
      <w:r>
        <w:rPr>
          <w:rFonts w:ascii="Times New Roman" w:hAnsi="Times New Roman"/>
        </w:rPr>
        <w:t xml:space="preserve"> </w:t>
      </w:r>
      <w:r>
        <w:rPr>
          <w:rStyle w:val="VerbatimChar"/>
          <w:rFonts w:ascii="Times New Roman" w:hAnsi="Times New Roman"/>
        </w:rPr>
        <w:t xml:space="preserve">state_arrays</w:t>
      </w:r>
      <w:r>
        <w:rPr>
          <w:rFonts w:ascii="Times New Roman" w:hAnsi="Times New Roman"/>
        </w:rPr>
        <w:t xml:space="preserve"> </w:t>
      </w:r>
      <w:r>
        <w:rPr>
          <w:rFonts w:ascii="Times New Roman" w:hAnsi="Times New Roman"/>
        </w:rPr>
        <w:t xml:space="preserve">store bus voltage and line-loading arrays in fixed equipment order.</w:t>
      </w:r>
      <w:r>
        <w:rPr>
          <w:rFonts w:ascii="Times New Roman" w:hAnsi="Times New Roman"/>
        </w:rPr>
        <w:t xml:space="preserve"> </w:t>
      </w:r>
      <w:r>
        <w:rPr>
          <w:rStyle w:val="VerbatimChar"/>
          <w:rFonts w:ascii="Times New Roman" w:hAnsi="Times New Roman"/>
        </w:rPr>
        <w:t xml:space="preserve">audit_bundles</w:t>
      </w:r>
      <w:r>
        <w:rPr>
          <w:rFonts w:ascii="Times New Roman" w:hAnsi="Times New Roman"/>
        </w:rPr>
        <w:t xml:space="preserve"> </w:t>
      </w:r>
      <w:r>
        <w:rPr>
          <w:rFonts w:ascii="Times New Roman" w:hAnsi="Times New Roman"/>
        </w:rPr>
        <w:t xml:space="preserve">preserve load, generation, boundary, hotspot, and loss records. Views expand arrays to equipment-long tables. The static model is copied once per monthly database rather than repeated for every case.</w:t>
      </w:r>
    </w:p>
    <w:p>
      <w:pPr>
        <w:pStyle w:val="BodyText"/>
      </w:pPr>
      <w:r>
        <w:rPr>
          <w:rFonts w:ascii="Times New Roman" w:hAnsi="Times New Roman"/>
        </w:rPr>
        <w:t xml:space="preserve">Source records include URL, archive path, file size, and SHA-256.</w:t>
      </w:r>
      <w:r>
        <w:rPr>
          <w:rFonts w:ascii="Times New Roman" w:hAnsi="Times New Roman"/>
        </w:rPr>
        <w:t xml:space="preserve"> </w:t>
      </w:r>
      <w:r>
        <w:rPr>
          <w:rStyle w:val="VerbatimChar"/>
          <w:rFonts w:ascii="Times New Roman" w:hAnsi="Times New Roman"/>
        </w:rPr>
        <w:t xml:space="preserve">table_lineage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raw_record_locator</w:t>
      </w:r>
      <w:r>
        <w:rPr>
          <w:rFonts w:ascii="Times New Roman" w:hAnsi="Times New Roman"/>
        </w:rPr>
        <w:t xml:space="preserve">, and</w:t>
      </w:r>
      <w:r>
        <w:rPr>
          <w:rFonts w:ascii="Times New Roman" w:hAnsi="Times New Roman"/>
        </w:rPr>
        <w:t xml:space="preserve"> </w:t>
      </w:r>
      <w:r>
        <w:rPr>
          <w:rStyle w:val="VerbatimChar"/>
          <w:rFonts w:ascii="Times New Roman" w:hAnsi="Times New Roman"/>
        </w:rPr>
        <w:t xml:space="preserve">entity_evidence</w:t>
      </w:r>
      <w:r>
        <w:rPr>
          <w:rFonts w:ascii="Times New Roman" w:hAnsi="Times New Roman"/>
        </w:rPr>
        <w:t xml:space="preserve"> </w:t>
      </w:r>
      <w:r>
        <w:rPr>
          <w:rFonts w:ascii="Times New Roman" w:hAnsi="Times New Roman"/>
        </w:rPr>
        <w:t xml:space="preserve">provide table-, record-, and evidence-level traceability. Each monthly</w:t>
      </w:r>
      <w:r>
        <w:rPr>
          <w:rFonts w:ascii="Times New Roman" w:hAnsi="Times New Roman"/>
        </w:rPr>
        <w:t xml:space="preserve"> </w:t>
      </w:r>
      <w:r>
        <w:rPr>
          <w:rStyle w:val="VerbatimChar"/>
          <w:rFonts w:ascii="Times New Roman" w:hAnsi="Times New Roman"/>
        </w:rPr>
        <w:t xml:space="preserve">run_manifest</w:t>
      </w:r>
      <w:r>
        <w:rPr>
          <w:rFonts w:ascii="Times New Roman" w:hAnsi="Times New Roman"/>
        </w:rPr>
        <w:t xml:space="preserve"> </w:t>
      </w:r>
      <w:r>
        <w:rPr>
          <w:rFonts w:ascii="Times New Roman" w:hAnsi="Times New Roman"/>
        </w:rPr>
        <w:t xml:space="preserve">records input fingerprints and case counts. Supplementary Table S5 provides the complete data-layer, grain, and join-key inventory.</w:t>
      </w:r>
    </w:p>
    <w:bookmarkEnd w:id="41"/>
    <w:bookmarkStart w:id="42" w:name="quality-control-and-recovery"/>
    <w:p>
      <w:pPr>
        <w:pStyle w:val="Heading3"/>
      </w:pPr>
      <w:r>
        <w:rPr>
          <w:rFonts w:ascii="Times New Roman" w:hAnsi="Times New Roman"/>
        </w:rPr>
        <w:t xml:space="preserve">2.5.2 Quality Control and Recovery</w:t>
      </w:r>
    </w:p>
    <w:p>
      <w:pPr>
        <w:pStyle w:val="FirstParagraph"/>
      </w:pPr>
      <w:r>
        <w:rPr>
          <w:rFonts w:ascii="Times New Roman" w:hAnsi="Times New Roman"/>
        </w:rPr>
        <w:t xml:space="preserve">Quality control has four levels. Static checks cover keys, endpoints, voltage, length, connectivity, and the boundary inventory. Time-series checks cover temporal alignment, source completeness, load and generation conservation, and capacity limits. Solver checks cover convergence, voltage, loading, and active-power balance,</w:t>
      </w:r>
    </w:p>
    <w:p>
      <w:pPr>
        <w:pStyle w:val="BodyText"/>
        <w:spacing w:before="80" w:after="80"/>
        <w:jc w:val="center"/>
      </w:pPr>
      <m:oMathPara>
        <m:oMathParaPr>
          <m:jc m:val="center"/>
        </m:oMathParaP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m:oMathPara>
    </w:p>
    <w:p>
      <w:pPr>
        <w:pStyle w:val="FirstParagraph"/>
      </w:pPr>
      <w:r>
        <w:rPr>
          <w:rFonts w:ascii="Times New Roman" w:hAnsi="Times New Roman"/>
        </w:rPr>
        <w:t xml:space="preserve">External checks use E-REDES national, municipal, substation, production, and injection statistics that were excluded from nodal construction, together with REN exchange and monthly loss reports. The 0.90–1.10 p.u. voltage band and 100% loading threshold are screening criteria; violating cases remain in the release.</w:t>
      </w:r>
    </w:p>
    <w:p>
      <w:pPr>
        <w:pStyle w:val="BodyText"/>
      </w:pPr>
      <w:r>
        <w:rPr>
          <w:rFonts w:ascii="Times New Roman" w:hAnsi="Times New Roman"/>
        </w:rPr>
        <w:t xml:space="preserve">A case summary, state arrays, and audit bundle are committed in one transaction. Any failure rolls back the full case and retains an error record. Before formal monthly release, source and copy counts for completed cases, arrays, and audit bundles must match. Supplementary Table S4 lists thresholds, failure behavior, and record locations.</w:t>
      </w:r>
    </w:p>
    <w:bookmarkEnd w:id="42"/>
    <w:bookmarkEnd w:id="43"/>
    <w:bookmarkEnd w:id="44"/>
    <w:bookmarkStart w:id="57" w:name="overview-of-the-simpt60-dataset"/>
    <w:p>
      <w:pPr>
        <w:pStyle w:val="Heading1"/>
      </w:pPr>
      <w:r>
        <w:rPr>
          <w:rFonts w:ascii="Times New Roman" w:hAnsi="Times New Roman"/>
        </w:rPr>
        <w:t xml:space="preserve">3. Overview of the SimPT60 Dataset</w:t>
      </w:r>
    </w:p>
    <w:p>
      <w:pPr>
        <w:pStyle w:val="FirstParagraph"/>
      </w:pPr>
      <w:r>
        <w:rPr>
          <w:rFonts w:ascii="Times New Roman" w:hAnsi="Times New Roman"/>
        </w:rPr>
        <w:t xml:space="preserve">SimPT60 comprises one main database and 11 monthly power-flow result databases. The main database contains the static network, common time series, source records, and validation observations. Monthly databases contain the 15-minute cases and their solved states. The current static model version is</w:t>
      </w:r>
      <w:r>
        <w:rPr>
          <w:rFonts w:ascii="Times New Roman" w:hAnsi="Times New Roman"/>
        </w:rPr>
        <w:t xml:space="preserve"> </w:t>
      </w:r>
      <w:r>
        <w:rPr>
          <w:rStyle w:val="VerbatimChar"/>
          <w:rFonts w:ascii="Times New Roman" w:hAnsi="Times New Roman"/>
        </w:rPr>
        <w:t xml:space="preserve">PT60-v2.0.0</w:t>
      </w:r>
      <w:r>
        <w:rPr>
          <w:rFonts w:ascii="Times New Roman" w:hAnsi="Times New Roman"/>
        </w:rPr>
        <w:t xml:space="preserve">.</w:t>
      </w:r>
    </w:p>
    <w:bookmarkStart w:id="48" w:name="static-network-data"/>
    <w:p>
      <w:pPr>
        <w:pStyle w:val="Heading2"/>
      </w:pPr>
      <w:r>
        <w:rPr>
          <w:rFonts w:ascii="Times New Roman" w:hAnsi="Times New Roman"/>
        </w:rPr>
        <w:t xml:space="preserve">3.1 Static Network Data</w:t>
      </w:r>
    </w:p>
    <w:p>
      <w:pPr>
        <w:pStyle w:val="FirstParagraph"/>
      </w:pPr>
      <w:r>
        <w:rPr>
          <w:rFonts w:ascii="Times New Roman" w:hAnsi="Times New Roman"/>
        </w:rPr>
        <w:t xml:space="preserve">The static network contains 675 facilities, 3,783 buses, 4,943 lines, 228 transformers, 1,190 generation or storage units, 468 load points, and seven Portugal–Spain boundary endpoints.</w:t>
      </w:r>
      <w:r>
        <w:rPr>
          <w:rFonts w:ascii="Times New Roman" w:hAnsi="Times New Roman"/>
        </w:rPr>
        <w:t xml:space="preserve"> </w:t>
      </w:r>
      <w:r>
        <w:rPr>
          <w:rStyle w:val="VerbatimChar"/>
          <w:rFonts w:ascii="Times New Roman" w:hAnsi="Times New Roman"/>
        </w:rPr>
        <w:t xml:space="preserve">grid.buses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grid.lines</w:t>
      </w:r>
      <w:r>
        <w:rPr>
          <w:rFonts w:ascii="Times New Roman" w:hAnsi="Times New Roman"/>
        </w:rPr>
        <w:t xml:space="preserve">, and</w:t>
      </w:r>
      <w:r>
        <w:rPr>
          <w:rFonts w:ascii="Times New Roman" w:hAnsi="Times New Roman"/>
        </w:rPr>
        <w:t xml:space="preserve"> </w:t>
      </w:r>
      <w:r>
        <w:rPr>
          <w:rStyle w:val="VerbatimChar"/>
          <w:rFonts w:ascii="Times New Roman" w:hAnsi="Times New Roman"/>
        </w:rPr>
        <w:t xml:space="preserve">grid.transformers</w:t>
      </w:r>
      <w:r>
        <w:rPr>
          <w:rFonts w:ascii="Times New Roman" w:hAnsi="Times New Roman"/>
        </w:rPr>
        <w:t xml:space="preserve"> </w:t>
      </w:r>
      <w:r>
        <w:rPr>
          <w:rFonts w:ascii="Times New Roman" w:hAnsi="Times New Roman"/>
        </w:rPr>
        <w:t xml:space="preserve">provide connectivity and electrical parameters;</w:t>
      </w:r>
      <w:r>
        <w:rPr>
          <w:rFonts w:ascii="Times New Roman" w:hAnsi="Times New Roman"/>
        </w:rPr>
        <w:t xml:space="preserve"> </w:t>
      </w:r>
      <w:r>
        <w:rPr>
          <w:rStyle w:val="VerbatimChar"/>
          <w:rFonts w:ascii="Times New Roman" w:hAnsi="Times New Roman"/>
        </w:rPr>
        <w:t xml:space="preserve">grid.generators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grid.load_points</w:t>
      </w:r>
      <w:r>
        <w:rPr>
          <w:rFonts w:ascii="Times New Roman" w:hAnsi="Times New Roman"/>
        </w:rPr>
        <w:t xml:space="preserve">, and</w:t>
      </w:r>
      <w:r>
        <w:rPr>
          <w:rFonts w:ascii="Times New Roman" w:hAnsi="Times New Roman"/>
        </w:rPr>
        <w:t xml:space="preserve"> </w:t>
      </w:r>
      <w:r>
        <w:rPr>
          <w:rStyle w:val="VerbatimChar"/>
          <w:rFonts w:ascii="Times New Roman" w:hAnsi="Times New Roman"/>
        </w:rPr>
        <w:t xml:space="preserve">grid.interconnectors</w:t>
      </w:r>
      <w:r>
        <w:rPr>
          <w:rFonts w:ascii="Times New Roman" w:hAnsi="Times New Roman"/>
        </w:rPr>
        <w:t xml:space="preserve"> </w:t>
      </w:r>
      <w:r>
        <w:rPr>
          <w:rFonts w:ascii="Times New Roman" w:hAnsi="Times New Roman"/>
        </w:rPr>
        <w:t xml:space="preserve">link assets to buses. Line and facility geometry is stored separately in</w:t>
      </w:r>
      <w:r>
        <w:rPr>
          <w:rFonts w:ascii="Times New Roman" w:hAnsi="Times New Roman"/>
        </w:rPr>
        <w:t xml:space="preserve"> </w:t>
      </w:r>
      <w:r>
        <w:rPr>
          <w:rStyle w:val="VerbatimChar"/>
          <w:rFonts w:ascii="Times New Roman" w:hAnsi="Times New Roman"/>
        </w:rPr>
        <w:t xml:space="preserve">geo.line_geometries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geo.facility_geometries</w:t>
      </w:r>
      <w:r>
        <w:rPr>
          <w:rFonts w:ascii="Times New Roman" w:hAnsi="Times New Roman"/>
        </w:rPr>
        <w:t xml:space="preserve"> </w:t>
      </w:r>
      <w:r>
        <w:rPr>
          <w:rFonts w:ascii="Times New Roman" w:hAnsi="Times New Roman"/>
        </w:rPr>
        <w:t xml:space="preserve">to avoid duplicating spatial objects in electrical tables.</w:t>
      </w:r>
    </w:p>
    <w:p>
      <w:pPr>
        <w:pStyle w:val="BodyText"/>
      </w:pPr>
      <w:r>
        <w:rPr>
          <w:rFonts w:ascii="Times New Roman" w:hAnsi="Times New Roman"/>
        </w:rPr>
        <w:t xml:space="preserve">Equipment tables retain</w:t>
      </w:r>
      <w:r>
        <w:rPr>
          <w:rFonts w:ascii="Times New Roman" w:hAnsi="Times New Roman"/>
        </w:rPr>
        <w:t xml:space="preserve"> </w:t>
      </w:r>
      <w:r>
        <w:rPr>
          <w:rStyle w:val="VerbatimChar"/>
          <w:rFonts w:ascii="Times New Roman" w:hAnsi="Times New Roman"/>
        </w:rPr>
        <w:t xml:space="preserve">source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source_status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parameter_status</w:t>
      </w:r>
      <w:r>
        <w:rPr>
          <w:rFonts w:ascii="Times New Roman" w:hAnsi="Times New Roman"/>
        </w:rPr>
        <w:t xml:space="preserve">, and mapping-rule fields. Users can build the complete pandapower network, select only devices above an evidence threshold, or identify components whose parameters were derived from public records or engineering proxies.</w:t>
      </w:r>
    </w:p>
    <w:p>
      <w:pPr>
        <w:pStyle w:val="BodyText"/>
      </w:pPr>
      <w:r>
        <w:rPr>
          <w:rFonts w:ascii="Times New Roman" w:hAnsi="Times New Roman"/>
        </w:rPr>
        <w:t xml:space="preserve">Figure 2 shows the geographic network and one archived operating state. Projection and cartography use GeoPandas (</w:t>
      </w:r>
      <w:hyperlink w:anchor="ref-GeoPandas2026">
        <w:r>
          <w:rPr>
            <w:rStyle w:val="Hyperlink"/>
          </w:rPr>
          <w:t xml:space="preserve">Fleischmann et al., 2026</w:t>
        </w:r>
      </w:hyperlink>
      <w:r>
        <w:rPr>
          <w:rFonts w:ascii="Times New Roman" w:hAnsi="Times New Roman"/>
        </w:rPr>
        <w:t xml:space="preserve">).</w:t>
      </w:r>
    </w:p>
    <w:p>
      <w:pPr>
        <w:pStyle w:val="CaptionedFigure"/>
        <w:keepNext/>
        <w:spacing w:before="100" w:after="40"/>
        <w:jc w:val="center"/>
      </w:pPr>
      <w:r>
        <w:rPr>
          <w:rFonts w:ascii="Times New Roman" w:hAnsi="Times New Roman"/>
        </w:rPr>
        <w:drawing>
          <wp:inline>
            <wp:extent cx="5334000" cy="4296833"/>
            <wp:effectExtent b="0" l="0" r="0" t="0"/>
            <wp:docPr descr="Figure 2" title="" id="46" name="Picture"/>
            <a:graphic>
              <a:graphicData uri="http://schemas.openxmlformats.org/drawingml/2006/picture">
                <pic:pic>
                  <pic:nvPicPr>
                    <pic:cNvPr descr="figures_final/fig02_geographic_network_state.png" id="47" name="Picture"/>
                    <pic:cNvPicPr>
                      <a:picLocks noChangeArrowheads="1" noChangeAspect="1"/>
                    </pic:cNvPicPr>
                  </pic:nvPicPr>
                  <pic:blipFill>
                    <a:blip r:embed="rId45"/>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w:t>
      </w:r>
    </w:p>
    <w:p>
      <w:pPr>
        <w:pStyle w:val="BodyText"/>
      </w:pPr>
      <w:r>
        <w:rPr>
          <w:rFonts w:ascii="Times New Roman" w:hAnsi="Times New Roman"/>
          <w:b/>
          <w:bCs/>
        </w:rPr>
        <w:t xml:space="preserve">Figure 2—Geographic network and solved state at the annual peak.</w:t>
      </w:r>
      <w:r>
        <w:rPr>
          <w:rFonts w:ascii="Times New Roman" w:hAnsi="Times New Roman"/>
        </w:rPr>
        <w:t xml:space="preserve"> </w:t>
      </w:r>
      <w:r>
        <w:rPr>
          <w:rFonts w:ascii="Times New Roman" w:hAnsi="Times New Roman"/>
        </w:rPr>
        <w:t xml:space="preserve">(a)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w:t>
      </w:r>
    </w:p>
    <w:bookmarkEnd w:id="48"/>
    <w:bookmarkStart w:id="49" w:name="time-series-data"/>
    <w:p>
      <w:pPr>
        <w:pStyle w:val="Heading2"/>
      </w:pPr>
      <w:r>
        <w:rPr>
          <w:rFonts w:ascii="Times New Roman" w:hAnsi="Times New Roman"/>
        </w:rPr>
        <w:t xml:space="preserve">3.2 Time-Series Data</w:t>
      </w:r>
    </w:p>
    <w:p>
      <w:pPr>
        <w:pStyle w:val="FirstParagraph"/>
      </w:pPr>
      <w:r>
        <w:rPr>
          <w:rStyle w:val="VerbatimChar"/>
          <w:rFonts w:ascii="Times New Roman" w:hAnsi="Times New Roman"/>
        </w:rPr>
        <w:t xml:space="preserve">main.interval_calendar</w:t>
      </w:r>
      <w:r>
        <w:rPr>
          <w:rFonts w:ascii="Times New Roman" w:hAnsi="Times New Roman"/>
        </w:rPr>
        <w:t xml:space="preserve"> </w:t>
      </w:r>
      <w:r>
        <w:rPr>
          <w:rFonts w:ascii="Times New Roman" w:hAnsi="Times New Roman"/>
        </w:rPr>
        <w:t xml:space="preserve">is the common index for all time series. It covers 328 civil days from 2025-05-01 to 2026-03-24 and contains 31,492 local 15-minute intervals. Interval counts follow Europe/Lisbon daylight-saving transitions and therefore need not equal the number of days multiplied by 96.</w:t>
      </w:r>
    </w:p>
    <w:p>
      <w:pPr>
        <w:pStyle w:val="BodyText"/>
      </w:pPr>
      <w:r>
        <w:rPr>
          <w:rStyle w:val="VerbatimChar"/>
          <w:rFonts w:ascii="Times New Roman" w:hAnsi="Times New Roman"/>
        </w:rPr>
        <w:t xml:space="preserve">main.eredes_load</w:t>
      </w:r>
      <w:r>
        <w:rPr>
          <w:rFonts w:ascii="Times New Roman" w:hAnsi="Times New Roman"/>
        </w:rPr>
        <w:t xml:space="preserve"> </w:t>
      </w:r>
      <w:r>
        <w:rPr>
          <w:rFonts w:ascii="Times New Roman" w:hAnsi="Times New Roman"/>
        </w:rPr>
        <w:t xml:space="preserve">contains 12,360,502 load records for 397 substations. Raw records extend to 2026-03-25, but the joint modelling window ends on 2026-03-24.</w:t>
      </w:r>
      <w:r>
        <w:rPr>
          <w:rFonts w:ascii="Times New Roman" w:hAnsi="Times New Roman"/>
        </w:rPr>
        <w:t xml:space="preserve"> </w:t>
      </w:r>
      <w:r>
        <w:rPr>
          <w:rStyle w:val="VerbatimChar"/>
          <w:rFonts w:ascii="Times New Roman" w:hAnsi="Times New Roman"/>
        </w:rPr>
        <w:t xml:space="preserve">main.ren_dispatch</w:t>
      </w:r>
      <w:r>
        <w:rPr>
          <w:rFonts w:ascii="Times New Roman" w:hAnsi="Times New Roman"/>
        </w:rPr>
        <w:t xml:space="preserve"> </w:t>
      </w:r>
      <w:r>
        <w:rPr>
          <w:rFonts w:ascii="Times New Roman" w:hAnsi="Times New Roman"/>
        </w:rPr>
        <w:t xml:space="preserve">contains 472,380 records across 15 national operating series for load, generation by technology, storage, and cross-border exchange.</w:t>
      </w:r>
      <w:r>
        <w:rPr>
          <w:rFonts w:ascii="Times New Roman" w:hAnsi="Times New Roman"/>
        </w:rPr>
        <w:t xml:space="preserve"> </w:t>
      </w:r>
      <w:r>
        <w:rPr>
          <w:rStyle w:val="VerbatimChar"/>
          <w:rFonts w:ascii="Times New Roman" w:hAnsi="Times New Roman"/>
        </w:rPr>
        <w:t xml:space="preserve">main.weather_hourly</w:t>
      </w:r>
      <w:r>
        <w:rPr>
          <w:rFonts w:ascii="Times New Roman" w:hAnsi="Times New Roman"/>
        </w:rPr>
        <w:t xml:space="preserve"> </w:t>
      </w:r>
      <w:r>
        <w:rPr>
          <w:rFonts w:ascii="Times New Roman" w:hAnsi="Times New Roman"/>
        </w:rPr>
        <w:t xml:space="preserve">holds 23,616 hourly records for Lisbon, Porto, and Faro;</w:t>
      </w:r>
      <w:r>
        <w:rPr>
          <w:rFonts w:ascii="Times New Roman" w:hAnsi="Times New Roman"/>
        </w:rPr>
        <w:t xml:space="preserve"> </w:t>
      </w:r>
      <w:r>
        <w:rPr>
          <w:rStyle w:val="VerbatimChar"/>
          <w:rFonts w:ascii="Times New Roman" w:hAnsi="Times New Roman"/>
        </w:rPr>
        <w:t xml:space="preserve">main.ren_rnt_balance</w:t>
      </w:r>
      <w:r>
        <w:rPr>
          <w:rFonts w:ascii="Times New Roman" w:hAnsi="Times New Roman"/>
        </w:rPr>
        <w:t xml:space="preserve"> </w:t>
      </w:r>
      <w:r>
        <w:rPr>
          <w:rFonts w:ascii="Times New Roman" w:hAnsi="Times New Roman"/>
        </w:rPr>
        <w:t xml:space="preserve">contains 660 monthly balance records over 11 reporting periods.</w:t>
      </w:r>
    </w:p>
    <w:p>
      <w:pPr>
        <w:pStyle w:val="BodyText"/>
      </w:pPr>
      <w:r>
        <w:rPr>
          <w:rFonts w:ascii="Times New Roman" w:hAnsi="Times New Roman"/>
        </w:rPr>
        <w:t xml:space="preserve">The database also archives 14 E-REDES auxiliary datasets with 2,239,064 records. They cover national and municipal consumption, contracted power, production, distribution-grid injection, distributed self-consumption, seasonal substation loading, power quality, and continuity of supply. These tables are excluded from nodal-power construction and serve as withheld public observations in Section 4.</w:t>
      </w:r>
    </w:p>
    <w:bookmarkEnd w:id="49"/>
    <w:bookmarkStart w:id="50" w:name="time-indexed-power-flow-cases"/>
    <w:p>
      <w:pPr>
        <w:pStyle w:val="Heading2"/>
      </w:pPr>
      <w:r>
        <w:rPr>
          <w:rFonts w:ascii="Times New Roman" w:hAnsi="Times New Roman"/>
        </w:rPr>
        <w:t xml:space="preserve">3.3 Time-Indexed Power-Flow Cases</w:t>
      </w:r>
    </w:p>
    <w:p>
      <w:pPr>
        <w:pStyle w:val="FirstParagraph"/>
      </w:pPr>
      <w:r>
        <w:rPr>
          <w:rFonts w:ascii="Times New Roman" w:hAnsi="Times New Roman"/>
        </w:rPr>
        <w:t xml:space="preserve">Interval results are partitioned by civil month to limit file size and support selective download. Eleven compact monthly databases map one-to-one to the common calendar and contain 31,492 cases. Every case in the present release completed AC power flow and is marked as converged. October 2025 contains 2,980 intervals because daylight saving time ends, whereas March 2026 covers only the first 24 days and contains 2,304 intervals.</w:t>
      </w:r>
    </w:p>
    <w:p>
      <w:pPr>
        <w:pStyle w:val="BodyText"/>
      </w:pPr>
      <w:r>
        <w:rPr>
          <w:rFonts w:ascii="Times New Roman" w:hAnsi="Times New Roman"/>
        </w:rPr>
        <w:t xml:space="preserve">Each case retains summary values, equipment-state arrays, and an allocation audit bundle. Fixed</w:t>
      </w:r>
      <w:r>
        <w:rPr>
          <w:rFonts w:ascii="Times New Roman" w:hAnsi="Times New Roman"/>
        </w:rPr>
        <w:t xml:space="preserve"> </w:t>
      </w:r>
      <w:r>
        <w:rPr>
          <w:rStyle w:val="VerbatimChar"/>
          <w:rFonts w:ascii="Times New Roman" w:hAnsi="Times New Roman"/>
        </w:rPr>
        <w:t xml:space="preserve">bus_order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line_order</w:t>
      </w:r>
      <w:r>
        <w:rPr>
          <w:rFonts w:ascii="Times New Roman" w:hAnsi="Times New Roman"/>
        </w:rPr>
        <w:t xml:space="preserve"> </w:t>
      </w:r>
      <w:r>
        <w:rPr>
          <w:rFonts w:ascii="Times New Roman" w:hAnsi="Times New Roman"/>
        </w:rPr>
        <w:t xml:space="preserve">tables expand state arrays to equipment-long form; the static device order is stored once per month. Supplementary Table S5 lists fields and joins.</w:t>
      </w:r>
    </w:p>
    <w:p>
      <w:pPr>
        <w:pStyle w:val="BodyText"/>
      </w:pPr>
      <w:r>
        <w:rPr>
          <w:rFonts w:ascii="Times New Roman" w:hAnsi="Times New Roman"/>
        </w:rPr>
        <w:t xml:space="preserve">The main database also contains the N−1 application results from Section 5.</w:t>
      </w:r>
      <w:r>
        <w:rPr>
          <w:rFonts w:ascii="Times New Roman" w:hAnsi="Times New Roman"/>
        </w:rPr>
        <w:t xml:space="preserve"> </w:t>
      </w:r>
      <w:r>
        <w:rPr>
          <w:rStyle w:val="VerbatimChar"/>
          <w:rFonts w:ascii="Times New Roman" w:hAnsi="Times New Roman"/>
        </w:rPr>
        <w:t xml:space="preserve">scenario.annual_nminus1_snapshots</w:t>
      </w:r>
      <w:r>
        <w:rPr>
          <w:rFonts w:ascii="Times New Roman" w:hAnsi="Times New Roman"/>
        </w:rPr>
        <w:t xml:space="preserve"> </w:t>
      </w:r>
      <w:r>
        <w:rPr>
          <w:rFonts w:ascii="Times New Roman" w:hAnsi="Times New Roman"/>
        </w:rPr>
        <w:t xml:space="preserve">records six representative times,</w:t>
      </w:r>
      <w:r>
        <w:rPr>
          <w:rFonts w:ascii="Times New Roman" w:hAnsi="Times New Roman"/>
        </w:rPr>
        <w:t xml:space="preserve"> </w:t>
      </w:r>
      <w:r>
        <w:rPr>
          <w:rStyle w:val="VerbatimChar"/>
          <w:rFonts w:ascii="Times New Roman" w:hAnsi="Times New Roman"/>
        </w:rPr>
        <w:t xml:space="preserve">scenario.annual_nminus1_results</w:t>
      </w:r>
      <w:r>
        <w:rPr>
          <w:rFonts w:ascii="Times New Roman" w:hAnsi="Times New Roman"/>
        </w:rPr>
        <w:t xml:space="preserve"> </w:t>
      </w:r>
      <w:r>
        <w:rPr>
          <w:rFonts w:ascii="Times New Roman" w:hAnsi="Times New Roman"/>
        </w:rPr>
        <w:t xml:space="preserve">stores 9,894 contingency-level results, and</w:t>
      </w:r>
      <w:r>
        <w:rPr>
          <w:rFonts w:ascii="Times New Roman" w:hAnsi="Times New Roman"/>
        </w:rPr>
        <w:t xml:space="preserve"> </w:t>
      </w:r>
      <w:r>
        <w:rPr>
          <w:rStyle w:val="VerbatimChar"/>
          <w:rFonts w:ascii="Times New Roman" w:hAnsi="Times New Roman"/>
        </w:rPr>
        <w:t xml:space="preserve">scenario.annual_nminus1_overloads</w:t>
      </w:r>
      <w:r>
        <w:rPr>
          <w:rFonts w:ascii="Times New Roman" w:hAnsi="Times New Roman"/>
        </w:rPr>
        <w:t xml:space="preserve"> </w:t>
      </w:r>
      <w:r>
        <w:rPr>
          <w:rFonts w:ascii="Times New Roman" w:hAnsi="Times New Roman"/>
        </w:rPr>
        <w:t xml:space="preserve">stores post-contingency overloaded circuits.</w:t>
      </w:r>
      <w:r>
        <w:rPr>
          <w:rFonts w:ascii="Times New Roman" w:hAnsi="Times New Roman"/>
        </w:rPr>
        <w:t xml:space="preserve"> </w:t>
      </w:r>
      <w:r>
        <w:rPr>
          <w:rStyle w:val="VerbatimChar"/>
          <w:rFonts w:ascii="Times New Roman" w:hAnsi="Times New Roman"/>
        </w:rPr>
        <w:t xml:space="preserve">scenario.nminus1_control_policy</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provenance.annual_nminus1_runs</w:t>
      </w:r>
      <w:r>
        <w:rPr>
          <w:rFonts w:ascii="Times New Roman" w:hAnsi="Times New Roman"/>
        </w:rPr>
        <w:t xml:space="preserve"> </w:t>
      </w:r>
      <w:r>
        <w:rPr>
          <w:rFonts w:ascii="Times New Roman" w:hAnsi="Times New Roman"/>
        </w:rPr>
        <w:t xml:space="preserve">record control-search bounds and experiment provenance. These application tables remain separate from the continuous 15-minute cases so that sampled security screening is not mistaken for continuous operating observation.</w:t>
      </w:r>
    </w:p>
    <w:bookmarkEnd w:id="50"/>
    <w:bookmarkStart w:id="54" w:name="dataset-coverage-and-composition"/>
    <w:p>
      <w:pPr>
        <w:pStyle w:val="Heading2"/>
      </w:pPr>
      <w:r>
        <w:rPr>
          <w:rFonts w:ascii="Times New Roman" w:hAnsi="Times New Roman"/>
        </w:rPr>
        <w:t xml:space="preserve">3.4 Dataset Coverage and Composition</w:t>
      </w:r>
    </w:p>
    <w:p>
      <w:pPr>
        <w:pStyle w:val="FirstParagraph"/>
      </w:pPr>
      <w:r>
        <w:rPr>
          <w:rFonts w:ascii="Times New Roman" w:hAnsi="Times New Roman"/>
        </w:rPr>
        <w:t xml:space="preserve">Figure 3 shows interval availability, the peak-load week, and monthly case completeness.</w:t>
      </w:r>
    </w:p>
    <w:p>
      <w:pPr>
        <w:pStyle w:val="CaptionedFigure"/>
        <w:keepNext/>
        <w:spacing w:before="100" w:after="40"/>
        <w:jc w:val="center"/>
      </w:pPr>
      <w:r>
        <w:rPr>
          <w:rFonts w:ascii="Times New Roman" w:hAnsi="Times New Roman"/>
        </w:rPr>
        <w:drawing>
          <wp:inline>
            <wp:extent cx="5334000" cy="3704166"/>
            <wp:effectExtent b="0" l="0" r="0" t="0"/>
            <wp:docPr descr="Figure 3" title="" id="52" name="Picture"/>
            <a:graphic>
              <a:graphicData uri="http://schemas.openxmlformats.org/drawingml/2006/picture">
                <pic:pic>
                  <pic:nvPicPr>
                    <pic:cNvPr descr="figures_final/fig03_temporal_coverage.png" id="53" name="Picture"/>
                    <pic:cNvPicPr>
                      <a:picLocks noChangeArrowheads="1" noChangeAspect="1"/>
                    </pic:cNvPicPr>
                  </pic:nvPicPr>
                  <pic:blipFill>
                    <a:blip r:embed="rId5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w:t>
      </w:r>
    </w:p>
    <w:p>
      <w:pPr>
        <w:pStyle w:val="BodyText"/>
      </w:pPr>
      <w:r>
        <w:rPr>
          <w:rFonts w:ascii="Times New Roman" w:hAnsi="Times New Roman"/>
          <w:b/>
          <w:bCs/>
        </w:rPr>
        <w:t xml:space="preserve">Figure 3—Temporal coverage and case completeness.</w:t>
      </w:r>
      <w:r>
        <w:rPr>
          <w:rFonts w:ascii="Times New Roman" w:hAnsi="Times New Roman"/>
        </w:rPr>
        <w:t xml:space="preserve"> </w:t>
      </w:r>
      <w:r>
        <w:rPr>
          <w:rFonts w:ascii="Times New Roman" w:hAnsi="Times New Roman"/>
        </w:rPr>
        <w:t xml:space="preserve">(a)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w:t>
      </w:r>
    </w:p>
    <w:p>
      <w:pPr>
        <w:pStyle w:val="BodyText"/>
      </w:pPr>
      <w:r>
        <w:rPr>
          <w:rFonts w:ascii="Times New Roman" w:hAnsi="Times New Roman"/>
        </w:rPr>
        <w:t xml:space="preserve">Table 7 summarizes the principal static, time-series, validation, and application objects.</w:t>
      </w:r>
    </w:p>
    <w:p>
      <w:pPr>
        <w:pStyle w:val="BodyText"/>
        <w:keepNext/>
        <w:spacing w:before="120" w:after="40"/>
        <w:jc w:val="left"/>
      </w:pPr>
      <w:r>
        <w:rPr>
          <w:rFonts w:ascii="Times New Roman" w:hAnsi="Times New Roman"/>
          <w:b/>
          <w:bCs/>
          <w:sz w:val="18"/>
        </w:rPr>
        <w:t xml:space="preserve">Table 7—Principal dataset statistics.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27"/>
        <w:gridCol w:w="1827"/>
        <w:gridCol w:w="2436"/>
        <w:gridCol w:w="1827"/>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Category</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Object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Count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Basis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Facilities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675</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Archived model inventory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Buses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3,783</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2026-09-16 topology-validation snapshot</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Lines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4,943</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Voltage-level coverage table</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Transformers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228</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Topology-validation snapshot</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Generation / storage units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1,190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Asset inventory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Load points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468</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Load inventory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Static</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Portugal–Spain boundary endpoints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7</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Interconnection inventory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Active network</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Buses / lines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3,664 / 4,787</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Connectivity statistics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Time series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Common dates / intervals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328 days / 31,492</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Common calendar</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Time series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Substation energy</w:t>
            </w:r>
          </w:p>
        </w:tc>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6"/>
              </w:rPr>
              <w:t xml:space="preserve">397 stations / 12,360,502 records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Raw records through 2026-03-25</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Time series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REN national series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15 types / 472,380 records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15 min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Context</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Weather</w:t>
            </w:r>
          </w:p>
        </w:tc>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6"/>
              </w:rPr>
              <w:t xml:space="preserve">3 locations / 23,616 records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Hourly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Context</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REN monthly balance</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11 periods / 660 records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Monthly</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Validation</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E-REDES auxiliary products</w:t>
            </w:r>
          </w:p>
        </w:tc>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6"/>
              </w:rPr>
              <w:t xml:space="preserve">14 types / 2,239,064 records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Multiple temporal resolutions</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Power flow</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Compact monthly databases / cases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11 / 31,492</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Completed and converged</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Application</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Full-element N−1</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6 times / 9,894 cases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1,649 elements per time</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Counts describe the released CORE-3783 variant. N−1 uses N1-3787. Section 3.6 and Supplementary Note S2 define their object-level differences, section applicability, and fixed hashes.</w:t>
      </w:r>
    </w:p>
    <w:bookmarkEnd w:id="54"/>
    <w:bookmarkStart w:id="55" w:name="file-organization-and-distribution"/>
    <w:p>
      <w:pPr>
        <w:pStyle w:val="Heading2"/>
      </w:pPr>
      <w:r>
        <w:rPr>
          <w:rFonts w:ascii="Times New Roman" w:hAnsi="Times New Roman"/>
        </w:rPr>
        <w:t xml:space="preserve">3.5 File Organization and Distribution</w:t>
      </w:r>
    </w:p>
    <w:p>
      <w:pPr>
        <w:pStyle w:val="FirstParagraph"/>
      </w:pPr>
      <w:r>
        <w:rPr>
          <w:rFonts w:ascii="Times New Roman" w:hAnsi="Times New Roman"/>
        </w:rPr>
        <w:t xml:space="preserve">The frozen release comprises the analysis-ready main database, 11 monthly result databases, source and provenance records, and validation and application results. Stable model identifiers join the static network to the common calendar in the main database. Case identifiers and fixed equipment order join summaries, state arrays, and audit bundles in the monthly databases. Raw files are distributed when licensing permits; otherwise, the release provides source metadata and download scripts.</w:t>
      </w:r>
      <w:r>
        <w:rPr>
          <w:rFonts w:ascii="Times New Roman" w:hAnsi="Times New Roman"/>
        </w:rPr>
        <w:t xml:space="preserve"> </w:t>
      </w:r>
      <w:r>
        <w:rPr>
          <w:rStyle w:val="VerbatimChar"/>
          <w:rFonts w:ascii="Times New Roman" w:hAnsi="Times New Roman"/>
        </w:rPr>
        <w:t xml:space="preserve">release.json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SHA256SUMS</w:t>
      </w:r>
      <w:r>
        <w:rPr>
          <w:rFonts w:ascii="Times New Roman" w:hAnsi="Times New Roman"/>
        </w:rPr>
        <w:t xml:space="preserve">, and the release README define file hashes, the environment, and reproduction entry points.</w:t>
      </w:r>
    </w:p>
    <w:bookmarkEnd w:id="55"/>
    <w:bookmarkStart w:id="56" w:name="X839a8504b650dfee19a23816a63bd8c07b4f17f"/>
    <w:p>
      <w:pPr>
        <w:pStyle w:val="Heading2"/>
      </w:pPr>
      <w:r>
        <w:rPr>
          <w:rFonts w:ascii="Times New Roman" w:hAnsi="Times New Roman"/>
        </w:rPr>
        <w:t xml:space="preserve">3.6 Frozen Release and Model-Version Reconciliation</w:t>
      </w:r>
    </w:p>
    <w:p>
      <w:pPr>
        <w:pStyle w:val="FirstParagraph"/>
      </w:pPr>
      <w:r>
        <w:rPr>
          <w:rFonts w:ascii="Times New Roman" w:hAnsi="Times New Roman"/>
        </w:rPr>
        <w:t xml:space="preserve">The paper freezes release</w:t>
      </w:r>
      <w:r>
        <w:rPr>
          <w:rFonts w:ascii="Times New Roman" w:hAnsi="Times New Roman"/>
        </w:rPr>
        <w:t xml:space="preserve"> </w:t>
      </w:r>
      <w:r>
        <w:rPr>
          <w:rFonts w:ascii="Times New Roman" w:hAnsi="Times New Roman"/>
          <w:b/>
          <w:bCs/>
        </w:rPr>
        <w:t xml:space="preserve">SimPT60-2026.09.21-r1</w:t>
      </w:r>
      <w:r>
        <w:rPr>
          <w:rFonts w:ascii="Times New Roman" w:hAnsi="Times New Roman"/>
        </w:rPr>
        <w:t xml:space="preserve">. The 31,492 historical cases and validation in Sections 3–4 use CORE-3783: 3,783 buses, 4,943 lines, and 228 transformers. The Section 5.2 N−1 demonstration uses N1-3787. In that variant, four colocated connection nodes correct the Lanheses–Feitosa topology, and one merged Estoi transformer object is separated into three parallel equivalent units. The transformer table therefore contains 230 rows, although the three Estoi units form one symmetric contingency group. Results from the two variants cannot be interchanged and attributed to one model. Supplementary Note S2 lists the required differences; the release manifest records field-level differences and hashes.</w:t>
      </w:r>
    </w:p>
    <w:bookmarkEnd w:id="56"/>
    <w:bookmarkEnd w:id="57"/>
    <w:bookmarkStart w:id="81" w:name="validation"/>
    <w:p>
      <w:pPr>
        <w:pStyle w:val="Heading1"/>
      </w:pPr>
      <w:r>
        <w:rPr>
          <w:rFonts w:ascii="Times New Roman" w:hAnsi="Times New Roman"/>
        </w:rPr>
        <w:t xml:space="preserve">4. Validation</w:t>
      </w:r>
    </w:p>
    <w:p>
      <w:pPr>
        <w:pStyle w:val="FirstParagraph"/>
      </w:pPr>
      <w:r>
        <w:rPr>
          <w:rFonts w:ascii="Times New Roman" w:hAnsi="Times New Roman"/>
        </w:rPr>
        <w:t xml:space="preserve">No contemporaneous operator network model or branch-level state estimate was available at the spatial extent of SimPT60. Validation therefore does not target equipment-level error. It evaluates research plausibility and usability through network structure, computational consistency, sensitivity to modelling assumptions, and comparison with public observations.</w:t>
      </w:r>
    </w:p>
    <w:bookmarkStart w:id="58" w:name="validation-design-and-evidence-levels"/>
    <w:p>
      <w:pPr>
        <w:pStyle w:val="Heading2"/>
      </w:pPr>
      <w:r>
        <w:rPr>
          <w:rFonts w:ascii="Times New Roman" w:hAnsi="Times New Roman"/>
        </w:rPr>
        <w:t xml:space="preserve">4.1 Validation Design and Evidence Levels</w:t>
      </w:r>
    </w:p>
    <w:p>
      <w:pPr>
        <w:pStyle w:val="FirstParagraph"/>
      </w:pPr>
      <w:r>
        <w:rPr>
          <w:rFonts w:ascii="Times New Roman" w:hAnsi="Times New Roman"/>
        </w:rPr>
        <w:t xml:space="preserve">Validation has three layers. Public structural records and sensitivity tests evaluate the network representation. E-REDES products withheld from nodal-power construction evaluate aggregate temporal and spatial behavior. Case completeness, convergence, and power balance evaluate internal computational consistency. Comparisons are paired by common timestamp or region without interpolation or removal of anomalous months. Ninety-five-percent confidence intervals use clustered resampling by civil day or spatial entity.</w:t>
      </w:r>
    </w:p>
    <w:p>
      <w:pPr>
        <w:pStyle w:val="BodyText"/>
      </w:pPr>
      <w:r>
        <w:rPr>
          <w:rFonts w:ascii="Times New Roman" w:hAnsi="Times New Roman"/>
        </w:rPr>
        <w:t xml:space="preserve">The evidence layers answer different questions. REN and E-REDES demand and generation products do not share identical accounting boundaries, and municipal or substation statistics are not line-flow truth. The target is therefore research-level plausibility and usability rather than equipment-level accuracy.</w:t>
      </w:r>
    </w:p>
    <w:bookmarkEnd w:id="58"/>
    <w:bookmarkStart w:id="62" w:name="structural-and-computational-consistency"/>
    <w:p>
      <w:pPr>
        <w:pStyle w:val="Heading2"/>
      </w:pPr>
      <w:r>
        <w:rPr>
          <w:rFonts w:ascii="Times New Roman" w:hAnsi="Times New Roman"/>
        </w:rPr>
        <w:t xml:space="preserve">4.2 Structural and Computational Consistency</w:t>
      </w:r>
    </w:p>
    <w:p>
      <w:pPr>
        <w:pStyle w:val="FirstParagraph"/>
      </w:pPr>
      <w:r>
        <w:rPr>
          <w:rFonts w:ascii="Times New Roman" w:hAnsi="Times New Roman"/>
        </w:rPr>
        <w:t xml:space="preserve">The full static network contains 3,783 buses, 4,943 lines, and 228 transformers. A single connected component contains 3,664 active buses and 4,787 active lines. The simple-graph cycle rank is 501; median and 95th-percentile node degrees are 2 and 4. Model-to-public-background route-km ratios at 60, 130, 150, 220, and 400 kV are 0.992, 1.090, 0.817, 0.819, and 1.033. REN aggregates provide the 150/220/400 kV backgrounds. The 60/130 kV comparisons use non-independent OSM context and cannot be interpreted as accuracy. The 130 kV ratio is based on only seven model lines and is descriptive only.</w:t>
      </w:r>
    </w:p>
    <w:p>
      <w:pPr>
        <w:pStyle w:val="BodyText"/>
      </w:pPr>
      <w:r>
        <w:rPr>
          <w:rFonts w:ascii="Times New Roman" w:hAnsi="Times New Roman"/>
        </w:rPr>
        <w:t xml:space="preserve">Line parameters are a principal uncertainty. Of 4,240 60 kV lines, 1,517 have partial support from PDIRD circuit paths and 2,723 use voltage-class engineering proxies. At 130–400 kV, every line is classified as proxy at the line-level</w:t>
      </w:r>
      <w:r>
        <w:rPr>
          <w:rFonts w:ascii="Times New Roman" w:hAnsi="Times New Roman"/>
        </w:rPr>
        <w:t xml:space="preserve"> </w:t>
      </w:r>
      <w:r>
        <w:rPr>
          <w:rStyle w:val="VerbatimChar"/>
          <w:rFonts w:ascii="Times New Roman" w:hAnsi="Times New Roman"/>
        </w:rPr>
        <w:t xml:space="preserve">parameter_status</w:t>
      </w:r>
      <w:r>
        <w:rPr>
          <w:rFonts w:ascii="Times New Roman" w:hAnsi="Times New Roman"/>
        </w:rPr>
        <w:t xml:space="preserve">. This overall classification differs from field-level support, which Figure 4 reports separately.</w:t>
      </w:r>
    </w:p>
    <w:p>
      <w:pPr>
        <w:pStyle w:val="BodyText"/>
      </w:pPr>
      <w:r>
        <w:rPr>
          <w:rFonts w:ascii="Times New Roman" w:hAnsi="Times New Roman"/>
        </w:rPr>
        <w:t xml:space="preserve">The 11 compact monthly databases contain 31,492 completed and converged 15-minute cases. The mean absolute AC closure residual across generation, boundary exchange, load, and loss is</w:t>
      </w:r>
      <w:r>
        <w:rPr>
          <w:rFonts w:ascii="Times New Roman" w:hAnsi="Times New Roman"/>
        </w:rPr>
        <w:t xml:space="preserve"> </w:t>
      </w:r>
      <m:oMath>
        <m:r>
          <m:t>1.77</m:t>
        </m:r>
        <m:r>
          <m:rPr>
            <m:sty m:val="p"/>
          </m:rPr>
          <m:t>×</m:t>
        </m:r>
        <m:sSup>
          <m:e>
            <m:r>
              <m:t>10</m:t>
            </m:r>
          </m:e>
          <m:sup>
            <m:r>
              <m:rPr>
                <m:sty m:val="p"/>
              </m:rPr>
              <m:t>−</m:t>
            </m:r>
            <m:r>
              <m:t>6</m:t>
            </m:r>
          </m:sup>
        </m:sSup>
      </m:oMath>
      <w:r>
        <w:rPr>
          <w:rFonts w:ascii="Times New Roman" w:hAnsi="Times New Roman"/>
        </w:rPr>
        <w:t xml:space="preserve"> </w:t>
      </w:r>
      <w:r>
        <w:rPr>
          <w:rFonts w:ascii="Times New Roman" w:hAnsi="Times New Roman"/>
        </w:rPr>
        <w:t xml:space="preserve">MW, showing numerical agreement among released states and audit quantities.</w:t>
      </w:r>
    </w:p>
    <w:p>
      <w:pPr>
        <w:pStyle w:val="CaptionedFigure"/>
        <w:keepNext/>
        <w:spacing w:before="100" w:after="40"/>
        <w:jc w:val="center"/>
      </w:pPr>
      <w:r>
        <w:rPr>
          <w:rFonts w:ascii="Times New Roman" w:hAnsi="Times New Roman"/>
        </w:rPr>
        <w:drawing>
          <wp:inline>
            <wp:extent cx="5334000" cy="2481791"/>
            <wp:effectExtent b="0" l="0" r="0" t="0"/>
            <wp:docPr descr="Figure 4" title="" id="60" name="Picture"/>
            <a:graphic>
              <a:graphicData uri="http://schemas.openxmlformats.org/drawingml/2006/picture">
                <pic:pic>
                  <pic:nvPicPr>
                    <pic:cNvPr descr="figures_final/fig04_network_parameter_evidence.png" id="61" name="Picture"/>
                    <pic:cNvPicPr>
                      <a:picLocks noChangeArrowheads="1" noChangeAspect="1"/>
                    </pic:cNvPicPr>
                  </pic:nvPicPr>
                  <pic:blipFill>
                    <a:blip r:embed="rId59"/>
                    <a:stretch>
                      <a:fillRect/>
                    </a:stretch>
                  </pic:blipFill>
                  <pic:spPr bwMode="auto">
                    <a:xfrm>
                      <a:off x="0" y="0"/>
                      <a:ext cx="5334000" cy="2481791"/>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w:t>
      </w:r>
    </w:p>
    <w:p>
      <w:pPr>
        <w:pStyle w:val="BodyText"/>
      </w:pPr>
      <w:r>
        <w:rPr>
          <w:rFonts w:ascii="Times New Roman" w:hAnsi="Times New Roman"/>
          <w:b/>
          <w:bCs/>
        </w:rPr>
        <w:t xml:space="preserve">Figure 4—Structural coverage and field-level parameter evidence.</w:t>
      </w:r>
      <w:r>
        <w:rPr>
          <w:rFonts w:ascii="Times New Roman" w:hAnsi="Times New Roman"/>
        </w:rPr>
        <w:t xml:space="preserve"> </w:t>
      </w:r>
      <w:r>
        <w:rPr>
          <w:rFonts w:ascii="Times New Roman" w:hAnsi="Times New Roman"/>
        </w:rPr>
        <w:t xml:space="preserve">(a)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w:t>
      </w:r>
    </w:p>
    <w:p>
      <w:pPr>
        <w:pStyle w:val="BodyText"/>
        <w:keepNext/>
        <w:spacing w:before="120" w:after="40"/>
        <w:jc w:val="left"/>
      </w:pPr>
      <w:r>
        <w:rPr>
          <w:rFonts w:ascii="Times New Roman" w:hAnsi="Times New Roman"/>
          <w:b/>
          <w:bCs/>
          <w:sz w:val="18"/>
        </w:rPr>
        <w:t xml:space="preserve">Table 8—Network structure, parameter evidence, and computational completeness.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73"/>
        <w:gridCol w:w="1173"/>
        <w:gridCol w:w="1173"/>
        <w:gridCol w:w="1173"/>
        <w:gridCol w:w="1173"/>
        <w:gridCol w:w="1173"/>
        <w:gridCol w:w="88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jc w:val="right"/>
            </w:pPr>
            <w:r>
              <w:rPr>
                <w:rFonts w:ascii="Arial" w:hAnsi="Arial"/>
                <w:b/>
                <w:color w:val="FFFFFF"/>
                <w:sz w:val="15"/>
              </w:rPr>
              <w:t xml:space="preserve">kV</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Buses</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Lines</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Route-km</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Background km</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Ratio</w:t>
            </w:r>
          </w:p>
        </w:tc>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5"/>
              </w:rPr>
              <w:t xml:space="preserve">Line-level parameter evidence</w:t>
            </w:r>
          </w:p>
        </w:tc>
      </w:tr>
      <w:tr>
        <w:tc>
          <w:tcPr>
            <w:vAlign w:val="center"/>
            <w:tcMar>
              <w:top w:w="70" w:type="dxa"/>
              <w:start w:w="75" w:type="dxa"/>
              <w:bottom w:w="70" w:type="dxa"/>
              <w:end w:w="75" w:type="dxa"/>
            </w:tcMar>
          </w:tcPr>
          <w:p>
            <w:pPr>
              <w:pStyle w:val="Compact"/>
              <w:spacing w:before="0" w:after="0" w:line="240" w:lineRule="auto"/>
              <w:jc w:val="right"/>
            </w:pPr>
            <w:r>
              <w:rPr>
                <w:rFonts w:ascii="Arial" w:hAnsi="Arial"/>
                <w:color w:val="000000"/>
                <w:sz w:val="15"/>
              </w:rPr>
              <w:t xml:space="preserve">60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3,236</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4,240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9,668.4</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9,742.0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0.992</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1,517 partial / 2,723 proxy</w:t>
            </w:r>
          </w:p>
        </w:tc>
      </w:tr>
      <w:tr>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5"/>
              </w:rPr>
              <w:t xml:space="preserve">130</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8</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7</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41.6</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38.2</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1.090</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7 proxy</w:t>
            </w:r>
          </w:p>
        </w:tc>
      </w:tr>
      <w:tr>
        <w:tc>
          <w:tcPr>
            <w:vAlign w:val="center"/>
            <w:tcMar>
              <w:top w:w="70" w:type="dxa"/>
              <w:start w:w="75" w:type="dxa"/>
              <w:bottom w:w="70" w:type="dxa"/>
              <w:end w:w="75" w:type="dxa"/>
            </w:tcMar>
          </w:tcPr>
          <w:p>
            <w:pPr>
              <w:pStyle w:val="Compact"/>
              <w:spacing w:before="0" w:after="0" w:line="240" w:lineRule="auto"/>
              <w:jc w:val="right"/>
            </w:pPr>
            <w:r>
              <w:rPr>
                <w:rFonts w:ascii="Arial" w:hAnsi="Arial"/>
                <w:color w:val="000000"/>
                <w:sz w:val="15"/>
              </w:rPr>
              <w:t xml:space="preserve">150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132</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156</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2,054.1</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2,514.0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0.817</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156 proxy</w:t>
            </w:r>
          </w:p>
        </w:tc>
      </w:tr>
      <w:tr>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5"/>
              </w:rPr>
              <w:t xml:space="preserve">220</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214</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294</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3,206.9</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3,916.0</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0.819</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294 proxy</w:t>
            </w:r>
          </w:p>
        </w:tc>
      </w:tr>
      <w:tr>
        <w:tc>
          <w:tcPr>
            <w:vAlign w:val="center"/>
            <w:tcMar>
              <w:top w:w="70" w:type="dxa"/>
              <w:start w:w="75" w:type="dxa"/>
              <w:bottom w:w="70" w:type="dxa"/>
              <w:end w:w="75" w:type="dxa"/>
            </w:tcMar>
          </w:tcPr>
          <w:p>
            <w:pPr>
              <w:pStyle w:val="Compact"/>
              <w:spacing w:before="0" w:after="0" w:line="240" w:lineRule="auto"/>
              <w:jc w:val="right"/>
            </w:pPr>
            <w:r>
              <w:rPr>
                <w:rFonts w:ascii="Arial" w:hAnsi="Arial"/>
                <w:color w:val="000000"/>
                <w:sz w:val="15"/>
              </w:rPr>
              <w:t xml:space="preserve">400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193</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246</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3,579.5</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3,465.0</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1.033</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246 proxy</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The 130 kV sample contains seven lines. Background length is non-independent OSM context at 60/130 kV and REN aggregate length at 150/220/400 kV. Route-km and circuit length differ, so ratios are not accuracy. The active network is one connected component with simple-graph cycle rank 501, median degree 2, and 95th-percentile degree 4. All 31,492 cases completed and converged; interval-weighted AC closure MAE is</w:t>
      </w:r>
      <w:r>
        <w:rPr>
          <w:rFonts w:ascii="Times New Roman" w:hAnsi="Times New Roman"/>
          <w:i/>
          <w:sz w:val="17"/>
        </w:rPr>
        <w:t xml:space="preserve"> </w:t>
      </w:r>
      <m:oMath>
        <m:r>
          <m:t>1.77</m:t>
        </m:r>
        <m:r>
          <m:rPr>
            <m:sty m:val="p"/>
          </m:rPr>
          <m:t>×</m:t>
        </m:r>
        <m:sSup>
          <m:e>
            <m:r>
              <m:t>10</m:t>
            </m:r>
          </m:e>
          <m:sup>
            <m:r>
              <m:rPr>
                <m:sty m:val="p"/>
              </m:rPr>
              <m:t>−</m:t>
            </m:r>
            <m:r>
              <m:t>6</m:t>
            </m:r>
          </m:sup>
        </m:sSup>
      </m:oMath>
      <w:r>
        <w:rPr>
          <w:rFonts w:ascii="Times New Roman" w:hAnsi="Times New Roman"/>
          <w:i/>
          <w:sz w:val="17"/>
        </w:rPr>
        <w:t xml:space="preserve"> </w:t>
      </w:r>
      <w:r>
        <w:rPr>
          <w:rFonts w:ascii="Times New Roman" w:hAnsi="Times New Roman"/>
          <w:i/>
          <w:sz w:val="17"/>
        </w:rPr>
        <w:t xml:space="preserve">MW. Partial line-level support does not mean that every field is observed; all</w:t>
      </w:r>
      <w:r>
        <w:rPr>
          <w:rFonts w:ascii="Times New Roman" w:hAnsi="Times New Roman"/>
          <w:i/>
          <w:sz w:val="17"/>
        </w:rPr>
        <w:t xml:space="preserve"> </w:t>
      </w:r>
      <m:oMath>
        <m:r>
          <m:t>x</m:t>
        </m:r>
      </m:oMath>
      <w:r>
        <w:rPr>
          <w:rFonts w:ascii="Times New Roman" w:hAnsi="Times New Roman"/>
          <w:i/>
          <w:sz w:val="17"/>
        </w:rPr>
        <w:t xml:space="preserve"> </w:t>
      </w:r>
      <w:r>
        <w:rPr>
          <w:rFonts w:ascii="Times New Roman" w:hAnsi="Times New Roman"/>
          <w:i/>
          <w:sz w:val="17"/>
        </w:rPr>
        <w:t xml:space="preserve">and</w:t>
      </w:r>
      <w:r>
        <w:rPr>
          <w:rFonts w:ascii="Times New Roman" w:hAnsi="Times New Roman"/>
          <w:i/>
          <w:sz w:val="17"/>
        </w:rPr>
        <w:t xml:space="preserve"> </w:t>
      </w:r>
      <m:oMath>
        <m:r>
          <m:t>c</m:t>
        </m:r>
      </m:oMath>
      <w:r>
        <w:rPr>
          <w:rFonts w:ascii="Times New Roman" w:hAnsi="Times New Roman"/>
          <w:i/>
          <w:sz w:val="17"/>
        </w:rPr>
        <w:t xml:space="preserve"> </w:t>
      </w:r>
      <w:r>
        <w:rPr>
          <w:rFonts w:ascii="Times New Roman" w:hAnsi="Times New Roman"/>
          <w:i/>
          <w:sz w:val="17"/>
        </w:rPr>
        <w:t xml:space="preserve">values are proxies.</w:t>
      </w:r>
    </w:p>
    <w:bookmarkEnd w:id="62"/>
    <w:bookmarkStart w:id="66" w:name="X5d063ab4efad64cd58a740e40734f26c3a2cfcb"/>
    <w:p>
      <w:pPr>
        <w:pStyle w:val="Heading2"/>
      </w:pPr>
      <w:r>
        <w:rPr>
          <w:rFonts w:ascii="Times New Roman" w:hAnsi="Times New Roman"/>
        </w:rPr>
        <w:t xml:space="preserve">4.3 Parameter and Spatial-Allocation Sensitivity</w:t>
      </w:r>
    </w:p>
    <w:p>
      <w:pPr>
        <w:pStyle w:val="FirstParagraph"/>
      </w:pPr>
      <w:r>
        <w:rPr>
          <w:rFonts w:ascii="Times New Roman" w:hAnsi="Times New Roman"/>
        </w:rPr>
        <w:t xml:space="preserve">Sensitivity experiments perturb line</w:t>
      </w:r>
      <w:r>
        <w:rPr>
          <w:rFonts w:ascii="Times New Roman" w:hAnsi="Times New Roman"/>
        </w:rPr>
        <w:t xml:space="preserve"> </w:t>
      </w:r>
      <m:oMath>
        <m:r>
          <m:t>R</m:t>
        </m:r>
        <m:r>
          <m:rPr>
            <m:sty m:val="p"/>
          </m:rPr>
          <m:t>/</m:t>
        </m:r>
        <m:r>
          <m:t>X</m:t>
        </m:r>
      </m:oMath>
      <w:r>
        <w:rPr>
          <w:rFonts w:ascii="Times New Roman" w:hAnsi="Times New Roman"/>
        </w:rPr>
        <w:t xml:space="preserve">, capacitance, current ratings, transformer capacity and impedance, and the spatial allocation of load, generation, and boundary exchange at 22 representative times. After shared baselines are removed, 264 cases remain and all converge. The minimum Spearman correlation is 0.998 for line-impedance perturbations and 0.993 for transformer perturbations. Current-rating assumptions change maximum loading by as much as 34.48 percentage points. System-wide rankings remain comparatively stable under spatial alternatives, but allocating residual load by transformer capacity reduces the Top-20 Jaccard index to 0.429. Specific hotspots are consequently more assumption-dependent than the global ranking.</w:t>
      </w:r>
    </w:p>
    <w:p>
      <w:pPr>
        <w:pStyle w:val="BodyText"/>
      </w:pPr>
      <w:r>
        <w:rPr>
          <w:rFonts w:ascii="Times New Roman" w:hAnsi="Times New Roman"/>
        </w:rPr>
        <w:t xml:space="preserve">Figure 5 summarizes ranking, hotspot-set, and maximum-loading responses. Supplementary Table S6 contains all paired results. Hotspot persistence shows that no line remains in the Top 20 across every annual time and configuration (Supplementary Figure S1). Supplementary Table S7 reports ablations of reactive-power limits, PV targets, compensation, reactors, and tap control.</w:t>
      </w:r>
    </w:p>
    <w:p>
      <w:pPr>
        <w:pStyle w:val="CaptionedFigure"/>
        <w:keepNext/>
        <w:spacing w:before="100" w:after="40"/>
        <w:jc w:val="center"/>
      </w:pPr>
      <w:r>
        <w:rPr>
          <w:rFonts w:ascii="Times New Roman" w:hAnsi="Times New Roman"/>
        </w:rPr>
        <w:drawing>
          <wp:inline>
            <wp:extent cx="5334000" cy="3185583"/>
            <wp:effectExtent b="0" l="0" r="0" t="0"/>
            <wp:docPr descr="Figure 5" title="" id="64" name="Picture"/>
            <a:graphic>
              <a:graphicData uri="http://schemas.openxmlformats.org/drawingml/2006/picture">
                <pic:pic>
                  <pic:nvPicPr>
                    <pic:cNvPr descr="figures_final/fig05_parameter_spatial_sensitivity.png" id="65" name="Picture"/>
                    <pic:cNvPicPr>
                      <a:picLocks noChangeArrowheads="1" noChangeAspect="1"/>
                    </pic:cNvPicPr>
                  </pic:nvPicPr>
                  <pic:blipFill>
                    <a:blip r:embed="rId6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w:t>
      </w:r>
    </w:p>
    <w:p>
      <w:pPr>
        <w:pStyle w:val="BodyText"/>
      </w:pPr>
      <w:r>
        <w:rPr>
          <w:rFonts w:ascii="Times New Roman" w:hAnsi="Times New Roman"/>
          <w:b/>
          <w:bCs/>
        </w:rPr>
        <w:t xml:space="preserve">Figure 5—Sensitivity to parameters and spatial allocation.</w:t>
      </w:r>
      <w:r>
        <w:rPr>
          <w:rFonts w:ascii="Times New Roman" w:hAnsi="Times New Roman"/>
        </w:rPr>
        <w:t xml:space="preserve"> </w:t>
      </w:r>
      <w:r>
        <w:rPr>
          <w:rFonts w:ascii="Times New Roman" w:hAnsi="Times New Roman"/>
        </w:rPr>
        <w:t xml:space="preserve">(a) Spearman correlation of line-loading ranks; (b) Top-20 Jaccard index; and (c) absolute change in maximum loading. Markers denote medians over 22 operating states and lines extend to the least favorable result. The 154 parameter cases and 132 spatial cases share 22 baselines.</w:t>
      </w:r>
    </w:p>
    <w:bookmarkEnd w:id="66"/>
    <w:bookmarkStart w:id="70" w:name="external-temporal-agreement"/>
    <w:p>
      <w:pPr>
        <w:pStyle w:val="Heading2"/>
      </w:pPr>
      <w:r>
        <w:rPr>
          <w:rFonts w:ascii="Times New Roman" w:hAnsi="Times New Roman"/>
        </w:rPr>
        <w:t xml:space="preserve">4.4 External Temporal Agreement</w:t>
      </w:r>
    </w:p>
    <w:p>
      <w:pPr>
        <w:pStyle w:val="FirstParagraph"/>
      </w:pPr>
      <w:r>
        <w:rPr>
          <w:rFonts w:ascii="Times New Roman" w:hAnsi="Times New Roman"/>
        </w:rPr>
        <w:t xml:space="preserve">National demand comparison contains 31,388 paired intervals. The ratio of mean SimPT60 consumption to public E-REDES consumption is 1.003, with a day-block bootstrap 95% confidence interval of [1.002, 1.005]. Fifteen-minute Pearson correlation is 0.997 [0.996, 0.999], and MAE is 30.9 MW. Across 327 paired daily means, Pearson correlation is 0.995 and normalized RMSE is 0.013. October 2025 contains E-REDES missingness and local deviations, but the month is retained (</w:t>
      </w:r>
      <w:hyperlink w:anchor="ref-EREDESNationalConsumption">
        <w:r>
          <w:rPr>
            <w:rStyle w:val="Hyperlink"/>
          </w:rPr>
          <w:t xml:space="preserve">E-REDES, n.d.-b</w:t>
        </w:r>
      </w:hyperlink>
      <w:r>
        <w:rPr>
          <w:rFonts w:ascii="Times New Roman" w:hAnsi="Times New Roman"/>
        </w:rPr>
        <w:t xml:space="preserve">).</w:t>
      </w:r>
    </w:p>
    <w:p>
      <w:pPr>
        <w:pStyle w:val="BodyText"/>
      </w:pPr>
      <w:r>
        <w:rPr>
          <w:rFonts w:ascii="Times New Roman" w:hAnsi="Times New Roman"/>
        </w:rPr>
        <w:t xml:space="preserve">Wind comparison contains 31,484 paired intervals. The mean ratio between SimPT60 and E-REDES distribution-grid wind injection is 1.056 [1.055, 1.058], and Pearson correlation is 0.9998 [0.9997, 0.9998]. Daily-mean correlation is also 0.9998. Photovoltaic correlation is 0.982, but mean national photovoltaic production in SimPT60 is approximately 21.2 times distribution-grid injection. Hydro correlation is 0.536. The latter comparisons span different accounting scopes and are not absolute-scale validation (</w:t>
      </w:r>
      <w:hyperlink w:anchor="ref-EREDESDistributionInjection">
        <w:r>
          <w:rPr>
            <w:rStyle w:val="Hyperlink"/>
          </w:rPr>
          <w:t xml:space="preserve">E-REDES, n.d.-c</w:t>
        </w:r>
      </w:hyperlink>
      <w:r>
        <w:rPr>
          <w:rFonts w:ascii="Times New Roman" w:hAnsi="Times New Roman"/>
        </w:rPr>
        <w:t xml:space="preserve">;</w:t>
      </w:r>
      <w:r>
        <w:rPr>
          <w:rFonts w:ascii="Times New Roman" w:hAnsi="Times New Roman"/>
        </w:rPr>
        <w:t xml:space="preserve"> </w:t>
      </w:r>
      <w:hyperlink w:anchor="ref-EREDESNationalProduction">
        <w:r>
          <w:rPr>
            <w:rStyle w:val="Hyperlink"/>
          </w:rPr>
          <w:t xml:space="preserve">E-REDES, n.d.-d</w:t>
        </w:r>
      </w:hyperlink>
      <w:r>
        <w:rPr>
          <w:rFonts w:ascii="Times New Roman" w:hAnsi="Times New Roman"/>
        </w:rPr>
        <w:t xml:space="preserve">).</w:t>
      </w:r>
    </w:p>
    <w:p>
      <w:pPr>
        <w:pStyle w:val="CaptionedFigure"/>
        <w:keepNext/>
        <w:spacing w:before="100" w:after="40"/>
        <w:jc w:val="center"/>
      </w:pPr>
      <w:r>
        <w:rPr>
          <w:rFonts w:ascii="Times New Roman" w:hAnsi="Times New Roman"/>
        </w:rPr>
        <w:drawing>
          <wp:inline>
            <wp:extent cx="5334000" cy="5185833"/>
            <wp:effectExtent b="0" l="0" r="0" t="0"/>
            <wp:docPr descr="Figure 6" title="" id="68" name="Picture"/>
            <a:graphic>
              <a:graphicData uri="http://schemas.openxmlformats.org/drawingml/2006/picture">
                <pic:pic>
                  <pic:nvPicPr>
                    <pic:cNvPr descr="figures_final/fig07_temporal_validation.png" id="69" name="Picture"/>
                    <pic:cNvPicPr>
                      <a:picLocks noChangeArrowheads="1" noChangeAspect="1"/>
                    </pic:cNvPicPr>
                  </pic:nvPicPr>
                  <pic:blipFill>
                    <a:blip r:embed="rId67"/>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w:t>
      </w:r>
    </w:p>
    <w:p>
      <w:pPr>
        <w:pStyle w:val="BodyText"/>
      </w:pPr>
      <w:r>
        <w:rPr>
          <w:rFonts w:ascii="Times New Roman" w:hAnsi="Times New Roman"/>
          <w:b/>
          <w:bCs/>
        </w:rPr>
        <w:t xml:space="preserve">Figure 6—External temporal validation of aggregate inputs.</w:t>
      </w:r>
      <w:r>
        <w:rPr>
          <w:rFonts w:ascii="Times New Roman" w:hAnsi="Times New Roman"/>
        </w:rPr>
        <w:t xml:space="preserve"> </w:t>
      </w:r>
      <w:r>
        <w:rPr>
          <w:rFonts w:ascii="Times New Roman" w:hAnsi="Times New Roman"/>
        </w:rPr>
        <w:t xml:space="preserve">(a–b) Paired daily means for national consumption and wind; (c–d) density of the corresponding 31,388 and 31,484 15-minute pairs, with a shared logarithmic count scale, one-to-one line, and Pearson</w:t>
      </w:r>
      <w:r>
        <w:rPr>
          <w:rFonts w:ascii="Times New Roman" w:hAnsi="Times New Roman"/>
        </w:rPr>
        <w:t xml:space="preserve"> </w:t>
      </w:r>
      <m:oMath>
        <m:r>
          <m:t>r</m:t>
        </m:r>
      </m:oMath>
      <w:r>
        <w:rPr>
          <w:rFonts w:ascii="Times New Roman" w:hAnsi="Times New Roman"/>
        </w:rPr>
        <w:t xml:space="preserve">;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w:t>
      </w:r>
    </w:p>
    <w:bookmarkEnd w:id="70"/>
    <w:bookmarkStart w:id="75" w:name="external-spatial-agreement"/>
    <w:p>
      <w:pPr>
        <w:pStyle w:val="Heading2"/>
      </w:pPr>
      <w:r>
        <w:rPr>
          <w:rFonts w:ascii="Times New Roman" w:hAnsi="Times New Roman"/>
        </w:rPr>
        <w:t xml:space="preserve">4.5 External Spatial Agreement</w:t>
      </w:r>
    </w:p>
    <w:p>
      <w:pPr>
        <w:pStyle w:val="FirstParagraph"/>
      </w:pPr>
      <w:r>
        <w:rPr>
          <w:rFonts w:ascii="Times New Roman" w:hAnsi="Times New Roman"/>
        </w:rPr>
        <w:t xml:space="preserve">At municipal level, E-REDES monthly billed consumption is the reference (</w:t>
      </w:r>
      <w:hyperlink w:anchor="ref-EREDESMunicipalityConsumption">
        <w:r>
          <w:rPr>
            <w:rStyle w:val="Hyperlink"/>
          </w:rPr>
          <w:t xml:space="preserve">E-REDES, n.d.-e</w:t>
        </w:r>
      </w:hyperlink>
      <w:r>
        <w:rPr>
          <w:rFonts w:ascii="Times New Roman" w:hAnsi="Times New Roman"/>
        </w:rPr>
        <w:t xml:space="preserve">). The 2,183 municipality-month pairs yield a Spearman correlation of 0.881, with a 95% confidence interval of [0.841, 0.910] from 199 municipality clusters; they cover 94.8% of contemporaneous billed energy. At substation level, 792 seasonal pairs yield a Spearman correlation of 0.957 [0.946, 0.967] over 397 station clusters, a mean ratio of 1.044, and MAE of 2.45 MW.</w:t>
      </w:r>
    </w:p>
    <w:p>
      <w:pPr>
        <w:pStyle w:val="BodyText"/>
      </w:pPr>
      <w:r>
        <w:rPr>
          <w:rFonts w:ascii="Times New Roman" w:hAnsi="Times New Roman"/>
        </w:rPr>
        <w:t xml:space="preserve">Municipality comparisons use the municipality containing each substation as a proxy for its service area and therefore provide weak spatial evidence. Seasonal substation loads come from the E-REDES capacity and loading product (</w:t>
      </w:r>
      <w:hyperlink w:anchor="ref-EREDESSubstationCapacity">
        <w:r>
          <w:rPr>
            <w:rStyle w:val="Hyperlink"/>
          </w:rPr>
          <w:t xml:space="preserve">E-REDES, n.d.-a</w:t>
        </w:r>
      </w:hyperlink>
      <w:r>
        <w:rPr>
          <w:rFonts w:ascii="Times New Roman" w:hAnsi="Times New Roman"/>
        </w:rPr>
        <w:t xml:space="preserve">). They test facility ranking and scale, but share the same operator as the 15-minute load data and are not fully independent nodal truth.</w:t>
      </w:r>
    </w:p>
    <w:p>
      <w:pPr>
        <w:pStyle w:val="CaptionedFigure"/>
        <w:keepNext/>
        <w:spacing w:before="100" w:after="40"/>
        <w:jc w:val="center"/>
      </w:pPr>
      <w:r>
        <w:rPr>
          <w:rFonts w:ascii="Times New Roman" w:hAnsi="Times New Roman"/>
        </w:rPr>
        <w:drawing>
          <wp:inline>
            <wp:extent cx="5334000" cy="2704041"/>
            <wp:effectExtent b="0" l="0" r="0" t="0"/>
            <wp:docPr descr="Figure 7" title="" id="72" name="Picture"/>
            <a:graphic>
              <a:graphicData uri="http://schemas.openxmlformats.org/drawingml/2006/picture">
                <pic:pic>
                  <pic:nvPicPr>
                    <pic:cNvPr descr="figures_final/fig08_spatial_validation.png" id="73" name="Picture"/>
                    <pic:cNvPicPr>
                      <a:picLocks noChangeArrowheads="1" noChangeAspect="1"/>
                    </pic:cNvPicPr>
                  </pic:nvPicPr>
                  <pic:blipFill>
                    <a:blip r:embed="rId71"/>
                    <a:stretch>
                      <a:fillRect/>
                    </a:stretch>
                  </pic:blipFill>
                  <pic:spPr bwMode="auto">
                    <a:xfrm>
                      <a:off x="0" y="0"/>
                      <a:ext cx="5334000" cy="2704041"/>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w:t>
      </w:r>
    </w:p>
    <w:p>
      <w:pPr>
        <w:pStyle w:val="BodyText"/>
      </w:pPr>
      <w:r>
        <w:rPr>
          <w:rFonts w:ascii="Times New Roman" w:hAnsi="Times New Roman"/>
          <w:b/>
          <w:bCs/>
        </w:rPr>
        <w:t xml:space="preserve">Figure 7—Spatial agreement at municipality and substation levels.</w:t>
      </w:r>
      <w:r>
        <w:rPr>
          <w:rFonts w:ascii="Times New Roman" w:hAnsi="Times New Roman"/>
        </w:rPr>
        <w:t xml:space="preserve"> </w:t>
      </w:r>
      <w:r>
        <w:rPr>
          <w:rFonts w:ascii="Times New Roman" w:hAnsi="Times New Roman"/>
        </w:rPr>
        <w:t xml:space="preserve">(a)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w:t>
      </w:r>
    </w:p>
    <w:p>
      <w:pPr>
        <w:pStyle w:val="BodyText"/>
        <w:keepNext/>
        <w:spacing w:before="120" w:after="40"/>
        <w:jc w:val="left"/>
      </w:pPr>
      <w:r>
        <w:rPr>
          <w:rFonts w:ascii="Times New Roman" w:hAnsi="Times New Roman"/>
          <w:b/>
          <w:bCs/>
          <w:sz w:val="18"/>
        </w:rPr>
        <w:t xml:space="preserve">Table 9—Summary of cross-source validation.</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27"/>
        <w:gridCol w:w="2436"/>
        <w:gridCol w:w="1827"/>
        <w:gridCol w:w="1827"/>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6"/>
              </w:rPr>
              <w:t xml:space="preserve">Validation target</w:t>
            </w:r>
          </w:p>
        </w:tc>
        <w:tc>
          <w:tcPr>
            <w:vAlign w:val="center"/>
            <w:tcMar>
              <w:top w:w="70" w:type="dxa"/>
              <w:start w:w="75" w:type="dxa"/>
              <w:bottom w:w="70" w:type="dxa"/>
              <w:end w:w="75" w:type="dxa"/>
            </w:tcMar>
            <w:shd w:fill="1F4E78"/>
          </w:tcPr>
          <w:p>
            <w:pPr>
              <w:pStyle w:val="Compact"/>
              <w:spacing w:before="0" w:after="0" w:line="240" w:lineRule="auto"/>
              <w:jc w:val="right"/>
            </w:pPr>
            <w:r>
              <w:rPr>
                <w:rFonts w:ascii="Arial" w:hAnsi="Arial"/>
                <w:b/>
                <w:color w:val="FFFFFF"/>
                <w:sz w:val="16"/>
              </w:rPr>
              <w:t xml:space="preserve">Samples or independent blocks</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Result (95% CI)</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6"/>
              </w:rPr>
              <w:t xml:space="preserve">Evidence level</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National consumption</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31,388 intervals / 327 days</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Mean ratio 1.003 [1.002, 1.005];</w:t>
            </w:r>
            <w:r>
              <w:rPr>
                <w:rFonts w:ascii="Arial" w:hAnsi="Arial"/>
                <w:color w:val="000000"/>
                <w:sz w:val="16"/>
              </w:rPr>
              <w:t xml:space="preserve"> </w:t>
            </w:r>
            <m:oMath>
              <m:r>
                <m:t>r</m:t>
              </m:r>
              <m:r>
                <m:rPr>
                  <m:sty m:val="p"/>
                </m:rPr>
                <m:t>=</m:t>
              </m:r>
              <m:r>
                <m:t>0.997</m:t>
              </m:r>
            </m:oMath>
            <w:r>
              <w:rPr>
                <w:rFonts w:ascii="Arial" w:hAnsi="Arial"/>
                <w:color w:val="000000"/>
                <w:sz w:val="16"/>
              </w:rPr>
              <w:t xml:space="preserve"> </w:t>
            </w:r>
            <w:r>
              <w:rPr>
                <w:rFonts w:ascii="Arial" w:hAnsi="Arial"/>
                <w:color w:val="000000"/>
                <w:sz w:val="16"/>
              </w:rPr>
              <w:t xml:space="preserve">[0.996, 0.999]</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REN–E-REDES consumption; reference includes losses</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Wind</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31,484 intervals / 328 days</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Mean ratio 1.056 [1.055, 1.058];</w:t>
            </w:r>
            <w:r>
              <w:rPr>
                <w:rFonts w:ascii="Arial" w:hAnsi="Arial"/>
                <w:color w:val="000000"/>
                <w:sz w:val="16"/>
              </w:rPr>
              <w:t xml:space="preserve"> </w:t>
            </w:r>
            <m:oMath>
              <m:r>
                <m:t>r</m:t>
              </m:r>
              <m:r>
                <m:rPr>
                  <m:sty m:val="p"/>
                </m:rPr>
                <m:t>=</m:t>
              </m:r>
              <m:r>
                <m:t>0.9998</m:t>
              </m:r>
            </m:oMath>
            <w:r>
              <w:rPr>
                <w:rFonts w:ascii="Arial" w:hAnsi="Arial"/>
                <w:color w:val="000000"/>
                <w:sz w:val="16"/>
              </w:rPr>
              <w:t xml:space="preserve"> </w:t>
            </w:r>
            <w:r>
              <w:rPr>
                <w:rFonts w:ascii="Arial" w:hAnsi="Arial"/>
                <w:color w:val="000000"/>
                <w:sz w:val="16"/>
              </w:rPr>
              <w:t xml:space="preserve">[0.9997, 0.9998]</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REN–E-REDES distribution-injection corroboration</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Photovoltaic temporal variation</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31,484 intervals / 328 days</w:t>
            </w:r>
          </w:p>
        </w:tc>
        <w:tc>
          <w:tcPr>
            <w:vAlign w:val="center"/>
            <w:tcMar>
              <w:top w:w="70" w:type="dxa"/>
              <w:start w:w="75" w:type="dxa"/>
              <w:bottom w:w="70" w:type="dxa"/>
              <w:end w:w="75" w:type="dxa"/>
            </w:tcMar>
          </w:tcPr>
          <w:p>
            <w:pPr>
              <w:pStyle w:val="Compact"/>
              <w:spacing w:before="0" w:after="0" w:line="240" w:lineRule="auto"/>
            </w:pPr>
            <m:oMath>
              <m:r>
                <m:t>r</m:t>
              </m:r>
              <m:r>
                <m:rPr>
                  <m:sty m:val="p"/>
                </m:rPr>
                <m:t>=</m:t>
              </m:r>
              <m:r>
                <m:t>0.982</m:t>
              </m:r>
            </m:oMath>
            <w:r>
              <w:rPr>
                <w:rFonts w:ascii="Arial" w:hAnsi="Arial"/>
                <w:color w:val="000000"/>
                <w:sz w:val="16"/>
              </w:rPr>
              <w:t xml:space="preserve"> </w:t>
            </w:r>
            <w:r>
              <w:rPr>
                <w:rFonts w:ascii="Arial" w:hAnsi="Arial"/>
                <w:color w:val="000000"/>
                <w:sz w:val="16"/>
              </w:rPr>
              <w:t xml:space="preserve">[0.979, 0.984]; absolute scale not comparable</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National production versus distribution injection</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Municipal load share</w:t>
            </w:r>
          </w:p>
        </w:tc>
        <w:tc>
          <w:tcPr>
            <w:vAlign w:val="center"/>
            <w:tcMar>
              <w:top w:w="70" w:type="dxa"/>
              <w:start w:w="75" w:type="dxa"/>
              <w:bottom w:w="70" w:type="dxa"/>
              <w:end w:w="75" w:type="dxa"/>
            </w:tcMar>
            <w:shd w:fill="F3F7FA"/>
          </w:tcPr>
          <w:p>
            <w:pPr>
              <w:pStyle w:val="Compact"/>
              <w:spacing w:before="0" w:after="0" w:line="240" w:lineRule="auto"/>
              <w:jc w:val="right"/>
            </w:pPr>
            <w:r>
              <w:rPr>
                <w:rFonts w:ascii="Arial" w:hAnsi="Arial"/>
                <w:color w:val="000000"/>
                <w:sz w:val="16"/>
              </w:rPr>
              <w:t xml:space="preserve">2,183 pairs / 199 municipalities</w:t>
            </w:r>
          </w:p>
        </w:tc>
        <w:tc>
          <w:tcPr>
            <w:vAlign w:val="center"/>
            <w:tcMar>
              <w:top w:w="70" w:type="dxa"/>
              <w:start w:w="75" w:type="dxa"/>
              <w:bottom w:w="70" w:type="dxa"/>
              <w:end w:w="75" w:type="dxa"/>
            </w:tcMar>
            <w:shd w:fill="F3F7FA"/>
          </w:tcPr>
          <w:p>
            <w:pPr>
              <w:pStyle w:val="Compact"/>
              <w:spacing w:before="0" w:after="0" w:line="240" w:lineRule="auto"/>
              <w:jc w:val="center"/>
            </w:pPr>
            <m:oMath>
              <m:r>
                <m:t>ρ</m:t>
              </m:r>
              <m:r>
                <m:rPr>
                  <m:sty m:val="p"/>
                </m:rPr>
                <m:t>=</m:t>
              </m:r>
              <m:r>
                <m:t>0.881</m:t>
              </m:r>
            </m:oMath>
            <w:r>
              <w:rPr>
                <w:rFonts w:ascii="Arial" w:hAnsi="Arial"/>
                <w:color w:val="000000"/>
                <w:sz w:val="16"/>
              </w:rPr>
              <w:t xml:space="preserve"> </w:t>
            </w:r>
            <w:r>
              <w:rPr>
                <w:rFonts w:ascii="Arial" w:hAnsi="Arial"/>
                <w:color w:val="000000"/>
                <w:sz w:val="16"/>
              </w:rPr>
              <w:t xml:space="preserve">[0.841, 0.910]</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Same operator across datasets; weak spatial proxy</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Seasonal substation peak</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6"/>
              </w:rPr>
              <w:t xml:space="preserve">792 pairs / 397 stations</w:t>
            </w:r>
          </w:p>
        </w:tc>
        <w:tc>
          <w:tcPr>
            <w:vAlign w:val="center"/>
            <w:tcMar>
              <w:top w:w="70" w:type="dxa"/>
              <w:start w:w="75" w:type="dxa"/>
              <w:bottom w:w="70" w:type="dxa"/>
              <w:end w:w="75" w:type="dxa"/>
            </w:tcMar>
          </w:tcPr>
          <w:p>
            <w:pPr>
              <w:pStyle w:val="Compact"/>
              <w:spacing w:before="0" w:after="0" w:line="240" w:lineRule="auto"/>
              <w:jc w:val="center"/>
            </w:pPr>
            <m:oMath>
              <m:r>
                <m:t>ρ</m:t>
              </m:r>
              <m:r>
                <m:rPr>
                  <m:sty m:val="p"/>
                </m:rPr>
                <m:t>=</m:t>
              </m:r>
              <m:r>
                <m:t>0.957</m:t>
              </m:r>
            </m:oMath>
            <w:r>
              <w:rPr>
                <w:rFonts w:ascii="Arial" w:hAnsi="Arial"/>
                <w:color w:val="000000"/>
                <w:sz w:val="16"/>
              </w:rPr>
              <w:t xml:space="preserve"> </w:t>
            </w:r>
            <w:r>
              <w:rPr>
                <w:rFonts w:ascii="Arial" w:hAnsi="Arial"/>
                <w:color w:val="000000"/>
                <w:sz w:val="16"/>
              </w:rPr>
              <w:t xml:space="preserve">[0.946, 0.967]</w:t>
            </w:r>
          </w:p>
        </w:tc>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6"/>
              </w:rPr>
              <w:t xml:space="preserve">Same operator across datasets</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AC power closure</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31,492 cases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6"/>
              </w:rPr>
              <w:t xml:space="preserve">MAE</w:t>
            </w:r>
            <w:r>
              <w:rPr>
                <w:rFonts w:ascii="Arial" w:hAnsi="Arial"/>
                <w:color w:val="000000"/>
                <w:sz w:val="16"/>
              </w:rPr>
              <w:t xml:space="preserve"> </w:t>
            </w:r>
            <m:oMath>
              <m:r>
                <m:t>1.77</m:t>
              </m:r>
              <m:r>
                <m:rPr>
                  <m:sty m:val="p"/>
                </m:rPr>
                <m:t>×</m:t>
              </m:r>
              <m:sSup>
                <m:e>
                  <m:r>
                    <m:t>10</m:t>
                  </m:r>
                </m:e>
                <m:sup>
                  <m:r>
                    <m:rPr>
                      <m:sty m:val="p"/>
                    </m:rPr>
                    <m:t>−</m:t>
                  </m:r>
                  <m:r>
                    <m:t>6</m:t>
                  </m:r>
                </m:sup>
              </m:sSup>
            </m:oMath>
            <w:r>
              <w:rPr>
                <w:rFonts w:ascii="Arial" w:hAnsi="Arial"/>
                <w:color w:val="000000"/>
                <w:sz w:val="16"/>
              </w:rPr>
              <w:t xml:space="preserve"> </w:t>
            </w:r>
            <w:r>
              <w:rPr>
                <w:rFonts w:ascii="Arial" w:hAnsi="Arial"/>
                <w:color w:val="000000"/>
                <w:sz w:val="16"/>
              </w:rPr>
              <w:t xml:space="preserve">MW</w:t>
            </w:r>
          </w:p>
        </w:tc>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6"/>
              </w:rPr>
              <w:t xml:space="preserve">Internal physical consistency</w:t>
            </w:r>
          </w:p>
        </w:tc>
      </w:tr>
    </w:tbl>
    <w:bookmarkStart w:id="74" w:name="X8af3d23067d2040a545ef6a70e5646d2951549b"/>
    <w:p>
      <w:pPr>
        <w:pStyle w:val="Heading3"/>
      </w:pPr>
      <w:r>
        <w:rPr>
          <w:rFonts w:ascii="Times New Roman" w:hAnsi="Times New Roman"/>
        </w:rPr>
        <w:t xml:space="preserve">4.5.1 Station-Held-Out Spatial Reconstruction Test</w:t>
      </w:r>
    </w:p>
    <w:p>
      <w:pPr>
        <w:pStyle w:val="FirstParagraph"/>
      </w:pPr>
      <w:r>
        <w:rPr>
          <w:rFonts w:ascii="Times New Roman" w:hAnsi="Times New Roman"/>
        </w:rPr>
        <w:t xml:space="preserve">A station-held-out experiment divides 394 matched stations into five deterministic folds. At 22 times, it compares global capacity share, five geographically nearest stations, and five nearest stations along the reconstructed network, yielding 8,541 observation pairs. Table 10 shows that network-neighbor MAE is approximately 9.9% below global capacity share, but is not lower than geographic-neighbor MAE and has an overlapping confidence interval. Reconstructed connectivity therefore contains useful proximity information but does not independently recover precise nodal demand. Supplementary Note S3 specifies folds, distance weights, and bootstrap procedures.</w:t>
      </w:r>
    </w:p>
    <w:p>
      <w:pPr>
        <w:pStyle w:val="BodyText"/>
        <w:keepNext/>
        <w:spacing w:before="120" w:after="40"/>
        <w:jc w:val="left"/>
      </w:pPr>
      <w:r>
        <w:rPr>
          <w:rFonts w:ascii="Times New Roman" w:hAnsi="Times New Roman"/>
          <w:b/>
          <w:bCs/>
          <w:sz w:val="18"/>
        </w:rPr>
        <w:t xml:space="preserve">Table 10—Station-held-out spatial-allocation results.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20"/>
        <w:gridCol w:w="1760"/>
        <w:gridCol w:w="1320"/>
        <w:gridCol w:w="1760"/>
        <w:gridCol w:w="1760"/>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5"/>
              </w:rPr>
              <w:t xml:space="preserve">Method</w:t>
            </w:r>
          </w:p>
        </w:tc>
        <w:tc>
          <w:tcPr>
            <w:vAlign w:val="center"/>
            <w:tcMar>
              <w:top w:w="70" w:type="dxa"/>
              <w:start w:w="75" w:type="dxa"/>
              <w:bottom w:w="70" w:type="dxa"/>
              <w:end w:w="75" w:type="dxa"/>
            </w:tcMar>
            <w:shd w:fill="1F4E78"/>
          </w:tcPr>
          <w:p>
            <w:pPr>
              <w:pStyle w:val="Compact"/>
              <w:spacing w:before="0" w:after="0" w:line="240" w:lineRule="auto"/>
              <w:jc w:val="right"/>
            </w:pPr>
            <w:r>
              <w:rPr>
                <w:rFonts w:ascii="Arial" w:hAnsi="Arial"/>
                <w:b/>
                <w:color w:val="FFFFFF"/>
                <w:sz w:val="15"/>
              </w:rPr>
              <w:t xml:space="preserve">Stations / observation pairs</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MAE (MW), 95% CI</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RMSE (MW)</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WAPE</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Capacity share</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394 / 8,541</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4.729 [4.412, 5.063]</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6.357</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38.4%</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5"/>
              </w:rPr>
              <w:t xml:space="preserve">Five geographic neighbors</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394 / 8,541</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4.249 [3.972, 4.544]</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5.675</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34.5%</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Five network-path neighbors</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394 / 8,541</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4.262 [3.971, 4.545]</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5.702</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34.6%</w:t>
            </w:r>
          </w:p>
        </w:tc>
      </w:tr>
    </w:tbl>
    <w:bookmarkEnd w:id="74"/>
    <w:bookmarkEnd w:id="75"/>
    <w:bookmarkStart w:id="79" w:name="Xdf888b7ddb85cba43fe512cdb83621541356905"/>
    <w:p>
      <w:pPr>
        <w:pStyle w:val="Heading2"/>
      </w:pPr>
      <w:r>
        <w:rPr>
          <w:rFonts w:ascii="Times New Roman" w:hAnsi="Times New Roman"/>
        </w:rPr>
        <w:t xml:space="preserve">4.6 Generation Scope and Quantified Dependence on Spatial Proxies</w:t>
      </w:r>
    </w:p>
    <w:p>
      <w:pPr>
        <w:pStyle w:val="FirstParagraph"/>
      </w:pPr>
      <w:r>
        <w:rPr>
          <w:rFonts w:ascii="Times New Roman" w:hAnsi="Times New Roman"/>
        </w:rPr>
        <w:t xml:space="preserve">Directly observed load accounts for 67.93–74.93% of monthly consumption; the remaining 25.07–32.07% is allocated with PDIRT reference profiles. National generation proxies account for only 0.010–0.063% of monthly generation, but this national average hides small technology classes. In May 2025, proxy shares reach 90.58% for batteries and 11.07% for other thermal generation. Aggregate balance therefore does not establish reliable local asset location.</w:t>
      </w:r>
    </w:p>
    <w:p>
      <w:pPr>
        <w:pStyle w:val="BodyText"/>
      </w:pPr>
      <w:r>
        <w:rPr>
          <w:rFonts w:ascii="Times New Roman" w:hAnsi="Times New Roman"/>
        </w:rPr>
        <w:t xml:space="preserve">All non-rounding generation proxies are injected at one 400 kV receiving bus, which represents a model balancing location only. Figure 8 shows consumption residuals, technology-level generation proxies, and their spatial distribution by latitude band. Monthly values for eight technologies, interval flags, and bus-level details are released as CSV.</w:t>
      </w:r>
    </w:p>
    <w:p>
      <w:pPr>
        <w:pStyle w:val="CaptionedFigure"/>
        <w:keepNext/>
        <w:spacing w:before="100" w:after="40"/>
        <w:jc w:val="center"/>
      </w:pPr>
      <w:r>
        <w:rPr>
          <w:rFonts w:ascii="Times New Roman" w:hAnsi="Times New Roman"/>
        </w:rPr>
        <w:drawing>
          <wp:inline>
            <wp:extent cx="5334000" cy="6294328"/>
            <wp:effectExtent b="0" l="0" r="0" t="0"/>
            <wp:docPr descr="Figure 8" title="" id="77" name="Picture"/>
            <a:graphic>
              <a:graphicData uri="http://schemas.openxmlformats.org/drawingml/2006/picture">
                <pic:pic>
                  <pic:nvPicPr>
                    <pic:cNvPr descr="figures_final/fig10_proxy_provenance.png" id="78" name="Picture"/>
                    <pic:cNvPicPr>
                      <a:picLocks noChangeArrowheads="1" noChangeAspect="1"/>
                    </pic:cNvPicPr>
                  </pic:nvPicPr>
                  <pic:blipFill>
                    <a:blip r:embed="rId76"/>
                    <a:stretch>
                      <a:fillRect/>
                    </a:stretch>
                  </pic:blipFill>
                  <pic:spPr bwMode="auto">
                    <a:xfrm>
                      <a:off x="0" y="0"/>
                      <a:ext cx="5334000" cy="6294328"/>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w:t>
      </w:r>
    </w:p>
    <w:p>
      <w:pPr>
        <w:pStyle w:val="BodyText"/>
      </w:pPr>
      <w:r>
        <w:rPr>
          <w:rFonts w:ascii="Times New Roman" w:hAnsi="Times New Roman"/>
          <w:b/>
          <w:bCs/>
        </w:rPr>
        <w:t xml:space="preserve">Figure 8—Temporal and spatial distribution of observed and proxy power.</w:t>
      </w:r>
      <w:r>
        <w:rPr>
          <w:rFonts w:ascii="Times New Roman" w:hAnsi="Times New Roman"/>
        </w:rPr>
        <w:t xml:space="preserve"> </w:t>
      </w:r>
      <w:r>
        <w:rPr>
          <w:rFonts w:ascii="Times New Roman" w:hAnsi="Times New Roman"/>
        </w:rPr>
        <w:t xml:space="preserve">(a)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w:t>
      </w:r>
    </w:p>
    <w:bookmarkEnd w:id="79"/>
    <w:bookmarkStart w:id="80" w:name="limitations"/>
    <w:p>
      <w:pPr>
        <w:pStyle w:val="Heading2"/>
      </w:pPr>
      <w:r>
        <w:rPr>
          <w:rFonts w:ascii="Times New Roman" w:hAnsi="Times New Roman"/>
        </w:rPr>
        <w:t xml:space="preserve">4.7 Limitations</w:t>
      </w:r>
    </w:p>
    <w:p>
      <w:pPr>
        <w:pStyle w:val="FirstParagraph"/>
      </w:pPr>
      <w:r>
        <w:rPr>
          <w:rFonts w:ascii="Times New Roman" w:hAnsi="Times New Roman"/>
        </w:rPr>
        <w:t xml:space="preserve">Validation supports aggregate temporal agreement, plausible spatial ranking, and numerical self-consistency. Parameter and allocation perturbations also show that system-wide trends are generally stable. Public information remains insufficient to validate device-by-device topology, branch flows, switching status, or generator capability. Correlation, convergence, and screening counts must therefore not be interpreted as equipment-level accuracy of an operator network. SimPT60 is intended for reproducible research cases, relative-risk comparison, and method testing. Real-time dispatch, protection settings, and formal compliance assessment require contemporaneous operator-approved models and operating records.</w:t>
      </w:r>
    </w:p>
    <w:bookmarkEnd w:id="80"/>
    <w:bookmarkEnd w:id="81"/>
    <w:bookmarkStart w:id="90" w:name="application"/>
    <w:p>
      <w:pPr>
        <w:pStyle w:val="Heading1"/>
      </w:pPr>
      <w:r>
        <w:rPr>
          <w:rFonts w:ascii="Times New Roman" w:hAnsi="Times New Roman"/>
        </w:rPr>
        <w:t xml:space="preserve">5. Application</w:t>
      </w:r>
    </w:p>
    <w:p>
      <w:pPr>
        <w:pStyle w:val="FirstParagraph"/>
      </w:pPr>
      <w:r>
        <w:rPr>
          <w:rFonts w:ascii="Times New Roman" w:hAnsi="Times New Roman"/>
        </w:rPr>
        <w:t xml:space="preserve">Two compact experiments demonstrate deterministic scenario comparison and batch contingency computation. They illustrate model use and are neither operational forecasts nor formal compliance assessments.</w:t>
      </w:r>
    </w:p>
    <w:bookmarkStart w:id="85" w:name="deterministic-grid-stress-scenario"/>
    <w:p>
      <w:pPr>
        <w:pStyle w:val="Heading2"/>
      </w:pPr>
      <w:r>
        <w:rPr>
          <w:rFonts w:ascii="Times New Roman" w:hAnsi="Times New Roman"/>
        </w:rPr>
        <w:t xml:space="preserve">5.1 Deterministic Grid-Stress Scenario</w:t>
      </w:r>
    </w:p>
    <w:p>
      <w:pPr>
        <w:pStyle w:val="FirstParagraph"/>
      </w:pPr>
      <w:r>
        <w:rPr>
          <w:rFonts w:ascii="Times New Roman" w:hAnsi="Times New Roman"/>
        </w:rPr>
        <w:t xml:space="preserve">Starting from 2026-01-20 19:45 UTC, nodal load, generation by technology, and boundary exchange are scaled jointly from 0.90 to 1.15 and solved independently. All five scenarios converge. Maximum line loading is 96.10% at baseline, reaches 100.50% with three overloaded lines at 1.05, and reaches 109.41% at 1.15. Minimum voltage remains above 0.90 p.u. Figure 9 shows loading and voltage responses; exact scenario results are released as CSV.</w:t>
      </w:r>
    </w:p>
    <w:p>
      <w:pPr>
        <w:pStyle w:val="CaptionedFigure"/>
        <w:keepNext/>
        <w:spacing w:before="100" w:after="40"/>
        <w:jc w:val="center"/>
      </w:pPr>
      <w:r>
        <w:rPr>
          <w:rFonts w:ascii="Times New Roman" w:hAnsi="Times New Roman"/>
        </w:rPr>
        <w:drawing>
          <wp:inline>
            <wp:extent cx="5334000" cy="2333625"/>
            <wp:effectExtent b="0" l="0" r="0" t="0"/>
            <wp:docPr descr="Figure 9" title="" id="83" name="Picture"/>
            <a:graphic>
              <a:graphicData uri="http://schemas.openxmlformats.org/drawingml/2006/picture">
                <pic:pic>
                  <pic:nvPicPr>
                    <pic:cNvPr descr="figures_final/fig11_grid_stress.png" id="84" name="Picture"/>
                    <pic:cNvPicPr>
                      <a:picLocks noChangeArrowheads="1" noChangeAspect="1"/>
                    </pic:cNvPicPr>
                  </pic:nvPicPr>
                  <pic:blipFill>
                    <a:blip r:embed="rId8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w:t>
      </w:r>
    </w:p>
    <w:p>
      <w:pPr>
        <w:pStyle w:val="BodyText"/>
      </w:pPr>
      <w:r>
        <w:rPr>
          <w:rFonts w:ascii="Times New Roman" w:hAnsi="Times New Roman"/>
          <w:b/>
          <w:bCs/>
        </w:rPr>
        <w:t xml:space="preserve">Figure 9—Deterministic grid-stress response.</w:t>
      </w:r>
      <w:r>
        <w:rPr>
          <w:rFonts w:ascii="Times New Roman" w:hAnsi="Times New Roman"/>
        </w:rPr>
        <w:t xml:space="preserve"> </w:t>
      </w:r>
      <w:r>
        <w:rPr>
          <w:rFonts w:ascii="Times New Roman" w:hAnsi="Times New Roman"/>
        </w:rPr>
        <w:t xml:space="preserve">(a) Maximum line and transformer loading; (b) minimum and maximum bus voltage. Dashed lines mark 100% line loading and the 0.90–1.10 p.u. screening band. Connecting lines guide the eye only.</w:t>
      </w:r>
    </w:p>
    <w:bookmarkEnd w:id="85"/>
    <w:bookmarkStart w:id="89" w:name="Xdc9db831fa22a8f31a41dbc15612011cd03584f"/>
    <w:p>
      <w:pPr>
        <w:pStyle w:val="Heading2"/>
      </w:pPr>
      <w:r>
        <w:rPr>
          <w:rFonts w:ascii="Times New Roman" w:hAnsi="Times New Roman"/>
        </w:rPr>
        <w:t xml:space="preserve">5.2 Representative-Time Full-Element N−1 Demonstration</w:t>
      </w:r>
    </w:p>
    <w:p>
      <w:pPr>
        <w:pStyle w:val="FirstParagraph"/>
      </w:pPr>
      <w:r>
        <w:rPr>
          <w:rFonts w:ascii="Times New Roman" w:hAnsi="Times New Roman"/>
        </w:rPr>
        <w:t xml:space="preserve">Six times are selected in advance from the continuous series: maximum and minimum load, maximum wind, maximum photovoltaic generation, maximum net import, and maximum net export. The same 1,649 contingencies are used at each time in N1-3787: 1,421 line-circuit groups and 228 transformer groups. Series model segments are removed together, while one unit is removed from a parallel equivalent. Supplementary Table S8 specifies selection and exclusion rules.</w:t>
      </w:r>
    </w:p>
    <w:p>
      <w:pPr>
        <w:pStyle w:val="BodyText"/>
      </w:pPr>
      <w:r>
        <w:rPr>
          <w:rFonts w:ascii="Times New Roman" w:hAnsi="Times New Roman"/>
        </w:rPr>
        <w:t xml:space="preserve">The six times produce 9,894 cases, of which 9,888 converge under the principal solution. Absolute screening passes 6,048 cases, and 9,064 cases have neither a new violation relative to N−0 nor a material island. The latter is an auxiliary diagnostic; it does not identify every worsening of a pre-existing violation and does not replace absolute criteria. Figure 10 and Table 11 report the results; complete membership and case-level outputs are preserved in the repository.</w:t>
      </w:r>
    </w:p>
    <w:p>
      <w:pPr>
        <w:pStyle w:val="CaptionedFigure"/>
        <w:keepNext/>
        <w:spacing w:before="100" w:after="40"/>
        <w:jc w:val="center"/>
      </w:pPr>
      <w:r>
        <w:rPr>
          <w:rFonts w:ascii="Times New Roman" w:hAnsi="Times New Roman"/>
        </w:rPr>
        <w:drawing>
          <wp:inline>
            <wp:extent cx="5334000" cy="6148916"/>
            <wp:effectExtent b="0" l="0" r="0" t="0"/>
            <wp:docPr descr="Figure 10" title="" id="87" name="Picture"/>
            <a:graphic>
              <a:graphicData uri="http://schemas.openxmlformats.org/drawingml/2006/picture">
                <pic:pic>
                  <pic:nvPicPr>
                    <pic:cNvPr descr="figures_final/fig12_annual_nminus1.png" id="88" name="Picture"/>
                    <pic:cNvPicPr>
                      <a:picLocks noChangeArrowheads="1" noChangeAspect="1"/>
                    </pic:cNvPicPr>
                  </pic:nvPicPr>
                  <pic:blipFill>
                    <a:blip r:embed="rId86"/>
                    <a:stretch>
                      <a:fillRect/>
                    </a:stretch>
                  </pic:blipFill>
                  <pic:spPr bwMode="auto">
                    <a:xfrm>
                      <a:off x="0" y="0"/>
                      <a:ext cx="5334000" cy="6148916"/>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10</w:t>
      </w:r>
    </w:p>
    <w:p>
      <w:pPr>
        <w:pStyle w:val="BodyText"/>
      </w:pPr>
      <w:r>
        <w:rPr>
          <w:rFonts w:ascii="Times New Roman" w:hAnsi="Times New Roman"/>
          <w:b/>
          <w:bCs/>
        </w:rPr>
        <w:t xml:space="preserve">Figure 10—Full-element N−1 screening at representative times.</w:t>
      </w:r>
      <w:r>
        <w:rPr>
          <w:rFonts w:ascii="Times New Roman" w:hAnsi="Times New Roman"/>
        </w:rPr>
        <w:t xml:space="preserve"> </w:t>
      </w:r>
      <w:r>
        <w:rPr>
          <w:rFonts w:ascii="Times New Roman" w:hAnsi="Times New Roman"/>
        </w:rPr>
        <w:t xml:space="preserve">(a) Absolute and incremental diagnostics; (b) material islands, new violations, and principal-solution failures; (c–d) elements associated with the highest post-contingency line loading and largest disconnected load. Supplementary Note S4 defines the complete criteria and quantifies worsening of pre-existing violations.</w:t>
      </w:r>
    </w:p>
    <w:p>
      <w:pPr>
        <w:pStyle w:val="BodyText"/>
        <w:keepNext/>
        <w:spacing w:before="120" w:after="40"/>
        <w:jc w:val="left"/>
      </w:pPr>
      <w:r>
        <w:rPr>
          <w:rFonts w:ascii="Times New Roman" w:hAnsi="Times New Roman"/>
          <w:b/>
          <w:bCs/>
          <w:sz w:val="18"/>
        </w:rPr>
        <w:t xml:space="preserve">Table 11—Full-element N−1 results at six representative times.</w:t>
      </w:r>
    </w:p>
    <w:tbl>
      <w:tblPr>
        <w:tblStyle w:val="Table"/>
        <w:tblW w:type="pct" w:w="5000"/>
        <w:jc w:val="center"/>
        <w:tblLayout w:type="autofit"/>
        <w:tblLook w:firstRow="1" w:lastRow="0" w:firstColumn="0" w:lastColumn="0" w:noHBand="0" w:noVBand="0" w:val="002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033"/>
        <w:gridCol w:w="1377"/>
        <w:gridCol w:w="1377"/>
        <w:gridCol w:w="1377"/>
        <w:gridCol w:w="1377"/>
        <w:gridCol w:w="1377"/>
      </w:tblGrid>
      <w:tr>
        <w:trPr>
          <w:tblHeader w:val="on"/>
          <w:tblHeader w:val="true"/>
        </w:trPr>
        <w:tc>
          <w:tcPr>
            <w:vAlign w:val="center"/>
            <w:tcMar>
              <w:top w:w="70" w:type="dxa"/>
              <w:start w:w="75" w:type="dxa"/>
              <w:bottom w:w="70" w:type="dxa"/>
              <w:end w:w="75" w:type="dxa"/>
            </w:tcMar>
            <w:shd w:fill="1F4E78"/>
          </w:tcPr>
          <w:p>
            <w:pPr>
              <w:pStyle w:val="Compact"/>
              <w:spacing w:before="0" w:after="0" w:line="240" w:lineRule="auto"/>
            </w:pPr>
            <w:r>
              <w:rPr>
                <w:rFonts w:ascii="Arial" w:hAnsi="Arial"/>
                <w:b/>
                <w:color w:val="FFFFFF"/>
                <w:sz w:val="15"/>
              </w:rPr>
              <w:t xml:space="preserve">Snapshot</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Cases</w:t>
            </w:r>
          </w:p>
        </w:tc>
        <w:tc>
          <w:tcPr>
            <w:vAlign w:val="center"/>
            <w:tcMar>
              <w:top w:w="70" w:type="dxa"/>
              <w:start w:w="75" w:type="dxa"/>
              <w:bottom w:w="70" w:type="dxa"/>
              <w:end w:w="75" w:type="dxa"/>
            </w:tcMar>
            <w:shd w:fill="1F4E78"/>
          </w:tcPr>
          <w:p>
            <w:pPr>
              <w:pStyle w:val="Compact"/>
              <w:spacing w:before="0" w:after="0" w:line="240" w:lineRule="auto"/>
              <w:jc w:val="right"/>
            </w:pPr>
            <w:r>
              <w:rPr>
                <w:rFonts w:ascii="Arial" w:hAnsi="Arial"/>
                <w:b/>
                <w:color w:val="FFFFFF"/>
                <w:sz w:val="15"/>
              </w:rPr>
              <w:t xml:space="preserve">Principal solution converged</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Absolute screen passed</w:t>
            </w:r>
          </w:p>
        </w:tc>
        <w:tc>
          <w:tcPr>
            <w:vAlign w:val="center"/>
            <w:tcMar>
              <w:top w:w="70" w:type="dxa"/>
              <w:start w:w="75" w:type="dxa"/>
              <w:bottom w:w="70" w:type="dxa"/>
              <w:end w:w="75" w:type="dxa"/>
            </w:tcMar>
            <w:shd w:fill="1F4E78"/>
          </w:tcPr>
          <w:p>
            <w:pPr>
              <w:pStyle w:val="Compact"/>
              <w:spacing w:before="0" w:after="0" w:line="240" w:lineRule="auto"/>
              <w:jc w:val="right"/>
            </w:pPr>
            <w:r>
              <w:rPr>
                <w:rFonts w:ascii="Arial" w:hAnsi="Arial"/>
                <w:b/>
                <w:color w:val="FFFFFF"/>
                <w:sz w:val="15"/>
              </w:rPr>
              <w:t xml:space="preserve">No new violation and no material island</w:t>
            </w:r>
          </w:p>
        </w:tc>
        <w:tc>
          <w:tcPr>
            <w:vAlign w:val="center"/>
            <w:tcMar>
              <w:top w:w="70" w:type="dxa"/>
              <w:start w:w="75" w:type="dxa"/>
              <w:bottom w:w="70" w:type="dxa"/>
              <w:end w:w="75" w:type="dxa"/>
            </w:tcMar>
            <w:shd w:fill="1F4E78"/>
          </w:tcPr>
          <w:p>
            <w:pPr>
              <w:pStyle w:val="Compact"/>
              <w:spacing w:before="0" w:after="0" w:line="240" w:lineRule="auto"/>
              <w:jc w:val="center"/>
            </w:pPr>
            <w:r>
              <w:rPr>
                <w:rFonts w:ascii="Arial" w:hAnsi="Arial"/>
                <w:b/>
                <w:color w:val="FFFFFF"/>
                <w:sz w:val="15"/>
              </w:rPr>
              <w:t xml:space="preserve">Material island</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Maximum net export</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1,527</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1,527</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114</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5"/>
              </w:rPr>
              <w:t xml:space="preserve">Maximum net import</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1,648</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1,455</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1,455</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102</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Maximum photovoltaic</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1,526</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1,526</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109</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5"/>
              </w:rPr>
              <w:t xml:space="preserve">Maximum wind</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1,647</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0</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1,502</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115</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Minimum load</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1,538</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1,538</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110</w:t>
            </w:r>
          </w:p>
        </w:tc>
      </w:tr>
      <w:tr>
        <w:tc>
          <w:tcPr>
            <w:vAlign w:val="center"/>
            <w:tcMar>
              <w:top w:w="70" w:type="dxa"/>
              <w:start w:w="75" w:type="dxa"/>
              <w:bottom w:w="70" w:type="dxa"/>
              <w:end w:w="75" w:type="dxa"/>
            </w:tcMar>
            <w:shd w:fill="F3F7FA"/>
          </w:tcPr>
          <w:p>
            <w:pPr>
              <w:pStyle w:val="Compact"/>
              <w:spacing w:before="0" w:after="0" w:line="240" w:lineRule="auto"/>
            </w:pPr>
            <w:r>
              <w:rPr>
                <w:rFonts w:ascii="Arial" w:hAnsi="Arial"/>
                <w:color w:val="000000"/>
                <w:sz w:val="15"/>
              </w:rPr>
              <w:t xml:space="preserve">Maximum load</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1,649</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1,646</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2</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1,516</w:t>
            </w:r>
          </w:p>
        </w:tc>
        <w:tc>
          <w:tcPr>
            <w:vAlign w:val="center"/>
            <w:tcMar>
              <w:top w:w="70" w:type="dxa"/>
              <w:start w:w="75" w:type="dxa"/>
              <w:bottom w:w="70" w:type="dxa"/>
              <w:end w:w="75" w:type="dxa"/>
            </w:tcMar>
            <w:shd w:fill="F3F7FA"/>
          </w:tcPr>
          <w:p>
            <w:pPr>
              <w:pStyle w:val="Compact"/>
              <w:spacing w:before="0" w:after="0" w:line="240" w:lineRule="auto"/>
              <w:jc w:val="center"/>
            </w:pPr>
            <w:r>
              <w:rPr>
                <w:rFonts w:ascii="Arial" w:hAnsi="Arial"/>
                <w:color w:val="000000"/>
                <w:sz w:val="15"/>
              </w:rPr>
              <w:t xml:space="preserve">110</w:t>
            </w:r>
          </w:p>
        </w:tc>
      </w:tr>
      <w:tr>
        <w:tc>
          <w:tcPr>
            <w:vAlign w:val="center"/>
            <w:tcMar>
              <w:top w:w="70" w:type="dxa"/>
              <w:start w:w="75" w:type="dxa"/>
              <w:bottom w:w="70" w:type="dxa"/>
              <w:end w:w="75" w:type="dxa"/>
            </w:tcMar>
          </w:tcPr>
          <w:p>
            <w:pPr>
              <w:pStyle w:val="Compact"/>
              <w:spacing w:before="0" w:after="0" w:line="240" w:lineRule="auto"/>
            </w:pPr>
            <w:r>
              <w:rPr>
                <w:rFonts w:ascii="Arial" w:hAnsi="Arial"/>
                <w:color w:val="000000"/>
                <w:sz w:val="15"/>
              </w:rPr>
              <w:t xml:space="preserve">Total</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9,894</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9,888</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6,048</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9,064</w:t>
            </w:r>
          </w:p>
        </w:tc>
        <w:tc>
          <w:tcPr>
            <w:vAlign w:val="center"/>
            <w:tcMar>
              <w:top w:w="70" w:type="dxa"/>
              <w:start w:w="75" w:type="dxa"/>
              <w:bottom w:w="70" w:type="dxa"/>
              <w:end w:w="75" w:type="dxa"/>
            </w:tcMar>
          </w:tcPr>
          <w:p>
            <w:pPr>
              <w:pStyle w:val="Compact"/>
              <w:spacing w:before="0" w:after="0" w:line="240" w:lineRule="auto"/>
              <w:jc w:val="center"/>
            </w:pPr>
            <w:r>
              <w:rPr>
                <w:rFonts w:ascii="Arial" w:hAnsi="Arial"/>
                <w:color w:val="000000"/>
                <w:sz w:val="15"/>
              </w:rPr>
              <w:t xml:space="preserve">660</w:t>
            </w:r>
          </w:p>
        </w:tc>
      </w:tr>
    </w:tbl>
    <w:p>
      <w:pPr>
        <w:pStyle w:val="BodyText"/>
        <w:spacing w:before="40" w:after="120"/>
      </w:pPr>
      <w:r>
        <w:rPr>
          <w:rFonts w:ascii="Times New Roman" w:hAnsi="Times New Roman"/>
          <w:b/>
          <w:bCs/>
          <w:i/>
          <w:sz w:val="17"/>
        </w:rPr>
        <w:t xml:space="preserve">Table note.</w:t>
      </w:r>
      <w:r>
        <w:rPr>
          <w:rFonts w:ascii="Times New Roman" w:hAnsi="Times New Roman"/>
          <w:i/>
          <w:sz w:val="17"/>
        </w:rPr>
        <w:t xml:space="preserve"> </w:t>
      </w:r>
      <w:r>
        <w:rPr>
          <w:rFonts w:ascii="Times New Roman" w:hAnsi="Times New Roman"/>
          <w:i/>
          <w:sz w:val="17"/>
        </w:rPr>
        <w:t xml:space="preserve">Absolute pass, no-new-violation/no-material-island, and material-island columns are computed separately and are not mutually exclusive and exhaustive classes. At maximum net export, eight additional non-islanding cases have new violations: seven line-thermal and one voltage violation. Together with 1,527 no-new-violation cases and 114 material islands, they account for all 1,649 cases.</w:t>
      </w:r>
    </w:p>
    <w:p>
      <w:pPr>
        <w:pStyle w:val="BodyText"/>
      </w:pPr>
      <w:r>
        <w:rPr>
          <w:rFonts w:ascii="Times New Roman" w:hAnsi="Times New Roman"/>
        </w:rPr>
        <w:t xml:space="preserve">These applications support relative scenarios and diagnostic contingency screening. Equipment-level interpretation remains limited by the parameter, status, and control evidence summarized in Section 4.7.</w:t>
      </w:r>
    </w:p>
    <w:bookmarkEnd w:id="89"/>
    <w:bookmarkEnd w:id="90"/>
    <w:bookmarkStart w:id="91" w:name="conclusions"/>
    <w:p>
      <w:pPr>
        <w:pStyle w:val="Heading1"/>
      </w:pPr>
      <w:r>
        <w:rPr>
          <w:rFonts w:ascii="Times New Roman" w:hAnsi="Times New Roman"/>
        </w:rPr>
        <w:t xml:space="preserve">6. Conclusions</w:t>
      </w:r>
    </w:p>
    <w:p>
      <w:pPr>
        <w:pStyle w:val="FirstParagraph"/>
      </w:pPr>
      <w:r>
        <w:rPr>
          <w:rFonts w:ascii="Times New Roman" w:hAnsi="Times New Roman"/>
        </w:rPr>
        <w:t xml:space="preserve">SimPT60 links a public-data reconstruction of the continental Portuguese 60–400 kV network to 31,492 consecutive 15-minute AC power-flow states in one traceable, versioned product. CORE-3783 contains 3,783 buses, 4,943 lines, and 228 transformer objects, connected to source records, allocation rules, and solution outputs by stable identifiers.</w:t>
      </w:r>
    </w:p>
    <w:p>
      <w:pPr>
        <w:pStyle w:val="BodyText"/>
      </w:pPr>
      <w:r>
        <w:rPr>
          <w:rFonts w:ascii="Times New Roman" w:hAnsi="Times New Roman"/>
        </w:rPr>
        <w:t xml:space="preserve">Validation supports aggregate spatiotemporal agreement and numerical self-consistency. National load and wind correlations are approximately 0.997 and 0.9998. Spearman correlations for municipal and substation spatial rankings are 0.881 and 0.957. The station-held-out experiment shows that network proximity improves on global capacity allocation but not on geographic proximity. System-wide rankings are generally stable under parameter and allocation perturbations, whereas individual hotspots and absolute loading remain sensitive to proxy assumptions.</w:t>
      </w:r>
    </w:p>
    <w:p>
      <w:pPr>
        <w:pStyle w:val="BodyText"/>
      </w:pPr>
      <w:r>
        <w:rPr>
          <w:rFonts w:ascii="Times New Roman" w:hAnsi="Times New Roman"/>
        </w:rPr>
        <w:t xml:space="preserve">The grid-stress scenarios and 9,894 N−1 cases at six representative times demonstrate support for scenario analysis and batch contingency computation. These results compare model states and identify elements for further investigation; they do not constitute security certification.</w:t>
      </w:r>
    </w:p>
    <w:p>
      <w:pPr>
        <w:pStyle w:val="BodyText"/>
        <w:keepLines/>
      </w:pPr>
      <w:r>
        <w:rPr>
          <w:rFonts w:ascii="Times New Roman" w:hAnsi="Times New Roman"/>
        </w:rPr>
        <w:t xml:space="preserve">SimPT60 is a public-data-derived research dataset. It is not an operator internal model, state estimate, or digital twin. Equipment-level validation will require contemporaneous device status, generator P–Q capability, switching configuration, and post-contingency actions.</w:t>
      </w:r>
    </w:p>
    <w:bookmarkEnd w:id="91"/>
    <w:bookmarkStart w:id="118" w:name="references"/>
    <w:p>
      <w:pPr>
        <w:pStyle w:val="Heading1"/>
        <w:pageBreakBefore/>
      </w:pPr>
      <w:r>
        <w:rPr>
          <w:rFonts w:ascii="Times New Roman" w:hAnsi="Times New Roman"/>
        </w:rPr>
        <w:t xml:space="preserve">References</w:t>
      </w:r>
    </w:p>
    <w:p>
      <w:pPr>
        <w:pStyle w:val="BodyText"/>
        <w:spacing w:before="0" w:after="80" w:line="240" w:lineRule="auto"/>
        <w:ind w:left="317" w:hanging="317"/>
      </w:pPr>
      <w:r>
        <w:rPr>
          <w:rFonts w:ascii="Times New Roman" w:hAnsi="Times New Roman"/>
          <w:sz w:val="18"/>
        </w:rPr>
        <w:t xml:space="preserve">APA (2021).</w:t>
      </w:r>
      <w:r>
        <w:rPr>
          <w:rFonts w:ascii="Times New Roman" w:hAnsi="Times New Roman"/>
          <w:sz w:val="18"/>
        </w:rPr>
        <w:t xml:space="preserve"> </w:t>
      </w:r>
      <w:hyperlink r:id="rId92">
        <w:r>
          <w:rPr>
            <w:rStyle w:val="Hyperlink"/>
          </w:rPr>
          <w:t xml:space="preserve">Sobreequipamento do Parque Eólico de Trancoso: Parecer da Comissão de Avaliação, AIA 3403</w:t>
        </w:r>
      </w:hyperlink>
      <w:r>
        <w:rPr>
          <w:rFonts w:ascii="Times New Roman" w:hAnsi="Times New Roman"/>
          <w:sz w:val="18"/>
        </w:rPr>
        <w:t xml:space="preserve">. July; PDF p. 5.</w:t>
      </w:r>
    </w:p>
    <w:p>
      <w:pPr>
        <w:pStyle w:val="BodyText"/>
        <w:spacing w:before="0" w:after="80" w:line="240" w:lineRule="auto"/>
        <w:ind w:left="317" w:hanging="317"/>
      </w:pPr>
      <w:r>
        <w:rPr>
          <w:rFonts w:ascii="Times New Roman" w:hAnsi="Times New Roman"/>
          <w:sz w:val="18"/>
        </w:rPr>
        <w:t xml:space="preserve">APA (n.d.-a).</w:t>
      </w:r>
      <w:r>
        <w:rPr>
          <w:rFonts w:ascii="Times New Roman" w:hAnsi="Times New Roman"/>
          <w:sz w:val="18"/>
        </w:rPr>
        <w:t xml:space="preserve"> </w:t>
      </w:r>
      <w:hyperlink r:id="rId93">
        <w:r>
          <w:rPr>
            <w:rStyle w:val="Hyperlink"/>
          </w:rPr>
          <w:t xml:space="preserve">PPA 421: Sub-Parque Eólico de Sernancelhe e ligação a Moimenta</w:t>
        </w:r>
      </w:hyperlink>
      <w:r>
        <w:rPr>
          <w:rFonts w:ascii="Times New Roman" w:hAnsi="Times New Roman"/>
          <w:sz w:val="18"/>
        </w:rPr>
        <w:t xml:space="preserve">. AIA 2009; project-name and operation-date fields; archived 2026-09-21.</w:t>
      </w:r>
    </w:p>
    <w:p>
      <w:pPr>
        <w:pStyle w:val="BodyText"/>
        <w:spacing w:before="0" w:after="80" w:line="240" w:lineRule="auto"/>
        <w:ind w:left="317" w:hanging="317"/>
      </w:pPr>
      <w:r>
        <w:rPr>
          <w:rFonts w:ascii="Times New Roman" w:hAnsi="Times New Roman"/>
          <w:sz w:val="18"/>
        </w:rPr>
        <w:t xml:space="preserve">APA (n.d.-b).</w:t>
      </w:r>
      <w:r>
        <w:rPr>
          <w:rFonts w:ascii="Times New Roman" w:hAnsi="Times New Roman"/>
          <w:sz w:val="18"/>
        </w:rPr>
        <w:t xml:space="preserve"> </w:t>
      </w:r>
      <w:hyperlink r:id="rId94">
        <w:r>
          <w:rPr>
            <w:rStyle w:val="Hyperlink"/>
          </w:rPr>
          <w:t xml:space="preserve">PPA 407: Ligação do Douro Sul à Subestação de Armamar e Subestação de Moimenta</w:t>
        </w:r>
      </w:hyperlink>
      <w:r>
        <w:rPr>
          <w:rFonts w:ascii="Times New Roman" w:hAnsi="Times New Roman"/>
          <w:sz w:val="18"/>
        </w:rPr>
        <w:t xml:space="preserve">. AIA 2009; archived 2026-09-21.</w:t>
      </w:r>
    </w:p>
    <w:p>
      <w:pPr>
        <w:pStyle w:val="BodyText"/>
        <w:spacing w:before="0" w:after="80" w:line="240" w:lineRule="auto"/>
        <w:ind w:left="317" w:hanging="317"/>
      </w:pPr>
      <w:r>
        <w:rPr>
          <w:rFonts w:ascii="Times New Roman" w:hAnsi="Times New Roman"/>
          <w:sz w:val="18"/>
        </w:rPr>
        <w:t xml:space="preserve">DGEG (2024).</w:t>
      </w:r>
      <w:r>
        <w:rPr>
          <w:rFonts w:ascii="Times New Roman" w:hAnsi="Times New Roman"/>
          <w:sz w:val="18"/>
        </w:rPr>
        <w:t xml:space="preserve"> </w:t>
      </w:r>
      <w:hyperlink r:id="rId95">
        <w:r>
          <w:rPr>
            <w:rStyle w:val="Hyperlink"/>
          </w:rPr>
          <w:t xml:space="preserve">Portugal: Plano Nacional Energia e Clima 2021–2030, atualização/revisão</w:t>
        </w:r>
      </w:hyperlink>
      <w:r>
        <w:rPr>
          <w:rFonts w:ascii="Times New Roman" w:hAnsi="Times New Roman"/>
          <w:sz w:val="18"/>
        </w:rPr>
        <w:t xml:space="preserve">. DGEG.</w:t>
      </w:r>
    </w:p>
    <w:p>
      <w:pPr>
        <w:pStyle w:val="BodyText"/>
        <w:spacing w:before="0" w:after="80" w:line="240" w:lineRule="auto"/>
        <w:ind w:left="317" w:hanging="317"/>
      </w:pPr>
      <w:r>
        <w:rPr>
          <w:rFonts w:ascii="Times New Roman" w:hAnsi="Times New Roman"/>
          <w:sz w:val="18"/>
        </w:rPr>
        <w:t xml:space="preserve">DGEG (n.d.).</w:t>
      </w:r>
      <w:r>
        <w:rPr>
          <w:rFonts w:ascii="Times New Roman" w:hAnsi="Times New Roman"/>
          <w:sz w:val="18"/>
        </w:rPr>
        <w:t xml:space="preserve"> </w:t>
      </w:r>
      <w:hyperlink r:id="rId96">
        <w:r>
          <w:rPr>
            <w:rStyle w:val="Hyperlink"/>
          </w:rPr>
          <w:t xml:space="preserve">Informação Geográfica de Energia Elétrica</w:t>
        </w:r>
      </w:hyperlink>
      <w:r>
        <w:rPr>
          <w:rFonts w:ascii="Times New Roman" w:hAnsi="Times New Roman"/>
          <w:sz w:val="18"/>
        </w:rPr>
        <w:t xml:space="preserve">. Official geographic data portal. Accessed 2026-09-21.</w:t>
      </w:r>
    </w:p>
    <w:p>
      <w:pPr>
        <w:pStyle w:val="BodyText"/>
        <w:spacing w:before="0" w:after="80" w:line="240" w:lineRule="auto"/>
        <w:ind w:left="317" w:hanging="317"/>
      </w:pPr>
      <w:r>
        <w:rPr>
          <w:rFonts w:ascii="Times New Roman" w:hAnsi="Times New Roman"/>
          <w:sz w:val="18"/>
        </w:rPr>
        <w:t xml:space="preserve">EDP Distribuição (2019).</w:t>
      </w:r>
      <w:r>
        <w:rPr>
          <w:rFonts w:ascii="Times New Roman" w:hAnsi="Times New Roman"/>
          <w:sz w:val="18"/>
        </w:rPr>
        <w:t xml:space="preserve"> </w:t>
      </w:r>
      <w:hyperlink r:id="rId97">
        <w:r>
          <w:rPr>
            <w:rStyle w:val="Hyperlink"/>
          </w:rPr>
          <w:t xml:space="preserve">Memória Descritiva e Justificativa: Linha a 60 kV PE Tocha II–Tocha</w:t>
        </w:r>
      </w:hyperlink>
      <w:r>
        <w:rPr>
          <w:rFonts w:ascii="Times New Roman" w:hAnsi="Times New Roman"/>
          <w:sz w:val="18"/>
        </w:rPr>
        <w:t xml:space="preserve">. 19 February; process 2800-19C007374; PDF pp. 3, 5.</w:t>
      </w:r>
    </w:p>
    <w:p>
      <w:pPr>
        <w:pStyle w:val="BodyText"/>
        <w:spacing w:before="0" w:after="80" w:line="240" w:lineRule="auto"/>
        <w:ind w:left="317" w:hanging="317"/>
      </w:pPr>
      <w:r>
        <w:rPr>
          <w:rFonts w:ascii="Times New Roman" w:hAnsi="Times New Roman"/>
          <w:sz w:val="18"/>
        </w:rPr>
        <w:t xml:space="preserve">E-REDES; Entidade Reguladora dos Serviços Energéticos (2020).</w:t>
      </w:r>
      <w:r>
        <w:rPr>
          <w:rFonts w:ascii="Times New Roman" w:hAnsi="Times New Roman"/>
          <w:sz w:val="18"/>
        </w:rPr>
        <w:t xml:space="preserve"> </w:t>
      </w:r>
      <w:hyperlink r:id="rId98">
        <w:r>
          <w:rPr>
            <w:rStyle w:val="Hyperlink"/>
          </w:rPr>
          <w:t xml:space="preserve">PDIRD-E 2020, Anexo B</w:t>
        </w:r>
      </w:hyperlink>
      <w:r>
        <w:rPr>
          <w:rFonts w:ascii="Times New Roman" w:hAnsi="Times New Roman"/>
          <w:sz w:val="18"/>
        </w:rPr>
        <w:t xml:space="preserve">. ERSE. July version; northern circuit records: PDF pp. 93–95.</w:t>
      </w:r>
    </w:p>
    <w:p>
      <w:pPr>
        <w:pStyle w:val="BodyText"/>
        <w:spacing w:before="0" w:after="80" w:line="240" w:lineRule="auto"/>
        <w:ind w:left="317" w:hanging="317"/>
      </w:pPr>
      <w:r>
        <w:rPr>
          <w:rFonts w:ascii="Times New Roman" w:hAnsi="Times New Roman"/>
          <w:sz w:val="18"/>
        </w:rPr>
        <w:t xml:space="preserve">E-REDES (n.d.-a).</w:t>
      </w:r>
      <w:r>
        <w:rPr>
          <w:rFonts w:ascii="Times New Roman" w:hAnsi="Times New Roman"/>
          <w:sz w:val="18"/>
        </w:rPr>
        <w:t xml:space="preserve"> </w:t>
      </w:r>
      <w:hyperlink r:id="rId99">
        <w:r>
          <w:rPr>
            <w:rStyle w:val="Hyperlink"/>
          </w:rPr>
          <w:t xml:space="preserve">Carga na subestação</w:t>
        </w:r>
      </w:hyperlink>
      <w:r>
        <w:rPr>
          <w:rFonts w:ascii="Times New Roman" w:hAnsi="Times New Roman"/>
          <w:sz w:val="18"/>
        </w:rPr>
        <w:t xml:space="preserve">. E-REDES Open Data Portal. Accessed 2026-09-21.</w:t>
      </w:r>
    </w:p>
    <w:p>
      <w:pPr>
        <w:pStyle w:val="BodyText"/>
        <w:spacing w:before="0" w:after="80" w:line="240" w:lineRule="auto"/>
        <w:ind w:left="317" w:hanging="317"/>
      </w:pPr>
      <w:r>
        <w:rPr>
          <w:rFonts w:ascii="Times New Roman" w:hAnsi="Times New Roman"/>
          <w:sz w:val="18"/>
        </w:rPr>
        <w:t xml:space="preserve">E-REDES (n.d.-b).</w:t>
      </w:r>
      <w:r>
        <w:rPr>
          <w:rFonts w:ascii="Times New Roman" w:hAnsi="Times New Roman"/>
          <w:sz w:val="18"/>
        </w:rPr>
        <w:t xml:space="preserve"> </w:t>
      </w:r>
      <w:hyperlink r:id="rId100">
        <w:r>
          <w:rPr>
            <w:rStyle w:val="Hyperlink"/>
          </w:rPr>
          <w:t xml:space="preserve">Consumo total nacional</w:t>
        </w:r>
      </w:hyperlink>
      <w:r>
        <w:rPr>
          <w:rFonts w:ascii="Times New Roman" w:hAnsi="Times New Roman"/>
          <w:sz w:val="18"/>
        </w:rPr>
        <w:t xml:space="preserve">. E-REDES Open Data Portal. Accessed 2026-09-21.</w:t>
      </w:r>
    </w:p>
    <w:p>
      <w:pPr>
        <w:pStyle w:val="BodyText"/>
        <w:spacing w:before="0" w:after="80" w:line="240" w:lineRule="auto"/>
        <w:ind w:left="317" w:hanging="317"/>
      </w:pPr>
      <w:r>
        <w:rPr>
          <w:rFonts w:ascii="Times New Roman" w:hAnsi="Times New Roman"/>
          <w:sz w:val="18"/>
        </w:rPr>
        <w:t xml:space="preserve">E-REDES (n.d.-c).</w:t>
      </w:r>
      <w:r>
        <w:rPr>
          <w:rFonts w:ascii="Times New Roman" w:hAnsi="Times New Roman"/>
          <w:sz w:val="18"/>
        </w:rPr>
        <w:t xml:space="preserve"> </w:t>
      </w:r>
      <w:hyperlink r:id="rId101">
        <w:r>
          <w:rPr>
            <w:rStyle w:val="Hyperlink"/>
          </w:rPr>
          <w:t xml:space="preserve">Energia injetada na rede de distribuição</w:t>
        </w:r>
      </w:hyperlink>
      <w:r>
        <w:rPr>
          <w:rFonts w:ascii="Times New Roman" w:hAnsi="Times New Roman"/>
          <w:sz w:val="18"/>
        </w:rPr>
        <w:t xml:space="preserve">. E-REDES Open Data Portal. Accessed 2026-09-21.</w:t>
      </w:r>
    </w:p>
    <w:p>
      <w:pPr>
        <w:pStyle w:val="BodyText"/>
        <w:spacing w:before="0" w:after="80" w:line="240" w:lineRule="auto"/>
        <w:ind w:left="317" w:hanging="317"/>
      </w:pPr>
      <w:r>
        <w:rPr>
          <w:rFonts w:ascii="Times New Roman" w:hAnsi="Times New Roman"/>
          <w:sz w:val="18"/>
        </w:rPr>
        <w:t xml:space="preserve">E-REDES (n.d.-d).</w:t>
      </w:r>
      <w:r>
        <w:rPr>
          <w:rFonts w:ascii="Times New Roman" w:hAnsi="Times New Roman"/>
          <w:sz w:val="18"/>
        </w:rPr>
        <w:t xml:space="preserve"> </w:t>
      </w:r>
      <w:hyperlink r:id="rId102">
        <w:r>
          <w:rPr>
            <w:rStyle w:val="Hyperlink"/>
          </w:rPr>
          <w:t xml:space="preserve">Energia produzida total nacional</w:t>
        </w:r>
      </w:hyperlink>
      <w:r>
        <w:rPr>
          <w:rFonts w:ascii="Times New Roman" w:hAnsi="Times New Roman"/>
          <w:sz w:val="18"/>
        </w:rPr>
        <w:t xml:space="preserve">. E-REDES Open Data Portal. Accessed 2026-09-21.</w:t>
      </w:r>
    </w:p>
    <w:p>
      <w:pPr>
        <w:pStyle w:val="BodyText"/>
        <w:spacing w:before="0" w:after="80" w:line="240" w:lineRule="auto"/>
        <w:ind w:left="317" w:hanging="317"/>
      </w:pPr>
      <w:r>
        <w:rPr>
          <w:rFonts w:ascii="Times New Roman" w:hAnsi="Times New Roman"/>
          <w:sz w:val="18"/>
        </w:rPr>
        <w:t xml:space="preserve">E-REDES (n.d.-e).</w:t>
      </w:r>
      <w:r>
        <w:rPr>
          <w:rFonts w:ascii="Times New Roman" w:hAnsi="Times New Roman"/>
          <w:sz w:val="18"/>
        </w:rPr>
        <w:t xml:space="preserve"> </w:t>
      </w:r>
      <w:hyperlink r:id="rId103">
        <w:r>
          <w:rPr>
            <w:rStyle w:val="Hyperlink"/>
          </w:rPr>
          <w:t xml:space="preserve">Monthly consumption by municipality</w:t>
        </w:r>
      </w:hyperlink>
      <w:r>
        <w:rPr>
          <w:rFonts w:ascii="Times New Roman" w:hAnsi="Times New Roman"/>
          <w:sz w:val="18"/>
        </w:rPr>
        <w:t xml:space="preserve">. E-REDES Open Data Portal. Accessed 2026-09-21.</w:t>
      </w:r>
    </w:p>
    <w:p>
      <w:pPr>
        <w:pStyle w:val="BodyText"/>
        <w:spacing w:before="0" w:after="80" w:line="240" w:lineRule="auto"/>
        <w:ind w:left="317" w:hanging="317"/>
      </w:pPr>
      <w:r>
        <w:rPr>
          <w:rFonts w:ascii="Times New Roman" w:hAnsi="Times New Roman"/>
          <w:sz w:val="18"/>
        </w:rPr>
        <w:t xml:space="preserve">E-REDES (n.d.-f).</w:t>
      </w:r>
      <w:r>
        <w:rPr>
          <w:rFonts w:ascii="Times New Roman" w:hAnsi="Times New Roman"/>
          <w:sz w:val="18"/>
        </w:rPr>
        <w:t xml:space="preserve"> </w:t>
      </w:r>
      <w:hyperlink r:id="rId104">
        <w:r>
          <w:rPr>
            <w:rStyle w:val="Hyperlink"/>
          </w:rPr>
          <w:t xml:space="preserve">Rede Nacional de Distribuição: Dados da Rede AT e Cargas de Subestação</w:t>
        </w:r>
      </w:hyperlink>
      <w:r>
        <w:rPr>
          <w:rFonts w:ascii="Times New Roman" w:hAnsi="Times New Roman"/>
          <w:sz w:val="18"/>
        </w:rPr>
        <w:t xml:space="preserve">. Open data portal. Accessed 2026-09-21.</w:t>
      </w:r>
    </w:p>
    <w:p>
      <w:pPr>
        <w:pStyle w:val="BodyText"/>
        <w:spacing w:before="0" w:after="80" w:line="240" w:lineRule="auto"/>
        <w:ind w:left="317" w:hanging="317"/>
      </w:pPr>
      <w:r>
        <w:rPr>
          <w:rFonts w:ascii="Times New Roman" w:hAnsi="Times New Roman"/>
          <w:sz w:val="18"/>
        </w:rPr>
        <w:t xml:space="preserve">Eurostat GISCO (2024).</w:t>
      </w:r>
      <w:r>
        <w:rPr>
          <w:rFonts w:ascii="Times New Roman" w:hAnsi="Times New Roman"/>
          <w:sz w:val="18"/>
        </w:rPr>
        <w:t xml:space="preserve"> </w:t>
      </w:r>
      <w:hyperlink r:id="rId105">
        <w:r>
          <w:rPr>
            <w:rStyle w:val="Hyperlink"/>
          </w:rPr>
          <w:t xml:space="preserve">Countries 2024: Portugal Boundary, 1:1 Million, EPSG:4326</w:t>
        </w:r>
      </w:hyperlink>
      <w:r>
        <w:rPr>
          <w:rFonts w:ascii="Times New Roman" w:hAnsi="Times New Roman"/>
          <w:sz w:val="18"/>
        </w:rPr>
        <w:t xml:space="preserve">. Geospatial dataset. Accessed 2026-09-21.</w:t>
      </w:r>
    </w:p>
    <w:p>
      <w:pPr>
        <w:pStyle w:val="BodyText"/>
        <w:spacing w:before="0" w:after="80" w:line="240" w:lineRule="auto"/>
        <w:ind w:left="317" w:hanging="317"/>
      </w:pPr>
      <w:r>
        <w:rPr>
          <w:rFonts w:ascii="Times New Roman" w:hAnsi="Times New Roman"/>
          <w:sz w:val="18"/>
        </w:rPr>
        <w:t xml:space="preserve">Fleischmann, Martin; Van den Bossche, Joris; Jordahl, Kelsey; Richards, Matthew John; McBride, James; Wasserman, Jacob; Ward, Brendan; Wolf, Levi John (2026).</w:t>
      </w:r>
      <w:r>
        <w:rPr>
          <w:rFonts w:ascii="Times New Roman" w:hAnsi="Times New Roman"/>
          <w:sz w:val="18"/>
        </w:rPr>
        <w:t xml:space="preserve"> </w:t>
      </w:r>
      <w:hyperlink r:id="rId106">
        <w:r>
          <w:rPr>
            <w:rStyle w:val="Hyperlink"/>
          </w:rPr>
          <w:t xml:space="preserve">GeoPandas: Fundamental Data Structures for Vector Spatial Data in Python</w:t>
        </w:r>
      </w:hyperlink>
      <w:r>
        <w:rPr>
          <w:rFonts w:ascii="Times New Roman" w:hAnsi="Times New Roman"/>
          <w:sz w:val="18"/>
        </w:rPr>
        <w:t xml:space="preserve">.</w:t>
      </w:r>
      <w:r>
        <w:rPr>
          <w:rFonts w:ascii="Times New Roman" w:hAnsi="Times New Roman"/>
          <w:sz w:val="18"/>
        </w:rPr>
        <w:t xml:space="preserve"> </w:t>
      </w:r>
      <w:r>
        <w:rPr>
          <w:rFonts w:ascii="Times New Roman" w:hAnsi="Times New Roman"/>
          <w:i/>
          <w:iCs/>
          <w:sz w:val="18"/>
        </w:rPr>
        <w:t xml:space="preserve">Computers, Environment and Urban Systems</w:t>
      </w:r>
      <w:r>
        <w:rPr>
          <w:rFonts w:ascii="Times New Roman" w:hAnsi="Times New Roman"/>
          <w:sz w:val="18"/>
        </w:rPr>
        <w:t xml:space="preserve">, 130, 102495. Author/year/DOI verified against the official GeoPandas CITATION.md and Crossref on 2026-09-21; assigned issue December 2026, not asserted as the online publication date.</w:t>
      </w:r>
    </w:p>
    <w:p>
      <w:pPr>
        <w:pStyle w:val="BodyText"/>
        <w:spacing w:before="0" w:after="80" w:line="240" w:lineRule="auto"/>
        <w:ind w:left="317" w:hanging="317"/>
      </w:pPr>
      <w:r>
        <w:rPr>
          <w:rFonts w:ascii="Times New Roman" w:hAnsi="Times New Roman"/>
          <w:sz w:val="18"/>
        </w:rPr>
        <w:t xml:space="preserve">Geofabrik GmbH (n.d.).</w:t>
      </w:r>
      <w:r>
        <w:rPr>
          <w:rFonts w:ascii="Times New Roman" w:hAnsi="Times New Roman"/>
          <w:sz w:val="18"/>
        </w:rPr>
        <w:t xml:space="preserve"> </w:t>
      </w:r>
      <w:hyperlink r:id="rId107">
        <w:r>
          <w:rPr>
            <w:rStyle w:val="Hyperlink"/>
          </w:rPr>
          <w:t xml:space="preserve">OpenStreetMap Data Extract for Portugal</w:t>
        </w:r>
      </w:hyperlink>
      <w:r>
        <w:rPr>
          <w:rFonts w:ascii="Times New Roman" w:hAnsi="Times New Roman"/>
          <w:sz w:val="18"/>
        </w:rPr>
        <w:t xml:space="preserve">. Geospatial data extract. Accessed 2026-09-21.</w:t>
      </w:r>
    </w:p>
    <w:p>
      <w:pPr>
        <w:pStyle w:val="BodyText"/>
        <w:spacing w:before="0" w:after="80" w:line="240" w:lineRule="auto"/>
        <w:ind w:left="317" w:hanging="317"/>
      </w:pPr>
      <w:r>
        <w:rPr>
          <w:rFonts w:ascii="Times New Roman" w:hAnsi="Times New Roman"/>
          <w:sz w:val="18"/>
        </w:rPr>
        <w:t xml:space="preserve">Hörsch, Jonas; Hofmann, Fabian; Schlachtberger, David; Brown, Tom (2018).</w:t>
      </w:r>
      <w:r>
        <w:rPr>
          <w:rFonts w:ascii="Times New Roman" w:hAnsi="Times New Roman"/>
          <w:sz w:val="18"/>
        </w:rPr>
        <w:t xml:space="preserve"> </w:t>
      </w:r>
      <w:hyperlink r:id="rId108">
        <w:r>
          <w:rPr>
            <w:rStyle w:val="Hyperlink"/>
          </w:rPr>
          <w:t xml:space="preserve">PyPSA-Eur: An Open Optimisation Model of the European Transmission System</w:t>
        </w:r>
      </w:hyperlink>
      <w:r>
        <w:rPr>
          <w:rFonts w:ascii="Times New Roman" w:hAnsi="Times New Roman"/>
          <w:sz w:val="18"/>
        </w:rPr>
        <w:t xml:space="preserve">.</w:t>
      </w:r>
      <w:r>
        <w:rPr>
          <w:rFonts w:ascii="Times New Roman" w:hAnsi="Times New Roman"/>
          <w:sz w:val="18"/>
        </w:rPr>
        <w:t xml:space="preserve"> </w:t>
      </w:r>
      <w:r>
        <w:rPr>
          <w:rFonts w:ascii="Times New Roman" w:hAnsi="Times New Roman"/>
          <w:i/>
          <w:iCs/>
          <w:sz w:val="18"/>
        </w:rPr>
        <w:t xml:space="preserve">Energy Strategy Reviews</w:t>
      </w:r>
      <w:r>
        <w:rPr>
          <w:rFonts w:ascii="Times New Roman" w:hAnsi="Times New Roman"/>
          <w:sz w:val="18"/>
        </w:rPr>
        <w:t xml:space="preserve">, 22, 207-215.</w:t>
      </w:r>
    </w:p>
    <w:p>
      <w:pPr>
        <w:pStyle w:val="BodyText"/>
        <w:spacing w:before="0" w:after="80" w:line="240" w:lineRule="auto"/>
        <w:ind w:left="317" w:hanging="317"/>
      </w:pPr>
      <w:r>
        <w:rPr>
          <w:rFonts w:ascii="Times New Roman" w:hAnsi="Times New Roman"/>
          <w:sz w:val="18"/>
        </w:rPr>
        <w:t xml:space="preserve">Meinecke, Steffen; Sarajlić, Džanan; Drauz, Simon Ruben; Klettke, Annika; Lauven, Lars-Peter; Rehtanz, Christian; Moser, Albert; Braun, Martin (2020).</w:t>
      </w:r>
      <w:r>
        <w:rPr>
          <w:rFonts w:ascii="Times New Roman" w:hAnsi="Times New Roman"/>
          <w:sz w:val="18"/>
        </w:rPr>
        <w:t xml:space="preserve"> </w:t>
      </w:r>
      <w:hyperlink r:id="rId109">
        <w:r>
          <w:rPr>
            <w:rStyle w:val="Hyperlink"/>
          </w:rPr>
          <w:t xml:space="preserve">SimBench—A Benchmark Dataset of Electric Power Systems to Compare Innovative Solutions Based on Power Flow Analysis</w:t>
        </w:r>
      </w:hyperlink>
      <w:r>
        <w:rPr>
          <w:rFonts w:ascii="Times New Roman" w:hAnsi="Times New Roman"/>
          <w:sz w:val="18"/>
        </w:rPr>
        <w:t xml:space="preserve">.</w:t>
      </w:r>
      <w:r>
        <w:rPr>
          <w:rFonts w:ascii="Times New Roman" w:hAnsi="Times New Roman"/>
          <w:sz w:val="18"/>
        </w:rPr>
        <w:t xml:space="preserve"> </w:t>
      </w:r>
      <w:r>
        <w:rPr>
          <w:rFonts w:ascii="Times New Roman" w:hAnsi="Times New Roman"/>
          <w:i/>
          <w:iCs/>
          <w:sz w:val="18"/>
        </w:rPr>
        <w:t xml:space="preserve">Energies</w:t>
      </w:r>
      <w:r>
        <w:rPr>
          <w:rFonts w:ascii="Times New Roman" w:hAnsi="Times New Roman"/>
          <w:sz w:val="18"/>
        </w:rPr>
        <w:t xml:space="preserve">, 13(12), 3290.</w:t>
      </w:r>
    </w:p>
    <w:p>
      <w:pPr>
        <w:pStyle w:val="BodyText"/>
        <w:spacing w:before="0" w:after="80" w:line="240" w:lineRule="auto"/>
        <w:ind w:left="317" w:hanging="317"/>
      </w:pPr>
      <w:r>
        <w:rPr>
          <w:rFonts w:ascii="Times New Roman" w:hAnsi="Times New Roman"/>
          <w:sz w:val="18"/>
        </w:rPr>
        <w:t xml:space="preserve">OpenInfraMap contributors (n.d.).</w:t>
      </w:r>
      <w:r>
        <w:rPr>
          <w:rFonts w:ascii="Times New Roman" w:hAnsi="Times New Roman"/>
          <w:sz w:val="18"/>
        </w:rPr>
        <w:t xml:space="preserve"> </w:t>
      </w:r>
      <w:hyperlink r:id="rId110">
        <w:r>
          <w:rPr>
            <w:rStyle w:val="Hyperlink"/>
          </w:rPr>
          <w:t xml:space="preserve">OpenInfraMap</w:t>
        </w:r>
      </w:hyperlink>
      <w:r>
        <w:rPr>
          <w:rFonts w:ascii="Times New Roman" w:hAnsi="Times New Roman"/>
          <w:sz w:val="18"/>
        </w:rPr>
        <w:t xml:space="preserve">. Web map of infrastructure data derived from OpenStreetMap. Accessed 2026-09-21.</w:t>
      </w:r>
    </w:p>
    <w:p>
      <w:pPr>
        <w:pStyle w:val="BodyText"/>
        <w:spacing w:before="0" w:after="80" w:line="240" w:lineRule="auto"/>
        <w:ind w:left="317" w:hanging="317"/>
      </w:pPr>
      <w:r>
        <w:rPr>
          <w:rFonts w:ascii="Times New Roman" w:hAnsi="Times New Roman"/>
          <w:sz w:val="18"/>
        </w:rPr>
        <w:t xml:space="preserve">OpenStreetMap contributors (n.d.).</w:t>
      </w:r>
      <w:r>
        <w:rPr>
          <w:rFonts w:ascii="Times New Roman" w:hAnsi="Times New Roman"/>
          <w:sz w:val="18"/>
        </w:rPr>
        <w:t xml:space="preserve"> </w:t>
      </w:r>
      <w:hyperlink r:id="rId111">
        <w:r>
          <w:rPr>
            <w:rStyle w:val="Hyperlink"/>
          </w:rPr>
          <w:t xml:space="preserve">OpenStreetMap</w:t>
        </w:r>
      </w:hyperlink>
      <w:r>
        <w:rPr>
          <w:rFonts w:ascii="Times New Roman" w:hAnsi="Times New Roman"/>
          <w:sz w:val="18"/>
        </w:rPr>
        <w:t xml:space="preserve">. Collaborative geospatial database. Accessed 2026-09-21.</w:t>
      </w:r>
    </w:p>
    <w:p>
      <w:pPr>
        <w:pStyle w:val="BodyText"/>
        <w:spacing w:before="0" w:after="80" w:line="240" w:lineRule="auto"/>
        <w:ind w:left="317" w:hanging="317"/>
      </w:pPr>
      <w:r>
        <w:rPr>
          <w:rFonts w:ascii="Times New Roman" w:hAnsi="Times New Roman"/>
          <w:sz w:val="18"/>
        </w:rPr>
        <w:t xml:space="preserve">Red Eléctrica de España (2012).</w:t>
      </w:r>
      <w:r>
        <w:rPr>
          <w:rFonts w:ascii="Times New Roman" w:hAnsi="Times New Roman"/>
          <w:sz w:val="18"/>
        </w:rPr>
        <w:t xml:space="preserve"> </w:t>
      </w:r>
      <w:hyperlink r:id="rId112">
        <w:r>
          <w:rPr>
            <w:rStyle w:val="Hyperlink"/>
          </w:rPr>
          <w:t xml:space="preserve">Interconexiones eléctricas: un paso para el mercado único de la energía en Europa</w:t>
        </w:r>
      </w:hyperlink>
      <w:r>
        <w:rPr>
          <w:rFonts w:ascii="Times New Roman" w:hAnsi="Times New Roman"/>
          <w:sz w:val="18"/>
        </w:rPr>
        <w:t xml:space="preserve">. September; PDF p. 10.</w:t>
      </w:r>
    </w:p>
    <w:p>
      <w:pPr>
        <w:pStyle w:val="BodyText"/>
        <w:spacing w:before="0" w:after="80" w:line="240" w:lineRule="auto"/>
        <w:ind w:left="317" w:hanging="317"/>
      </w:pPr>
      <w:r>
        <w:rPr>
          <w:rFonts w:ascii="Times New Roman" w:hAnsi="Times New Roman"/>
          <w:sz w:val="18"/>
        </w:rPr>
        <w:t xml:space="preserve">REN (2015).</w:t>
      </w:r>
      <w:r>
        <w:rPr>
          <w:rFonts w:ascii="Times New Roman" w:hAnsi="Times New Roman"/>
          <w:sz w:val="18"/>
        </w:rPr>
        <w:t xml:space="preserve"> </w:t>
      </w:r>
      <w:hyperlink r:id="rId113">
        <w:r>
          <w:rPr>
            <w:rStyle w:val="Hyperlink"/>
          </w:rPr>
          <w:t xml:space="preserve">PDIRT 2016–2025, Anexo 6: Equipamento em serviço previsto em finais de 2016, 2018, 2020 e 2025</w:t>
        </w:r>
      </w:hyperlink>
      <w:r>
        <w:rPr>
          <w:rFonts w:ascii="Times New Roman" w:hAnsi="Times New Roman"/>
          <w:sz w:val="18"/>
        </w:rPr>
        <w:t xml:space="preserve">. Proposal archive; PDF pp. 50, 52, 54, 56. Year follows archive label, not a newly inferred issue date.</w:t>
      </w:r>
    </w:p>
    <w:p>
      <w:pPr>
        <w:pStyle w:val="BodyText"/>
        <w:spacing w:before="0" w:after="80" w:line="240" w:lineRule="auto"/>
        <w:ind w:left="317" w:hanging="317"/>
      </w:pPr>
      <w:r>
        <w:rPr>
          <w:rFonts w:ascii="Times New Roman" w:hAnsi="Times New Roman"/>
          <w:sz w:val="18"/>
        </w:rPr>
        <w:t xml:space="preserve">REN (2024).</w:t>
      </w:r>
      <w:r>
        <w:rPr>
          <w:rFonts w:ascii="Times New Roman" w:hAnsi="Times New Roman"/>
          <w:sz w:val="18"/>
        </w:rPr>
        <w:t xml:space="preserve"> </w:t>
      </w:r>
      <w:hyperlink r:id="rId114">
        <w:r>
          <w:rPr>
            <w:rStyle w:val="Hyperlink"/>
          </w:rPr>
          <w:t xml:space="preserve">PDIRT 2025–2034, Proposta Inicial, Volume I, Anexos 1 a 16</w:t>
        </w:r>
      </w:hyperlink>
      <w:r>
        <w:rPr>
          <w:rFonts w:ascii="Times New Roman" w:hAnsi="Times New Roman"/>
          <w:sz w:val="18"/>
        </w:rPr>
        <w:t xml:space="preserve">. ERSE (public consultation archive). December 2024 proposal; archived by ERSE.</w:t>
      </w:r>
    </w:p>
    <w:p>
      <w:pPr>
        <w:pStyle w:val="BodyText"/>
        <w:spacing w:before="0" w:after="80" w:line="240" w:lineRule="auto"/>
        <w:ind w:left="317" w:hanging="317"/>
      </w:pPr>
      <w:r>
        <w:rPr>
          <w:rFonts w:ascii="Times New Roman" w:hAnsi="Times New Roman"/>
          <w:sz w:val="18"/>
        </w:rPr>
        <w:t xml:space="preserve">REN (n.d.).</w:t>
      </w:r>
      <w:r>
        <w:rPr>
          <w:rFonts w:ascii="Times New Roman" w:hAnsi="Times New Roman"/>
          <w:sz w:val="18"/>
        </w:rPr>
        <w:t xml:space="preserve"> </w:t>
      </w:r>
      <w:hyperlink r:id="rId115">
        <w:r>
          <w:rPr>
            <w:rStyle w:val="Hyperlink"/>
          </w:rPr>
          <w:t xml:space="preserve">Electrical Grid Data Hub</w:t>
        </w:r>
      </w:hyperlink>
      <w:r>
        <w:rPr>
          <w:rFonts w:ascii="Times New Roman" w:hAnsi="Times New Roman"/>
          <w:sz w:val="18"/>
        </w:rPr>
        <w:t xml:space="preserve">. Official data portal. Accessed 2026-09-21.</w:t>
      </w:r>
    </w:p>
    <w:p>
      <w:pPr>
        <w:pStyle w:val="BodyText"/>
        <w:spacing w:before="0" w:after="80" w:line="240" w:lineRule="auto"/>
        <w:ind w:left="317" w:hanging="317"/>
      </w:pPr>
      <w:r>
        <w:rPr>
          <w:rFonts w:ascii="Times New Roman" w:hAnsi="Times New Roman"/>
          <w:sz w:val="18"/>
        </w:rPr>
        <w:t xml:space="preserve">Thurner, Leon; Scheidler, Alexander; Schäfer, Florian; Menke, Jan-Hendrik; Dollichon, Julian; Meier, Friederike; Meinecke, Steffen; Braun, Martin (2018).</w:t>
      </w:r>
      <w:r>
        <w:rPr>
          <w:rFonts w:ascii="Times New Roman" w:hAnsi="Times New Roman"/>
          <w:sz w:val="18"/>
        </w:rPr>
        <w:t xml:space="preserve"> </w:t>
      </w:r>
      <w:hyperlink r:id="rId116">
        <w:r>
          <w:rPr>
            <w:rStyle w:val="Hyperlink"/>
          </w:rPr>
          <w:t xml:space="preserve">pandapower—An Open-Source Python Tool for Convenient Modeling, Analysis, and Optimization of Electric Power Systems</w:t>
        </w:r>
      </w:hyperlink>
      <w:r>
        <w:rPr>
          <w:rFonts w:ascii="Times New Roman" w:hAnsi="Times New Roman"/>
          <w:sz w:val="18"/>
        </w:rPr>
        <w:t xml:space="preserve">.</w:t>
      </w:r>
      <w:r>
        <w:rPr>
          <w:rFonts w:ascii="Times New Roman" w:hAnsi="Times New Roman"/>
          <w:sz w:val="18"/>
        </w:rPr>
        <w:t xml:space="preserve"> </w:t>
      </w:r>
      <w:r>
        <w:rPr>
          <w:rFonts w:ascii="Times New Roman" w:hAnsi="Times New Roman"/>
          <w:i/>
          <w:iCs/>
          <w:sz w:val="18"/>
        </w:rPr>
        <w:t xml:space="preserve">IEEE Transactions on Power Systems</w:t>
      </w:r>
      <w:r>
        <w:rPr>
          <w:rFonts w:ascii="Times New Roman" w:hAnsi="Times New Roman"/>
          <w:sz w:val="18"/>
        </w:rPr>
        <w:t xml:space="preserve">, 33(6), 6510-6521.</w:t>
      </w:r>
    </w:p>
    <w:p>
      <w:pPr>
        <w:pStyle w:val="BodyText"/>
        <w:spacing w:before="0" w:after="80" w:line="240" w:lineRule="auto"/>
        <w:ind w:left="317" w:hanging="317"/>
      </w:pPr>
      <w:r>
        <w:rPr>
          <w:rFonts w:ascii="Times New Roman" w:hAnsi="Times New Roman"/>
          <w:sz w:val="18"/>
        </w:rPr>
        <w:t xml:space="preserve">Xiong, Bobby; Fioriti, Davide; Neumann, Fabian; Riepin, Iegor; Brown, Tom (2025).</w:t>
      </w:r>
      <w:r>
        <w:rPr>
          <w:rFonts w:ascii="Times New Roman" w:hAnsi="Times New Roman"/>
          <w:sz w:val="18"/>
        </w:rPr>
        <w:t xml:space="preserve"> </w:t>
      </w:r>
      <w:hyperlink r:id="rId117">
        <w:r>
          <w:rPr>
            <w:rStyle w:val="Hyperlink"/>
          </w:rPr>
          <w:t xml:space="preserve">Modelling the High-Voltage Grid Using Open Data for Europe and Beyond</w:t>
        </w:r>
      </w:hyperlink>
      <w:r>
        <w:rPr>
          <w:rFonts w:ascii="Times New Roman" w:hAnsi="Times New Roman"/>
          <w:sz w:val="18"/>
        </w:rPr>
        <w:t xml:space="preserve">.</w:t>
      </w:r>
      <w:r>
        <w:rPr>
          <w:rFonts w:ascii="Times New Roman" w:hAnsi="Times New Roman"/>
          <w:sz w:val="18"/>
        </w:rPr>
        <w:t xml:space="preserve"> </w:t>
      </w:r>
      <w:r>
        <w:rPr>
          <w:rFonts w:ascii="Times New Roman" w:hAnsi="Times New Roman"/>
          <w:i/>
          <w:iCs/>
          <w:sz w:val="18"/>
        </w:rPr>
        <w:t xml:space="preserve">Scientific Data</w:t>
      </w:r>
      <w:r>
        <w:rPr>
          <w:rFonts w:ascii="Times New Roman" w:hAnsi="Times New Roman"/>
          <w:sz w:val="18"/>
        </w:rPr>
        <w:t xml:space="preserve">, 12(1), 277.</w:t>
      </w:r>
    </w:p>
    <w:bookmarkEnd w:id="118"/>
    <w:sectPr>
      <w:headerReference w:type="default" r:id="rId9"/>
      <w:footerReference w:type="default" r:id="rId10"/>
      <w:pgSz w:w="11905" w:h="16838"/>
      <w:pgMar w:top="1037" w:bottom="1037" w:left="1080" w:right="1080" w:header="432"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5"/>
      </w:rPr>
      <w:t>SimPT60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9" w:lineRule="auto"/>
    </w:pPr>
    <w:rPr>
      <w:rFonts w:ascii="Times New Roman" w:hAnsi="Times New Roman" w:eastAsia="Times New Roman"/>
      <w:color w:val="000000"/>
      <w:sz w:val="20"/>
    </w:rPr>
  </w:style>
  <w:style w:styleId="BodyText" w:type="paragraph">
    <w:name w:val="Body Text"/>
    <w:basedOn w:val="Normal"/>
    <w:link w:val="BodyTextChar"/>
    <w:qFormat/>
    <w:pPr>
      <w:spacing w:after="80" w:before="180" w:line="259" w:lineRule="auto"/>
      <w:ind w:firstLine="0"/>
    </w:pPr>
    <w:rPr>
      <w:rFonts w:ascii="Times New Roman" w:hAnsi="Times New Roman" w:eastAsia="Times New Roman"/>
      <w:color w:val="000000"/>
      <w:sz w:val="20"/>
    </w:rPr>
  </w:style>
  <w:style w:customStyle="1" w:styleId="FirstParagraph" w:type="paragraph">
    <w:name w:val="First Paragraph"/>
    <w:basedOn w:val="BodyText"/>
    <w:next w:val="BodyText"/>
    <w:qFormat/>
    <w:pPr>
      <w:spacing w:after="80" w:line="259" w:lineRule="auto"/>
      <w:ind w:firstLine="0"/>
    </w:pPr>
    <w:rPr>
      <w:rFonts w:ascii="Times New Roman" w:hAnsi="Times New Roman" w:eastAsia="Times New Roman"/>
      <w:color w:val="000000"/>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40" w:lineRule="auto" w:before="0"/>
      <w:contextualSpacing/>
      <w:jc w:val="center"/>
    </w:pPr>
    <w:rPr>
      <w:rFonts w:asciiTheme="majorHAnsi" w:cstheme="majorBidi" w:eastAsiaTheme="majorEastAsia" w:hAnsiTheme="majorHAnsi" w:ascii="Times New Roman" w:hAnsi="Times New Roman" w:eastAsia="Times New Roman"/>
      <w:b/>
      <w:color w:val="000000"/>
      <w:spacing w:val="-10"/>
      <w:kern w:val="28"/>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spacing w:after="240"/>
      <w:jc w:val="center"/>
    </w:pPr>
    <w:rPr>
      <w:rFonts w:ascii="Times New Roman" w:hAnsi="Times New Roman" w:eastAsia="Times New Roman"/>
      <w:i w:val="0"/>
      <w:color w:val="404040"/>
      <w:sz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20"/>
      <w:outlineLvl w:val="0"/>
    </w:pPr>
    <w:rPr>
      <w:rFonts w:asciiTheme="majorHAnsi" w:cstheme="majorBidi" w:eastAsiaTheme="majorEastAsia" w:hAnsiTheme="majorHAnsi" w:ascii="Times New Roman" w:hAnsi="Times New Roman" w:eastAsia="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80"/>
      <w:outlineLvl w:val="1"/>
    </w:pPr>
    <w:rPr>
      <w:rFonts w:asciiTheme="majorHAnsi" w:cstheme="majorBidi" w:eastAsiaTheme="majorEastAsia" w:hAnsiTheme="majorHAnsi" w:ascii="Times New Roman" w:hAnsi="Times New Roman" w:eastAsia="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40" w:before="140"/>
      <w:outlineLvl w:val="2"/>
    </w:pPr>
    <w:rPr>
      <w:rFonts w:cstheme="majorBidi" w:eastAsiaTheme="majorEastAsia" w:ascii="Times New Roman" w:hAnsi="Times New Roman" w:eastAsia="Times New Roman"/>
      <w:b/>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Lines/>
      <w:spacing w:before="60" w:after="120"/>
      <w:jc w:val="center"/>
    </w:pPr>
    <w:rPr>
      <w:rFonts w:ascii="Times New Roman" w:hAnsi="Times New Roman" w:eastAsia="Times New Roman"/>
      <w:i/>
      <w:color w:val="000000"/>
      <w:sz w:val="17"/>
    </w:rPr>
  </w:style>
  <w:style w:customStyle="1" w:styleId="Figure" w:type="paragraph">
    <w:name w:val="Figure"/>
    <w:basedOn w:val="Normal"/>
  </w:style>
  <w:style w:customStyle="1" w:styleId="CaptionedFigure" w:type="paragraph">
    <w:name w:val="Captioned Figure"/>
    <w:basedOn w:val="Figure"/>
    <w:pPr>
      <w:keepNext/>
      <w:keepLines/>
      <w:spacing w:before="60" w:after="40"/>
      <w:jc w:val="center"/>
    </w:pPr>
    <w:rPr>
      <w:rFonts w:ascii="Times New Roman" w:hAnsi="Times New Roman" w:eastAsia="Times New Roman"/>
      <w:i w:val="0"/>
      <w:color w:val="000000"/>
      <w:sz w:val="17"/>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45" Type="http://schemas.openxmlformats.org/officeDocument/2006/relationships/image" Target="media/rId45.png"/><Relationship Id="rId51" Type="http://schemas.openxmlformats.org/officeDocument/2006/relationships/image" Target="media/rId51.png"/><Relationship Id="rId59" Type="http://schemas.openxmlformats.org/officeDocument/2006/relationships/image" Target="media/rId59.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 Id="rId82" Type="http://schemas.openxmlformats.org/officeDocument/2006/relationships/image" Target="media/rId82.png"/><Relationship Id="rId86" Type="http://schemas.openxmlformats.org/officeDocument/2006/relationships/image" Target="media/rId86.png"/><Relationship Id="rId115" Type="http://schemas.openxmlformats.org/officeDocument/2006/relationships/hyperlink" Target="https://datahub.ren.pt/en/networks/electrical-grid/" TargetMode="External"/><Relationship Id="rId106" Type="http://schemas.openxmlformats.org/officeDocument/2006/relationships/hyperlink" Target="https://doi.org/10.1016/j.compenvurbsys.2026.102495" TargetMode="External"/><Relationship Id="rId108" Type="http://schemas.openxmlformats.org/officeDocument/2006/relationships/hyperlink" Target="https://doi.org/10.1016/j.esr.2018.08.012" TargetMode="External"/><Relationship Id="rId117" Type="http://schemas.openxmlformats.org/officeDocument/2006/relationships/hyperlink" Target="https://doi.org/10.1038/s41597-025-04550-7" TargetMode="External"/><Relationship Id="rId116" Type="http://schemas.openxmlformats.org/officeDocument/2006/relationships/hyperlink" Target="https://doi.org/10.1109/TPWRS.2018.2829021" TargetMode="External"/><Relationship Id="rId109" Type="http://schemas.openxmlformats.org/officeDocument/2006/relationships/hyperlink" Target="https://doi.org/10.3390/en13123290" TargetMode="External"/><Relationship Id="rId107" Type="http://schemas.openxmlformats.org/officeDocument/2006/relationships/hyperlink" Target="https://download.geofabrik.de/europe/portugal.html" TargetMode="External"/><Relationship Id="rId103" Type="http://schemas.openxmlformats.org/officeDocument/2006/relationships/hyperlink" Target="https://e-redes.opendatasoft.com/explore/dataset/3-consumos-faturados-por-municipio-ultimos-10-anos/" TargetMode="External"/><Relationship Id="rId99" Type="http://schemas.openxmlformats.org/officeDocument/2006/relationships/hyperlink" Target="https://e-redes.opendatasoft.com/explore/dataset/carga-na-subestacao/" TargetMode="External"/><Relationship Id="rId100" Type="http://schemas.openxmlformats.org/officeDocument/2006/relationships/hyperlink" Target="https://e-redes.opendatasoft.com/explore/dataset/consumo-total-nacional/" TargetMode="External"/><Relationship Id="rId101" Type="http://schemas.openxmlformats.org/officeDocument/2006/relationships/hyperlink" Target="https://e-redes.opendatasoft.com/explore/dataset/energia-injetada-na-rede-de-distribuicao/" TargetMode="External"/><Relationship Id="rId102" Type="http://schemas.openxmlformats.org/officeDocument/2006/relationships/hyperlink" Target="https://e-redes.opendatasoft.com/explore/dataset/energia-produzida-total-nacional/" TargetMode="External"/><Relationship Id="rId104" Type="http://schemas.openxmlformats.org/officeDocument/2006/relationships/hyperlink" Target="https://e-redes.opendatasoft.com/pages/rnd/" TargetMode="External"/><Relationship Id="rId105" Type="http://schemas.openxmlformats.org/officeDocument/2006/relationships/hyperlink" Target="https://gisco-services.ec.europa.eu/distribution/v2/countries/" TargetMode="External"/><Relationship Id="rId110" Type="http://schemas.openxmlformats.org/officeDocument/2006/relationships/hyperlink" Target="https://openinframap.org/about" TargetMode="External"/><Relationship Id="rId97"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95" Type="http://schemas.openxmlformats.org/officeDocument/2006/relationships/hyperlink" Target="https://www.dgeg.gov.pt/media/54fldci3/pnec2030_para_aprov_ar.pdf" TargetMode="External"/><Relationship Id="rId96" Type="http://schemas.openxmlformats.org/officeDocument/2006/relationships/hyperlink" Target="https://www.dgeg.gov.pt/pt/servicos-online/setor-energetico/" TargetMode="External"/><Relationship Id="rId98" Type="http://schemas.openxmlformats.org/officeDocument/2006/relationships/hyperlink" Target="https://www.erse.pt/media/340hrot0/proposta-pdird-e-2020_anexo_b.pdf" TargetMode="External"/><Relationship Id="rId113" Type="http://schemas.openxmlformats.org/officeDocument/2006/relationships/hyperlink" Target="https://www.erse.pt/media/b1edmm30/proposta_pdirt_e_2015_anexos.pdf" TargetMode="External"/><Relationship Id="rId114" Type="http://schemas.openxmlformats.org/officeDocument/2006/relationships/hyperlink" Target="https://www.erse.pt/media/lx5n5kao/pdirt-2025-2034-proposta-inicial-vol-i-anexos-1-a-16.pdf" TargetMode="External"/><Relationship Id="rId111" Type="http://schemas.openxmlformats.org/officeDocument/2006/relationships/hyperlink" Target="https://www.openstreetmap.org/copyright" TargetMode="External"/><Relationship Id="rId112" Type="http://schemas.openxmlformats.org/officeDocument/2006/relationships/hyperlink" Target="https://www.ree.es/sites/default/files/jgk4byy3ukct.pd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datahub.ren.pt/en/networks/electrical-grid/" TargetMode="External"/><Relationship Id="rId106" Type="http://schemas.openxmlformats.org/officeDocument/2006/relationships/hyperlink" Target="https://doi.org/10.1016/j.compenvurbsys.2026.102495" TargetMode="External"/><Relationship Id="rId108" Type="http://schemas.openxmlformats.org/officeDocument/2006/relationships/hyperlink" Target="https://doi.org/10.1016/j.esr.2018.08.012" TargetMode="External"/><Relationship Id="rId117" Type="http://schemas.openxmlformats.org/officeDocument/2006/relationships/hyperlink" Target="https://doi.org/10.1038/s41597-025-04550-7" TargetMode="External"/><Relationship Id="rId116" Type="http://schemas.openxmlformats.org/officeDocument/2006/relationships/hyperlink" Target="https://doi.org/10.1109/TPWRS.2018.2829021" TargetMode="External"/><Relationship Id="rId109" Type="http://schemas.openxmlformats.org/officeDocument/2006/relationships/hyperlink" Target="https://doi.org/10.3390/en13123290" TargetMode="External"/><Relationship Id="rId107" Type="http://schemas.openxmlformats.org/officeDocument/2006/relationships/hyperlink" Target="https://download.geofabrik.de/europe/portugal.html" TargetMode="External"/><Relationship Id="rId103" Type="http://schemas.openxmlformats.org/officeDocument/2006/relationships/hyperlink" Target="https://e-redes.opendatasoft.com/explore/dataset/3-consumos-faturados-por-municipio-ultimos-10-anos/" TargetMode="External"/><Relationship Id="rId99" Type="http://schemas.openxmlformats.org/officeDocument/2006/relationships/hyperlink" Target="https://e-redes.opendatasoft.com/explore/dataset/carga-na-subestacao/" TargetMode="External"/><Relationship Id="rId100" Type="http://schemas.openxmlformats.org/officeDocument/2006/relationships/hyperlink" Target="https://e-redes.opendatasoft.com/explore/dataset/consumo-total-nacional/" TargetMode="External"/><Relationship Id="rId101" Type="http://schemas.openxmlformats.org/officeDocument/2006/relationships/hyperlink" Target="https://e-redes.opendatasoft.com/explore/dataset/energia-injetada-na-rede-de-distribuicao/" TargetMode="External"/><Relationship Id="rId102" Type="http://schemas.openxmlformats.org/officeDocument/2006/relationships/hyperlink" Target="https://e-redes.opendatasoft.com/explore/dataset/energia-produzida-total-nacional/" TargetMode="External"/><Relationship Id="rId104" Type="http://schemas.openxmlformats.org/officeDocument/2006/relationships/hyperlink" Target="https://e-redes.opendatasoft.com/pages/rnd/" TargetMode="External"/><Relationship Id="rId105" Type="http://schemas.openxmlformats.org/officeDocument/2006/relationships/hyperlink" Target="https://gisco-services.ec.europa.eu/distribution/v2/countries/" TargetMode="External"/><Relationship Id="rId110" Type="http://schemas.openxmlformats.org/officeDocument/2006/relationships/hyperlink" Target="https://openinframap.org/about" TargetMode="External"/><Relationship Id="rId97"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95" Type="http://schemas.openxmlformats.org/officeDocument/2006/relationships/hyperlink" Target="https://www.dgeg.gov.pt/media/54fldci3/pnec2030_para_aprov_ar.pdf" TargetMode="External"/><Relationship Id="rId96" Type="http://schemas.openxmlformats.org/officeDocument/2006/relationships/hyperlink" Target="https://www.dgeg.gov.pt/pt/servicos-online/setor-energetico/" TargetMode="External"/><Relationship Id="rId98" Type="http://schemas.openxmlformats.org/officeDocument/2006/relationships/hyperlink" Target="https://www.erse.pt/media/340hrot0/proposta-pdird-e-2020_anexo_b.pdf" TargetMode="External"/><Relationship Id="rId113" Type="http://schemas.openxmlformats.org/officeDocument/2006/relationships/hyperlink" Target="https://www.erse.pt/media/b1edmm30/proposta_pdirt_e_2015_anexos.pdf" TargetMode="External"/><Relationship Id="rId114" Type="http://schemas.openxmlformats.org/officeDocument/2006/relationships/hyperlink" Target="https://www.erse.pt/media/lx5n5kao/pdirt-2025-2034-proposta-inicial-vol-i-anexos-1-a-16.pdf" TargetMode="External"/><Relationship Id="rId111" Type="http://schemas.openxmlformats.org/officeDocument/2006/relationships/hyperlink" Target="https://www.openstreetmap.org/copyright" TargetMode="External"/><Relationship Id="rId112"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SimPT60: A Traceable Time-Series Power-Flow Dataset for Portugal’s High-Voltage Grid</dc:title>
  <dc:creator/>
  <cp:keywords>power systems; Portugal; public data; time-series power flow; provenance</cp:keywords>
  <dcterms:created xsi:type="dcterms:W3CDTF">2026-09-21T14:44:08Z</dcterms:created>
  <dcterms:modified xsi:type="dcterms:W3CDTF">2026-09-21T14:44:08Z</dcterms:modified>
  <dc:subject>Submission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ies>
</file>