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rFonts w:ascii="Times New Roman" w:hAnsi="Times New Roman" w:eastAsia="Times New Roman" w:cs="Times New Roman"/>
          <w:sz w:val="36"/>
        </w:rPr>
        <w:t xml:space="preserve">A traceable time-series power-flow dataset for Portugal's high-voltage grid</w:t>
      </w:r>
    </w:p>
    <w:p>
      <w:pPr>
        <w:pStyle w:val="Date"/>
        <w:widowControl/>
      </w:pPr>
      <w:r>
        <w:rPr>
          <w:rFonts w:ascii="Times New Roman" w:hAnsi="Times New Roman" w:eastAsia="Times New Roman" w:cs="Times New Roman"/>
          <w:sz w:val="20"/>
        </w:rPr>
        <w:t xml:space="preserve">September 2026</w:t>
      </w:r>
    </w:p>
    <w:p>
      <w:pPr>
        <w:pStyle w:val="AbstractTitle"/>
        <w:widowControl/>
      </w:pPr>
      <w:r>
        <w:rPr>
          <w:rFonts w:ascii="Times New Roman" w:hAnsi="Times New Roman" w:eastAsia="Times New Roman" w:cs="Times New Roman"/>
          <w:sz w:val="22"/>
        </w:rPr>
        <w:t xml:space="preserve">Abstract</w:t>
      </w:r>
    </w:p>
    <w:p>
      <w:pPr>
        <w:pStyle w:val="Abstract"/>
        <w:widowControl/>
      </w:pPr>
      <w:r>
        <w:rPr>
          <w:rFonts w:ascii="Times New Roman" w:hAnsi="Times New Roman" w:eastAsia="Times New Roman" w:cs="Times New Roman"/>
          <w:sz w:val="20"/>
        </w:rPr>
        <w:t xml:space="preserve">Publicly accessible power-system data are commonly fragmented across</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network structure, equipment attributes, and operating records, which</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limits their direct use in continuous power-flow analysis and method</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comparison. We present SimPT60, a research dataset reconstructed from</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multiple public sources for the continental Portuguese 60–400 kV grid</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and the Portugal–Spain interconnection boundary. SimPT60 organizes the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static network, operating time series, and alternating-current (AC)</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power-flow results in a unified data framework. It provides continuous</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15-minute operating cases, source-level provenance, and validation</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products for assessing model consistency. The dataset supports</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time-series power-flow studies, scenario comparison, relative-risk</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screening, and testing of grid-analysis algorithms. Its research utility</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is demonstrated using E-REDES public datasets that were withheld from</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nodal-power construction, parameter-sensitivity experiments, and</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single-element (N−1) contingency screening. SimPT60 is a</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public-data-derived research model and has not been validated as an</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operator network model at equipment level.</w:t>
      </w:r>
    </w:p>
    <w:bookmarkStart w:id="22" w:name="background-summary"/>
    <w:p>
      <w:pPr>
        <w:pStyle w:val="Heading1"/>
        <w:keepNext/>
        <w:keepLines/>
        <w:widowControl/>
      </w:pPr>
      <w:r>
        <w:rPr>
          <w:rFonts w:ascii="Times New Roman" w:hAnsi="Times New Roman" w:eastAsia="Times New Roman" w:cs="Times New Roman"/>
          <w:sz w:val="28"/>
        </w:rPr>
        <w:t xml:space="preserve">Background &amp; Summary</w:t>
      </w:r>
    </w:p>
    <w:p>
      <w:pPr>
        <w:pStyle w:val="FirstParagraph"/>
        <w:widowControl/>
      </w:pPr>
      <w:r>
        <w:rPr>
          <w:rFonts w:ascii="Times New Roman" w:hAnsi="Times New Roman" w:eastAsia="Times New Roman" w:cs="Times New Roman"/>
          <w:sz w:val="21"/>
        </w:rPr>
        <w:t xml:space="preserve">Power-flow simulation underpins many studies of grid operation,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planning, and risk, and requires data that describe network topology,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equipment attributes, and operating conditions</w:t>
      </w:r>
      <w:r>
        <w:rPr>
          <w:rFonts w:ascii="Times New Roman" w:hAnsi="Times New Roman" w:eastAsia="Times New Roman" w:cs="Times New Roman"/>
          <w:sz w:val="21"/>
          <w:vertAlign w:val="superscript"/>
        </w:rPr>
        <w:t xml:space="preserve">1</w:t>
      </w:r>
      <w:r>
        <w:rPr>
          <w:rFonts w:ascii="Times New Roman" w:hAnsi="Times New Roman" w:eastAsia="Times New Roman" w:cs="Times New Roman"/>
          <w:sz w:val="21"/>
        </w:rPr>
        <w:t xml:space="preserve">. As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research moves from individual snapshots to time-series analysis, a</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static network must also be linked to continuous load, generation,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other operating records</w:t>
      </w:r>
      <w:r>
        <w:rPr>
          <w:rFonts w:ascii="Times New Roman" w:hAnsi="Times New Roman" w:eastAsia="Times New Roman" w:cs="Times New Roman"/>
          <w:sz w:val="21"/>
          <w:vertAlign w:val="superscript"/>
        </w:rPr>
        <w:t xml:space="preserve">2,3</w:t>
      </w:r>
      <w:r>
        <w:rPr>
          <w:rFonts w:ascii="Times New Roman" w:hAnsi="Times New Roman" w:eastAsia="Times New Roman" w:cs="Times New Roman"/>
          <w:sz w:val="21"/>
        </w:rPr>
        <w:t xml:space="preserve">.</w:t>
      </w:r>
    </w:p>
    <w:p>
      <w:pPr>
        <w:pStyle w:val="BodyText"/>
        <w:widowControl/>
      </w:pPr>
      <w:r>
        <w:rPr>
          <w:rFonts w:ascii="Times New Roman" w:hAnsi="Times New Roman" w:eastAsia="Times New Roman" w:cs="Times New Roman"/>
          <w:sz w:val="21"/>
        </w:rPr>
        <w:t xml:space="preserve">Several public resources already provide reusable grid models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benchmark datasets. PyPSA-Eur supplies a transmission-network model for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European energy-system optimization and operational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studies</w:t>
      </w:r>
      <w:r>
        <w:rPr>
          <w:rFonts w:ascii="Times New Roman" w:hAnsi="Times New Roman" w:eastAsia="Times New Roman" w:cs="Times New Roman"/>
          <w:sz w:val="21"/>
          <w:vertAlign w:val="superscript"/>
        </w:rPr>
        <w:t xml:space="preserve">2</w:t>
      </w:r>
      <w:r>
        <w:rPr>
          <w:rFonts w:ascii="Times New Roman" w:hAnsi="Times New Roman" w:eastAsia="Times New Roman" w:cs="Times New Roman"/>
          <w:sz w:val="21"/>
        </w:rPr>
        <w:t xml:space="preserve">. Recent open-data reconstruction work has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expanded the geographic representation of the European high-voltage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grid</w:t>
      </w:r>
      <w:r>
        <w:rPr>
          <w:rFonts w:ascii="Times New Roman" w:hAnsi="Times New Roman" w:eastAsia="Times New Roman" w:cs="Times New Roman"/>
          <w:sz w:val="21"/>
          <w:vertAlign w:val="superscript"/>
        </w:rPr>
        <w:t xml:space="preserve">4</w:t>
      </w:r>
      <w:r>
        <w:rPr>
          <w:rFonts w:ascii="Times New Roman" w:hAnsi="Times New Roman" w:eastAsia="Times New Roman" w:cs="Times New Roman"/>
          <w:sz w:val="21"/>
        </w:rPr>
        <w:t xml:space="preserve">. SimBench provides representative networks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across several voltage levels together with annual load and generation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profiles</w:t>
      </w:r>
      <w:r>
        <w:rPr>
          <w:rFonts w:ascii="Times New Roman" w:hAnsi="Times New Roman" w:eastAsia="Times New Roman" w:cs="Times New Roman"/>
          <w:sz w:val="21"/>
          <w:vertAlign w:val="superscript"/>
        </w:rPr>
        <w:t xml:space="preserve">3</w:t>
      </w:r>
      <w:r>
        <w:rPr>
          <w:rFonts w:ascii="Times New Roman" w:hAnsi="Times New Roman" w:eastAsia="Times New Roman" w:cs="Times New Roman"/>
          <w:sz w:val="21"/>
        </w:rPr>
        <w:t xml:space="preserve">. These resources support system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optimization, network reconstruction, and method comparison,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respectively, and provide an important basis for open power-system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research.</w:t>
      </w:r>
    </w:p>
    <w:bookmarkStart w:id="20" w:name="motivation"/>
    <w:p>
      <w:pPr>
        <w:pStyle w:val="Heading2"/>
        <w:keepNext/>
        <w:keepLines/>
        <w:widowControl/>
      </w:pPr>
      <w:r>
        <w:rPr>
          <w:rFonts w:ascii="Times New Roman" w:hAnsi="Times New Roman" w:eastAsia="Times New Roman" w:cs="Times New Roman"/>
          <w:sz w:val="24"/>
        </w:rPr>
        <w:t xml:space="preserve">Motivation</w:t>
      </w:r>
    </w:p>
    <w:p>
      <w:pPr>
        <w:pStyle w:val="FirstParagraph"/>
        <w:widowControl/>
      </w:pPr>
      <w:r>
        <w:rPr>
          <w:rFonts w:ascii="Times New Roman" w:hAnsi="Times New Roman" w:eastAsia="Times New Roman" w:cs="Times New Roman"/>
          <w:sz w:val="21"/>
        </w:rPr>
        <w:t xml:space="preserve">Portugal’s National Energy and Climate Plan identifies renewable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generation, storage, electrification, and cross-border interconnection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as central elements of the energy transition</w:t>
      </w:r>
      <w:r>
        <w:rPr>
          <w:rFonts w:ascii="Times New Roman" w:hAnsi="Times New Roman" w:eastAsia="Times New Roman" w:cs="Times New Roman"/>
          <w:sz w:val="21"/>
          <w:vertAlign w:val="superscript"/>
        </w:rPr>
        <w:t xml:space="preserve">5</w:t>
      </w:r>
      <w:r>
        <w:rPr>
          <w:rFonts w:ascii="Times New Roman" w:hAnsi="Times New Roman" w:eastAsia="Times New Roman" w:cs="Times New Roman"/>
          <w:sz w:val="21"/>
        </w:rPr>
        <w:t xml:space="preserve">. These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developments alter the scale and spatial distribution of generation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demand and therefore affect line flows, bus voltages, and system risk.</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Studying the time-varying behaviour of the Portuguese grid consequently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requires a data foundation that represents both network structure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continuous operating conditions.</w:t>
      </w:r>
    </w:p>
    <w:p>
      <w:pPr>
        <w:pStyle w:val="BodyText"/>
        <w:widowControl/>
      </w:pPr>
      <w:r>
        <w:rPr>
          <w:rFonts w:ascii="Times New Roman" w:hAnsi="Times New Roman" w:eastAsia="Times New Roman" w:cs="Times New Roman"/>
          <w:sz w:val="21"/>
        </w:rPr>
        <w:t xml:space="preserve">The relevant public records are distributed across E-REDES, Redes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Energéticas Nacionais (REN), the Direção-Geral de Energia e Geologia</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(DGEG), the Entidade Reguladora dos Serviços Energéticos (ERSE),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open geospatial platforms</w:t>
      </w:r>
      <w:r>
        <w:rPr>
          <w:rFonts w:ascii="Times New Roman" w:hAnsi="Times New Roman" w:eastAsia="Times New Roman" w:cs="Times New Roman"/>
          <w:sz w:val="21"/>
          <w:vertAlign w:val="superscript"/>
        </w:rPr>
        <w:t xml:space="preserve">6–10</w:t>
      </w:r>
      <w:r>
        <w:rPr>
          <w:rFonts w:ascii="Times New Roman" w:hAnsi="Times New Roman" w:eastAsia="Times New Roman" w:cs="Times New Roman"/>
          <w:sz w:val="21"/>
        </w:rPr>
        <w:t xml:space="preserve">. Their spatial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coverage, temporal resolution, identifiers, and field definitions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differ. Using them in a common power-flow model requires topology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reconstruction, completion of electrical parameters, asset-to-bus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mapping, temporal alignment, and allocation of aggregate power to nodes.</w:t>
      </w:r>
    </w:p>
    <w:p>
      <w:pPr>
        <w:pStyle w:val="BodyText"/>
        <w:widowControl/>
      </w:pPr>
      <w:r>
        <w:rPr>
          <w:rFonts w:ascii="Times New Roman" w:hAnsi="Times New Roman" w:eastAsia="Times New Roman" w:cs="Times New Roman"/>
          <w:sz w:val="21"/>
        </w:rPr>
        <w:t xml:space="preserve">Existing resources also have different modelling objectives and scopes.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European-scale models primarily address cross-regional system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studies</w:t>
      </w:r>
      <w:r>
        <w:rPr>
          <w:rFonts w:ascii="Times New Roman" w:hAnsi="Times New Roman" w:eastAsia="Times New Roman" w:cs="Times New Roman"/>
          <w:sz w:val="21"/>
          <w:vertAlign w:val="superscript"/>
        </w:rPr>
        <w:t xml:space="preserve">2</w:t>
      </w:r>
      <w:r>
        <w:rPr>
          <w:rFonts w:ascii="Times New Roman" w:hAnsi="Times New Roman" w:eastAsia="Times New Roman" w:cs="Times New Roman"/>
          <w:sz w:val="21"/>
        </w:rPr>
        <w:t xml:space="preserve">; open high-voltage reconstructions focus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mainly on AC networks at 220 kV and above</w:t>
      </w:r>
      <w:r>
        <w:rPr>
          <w:rFonts w:ascii="Times New Roman" w:hAnsi="Times New Roman" w:eastAsia="Times New Roman" w:cs="Times New Roman"/>
          <w:sz w:val="21"/>
          <w:vertAlign w:val="superscript"/>
        </w:rPr>
        <w:t xml:space="preserve">4</w:t>
      </w:r>
      <w:r>
        <w:rPr>
          <w:rFonts w:ascii="Times New Roman" w:hAnsi="Times New Roman" w:eastAsia="Times New Roman" w:cs="Times New Roman"/>
          <w:sz w:val="21"/>
        </w:rPr>
        <w:t xml:space="preserve">;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representative benchmarks do not describe the geographic Portuguese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grid</w:t>
      </w:r>
      <w:r>
        <w:rPr>
          <w:rFonts w:ascii="Times New Roman" w:hAnsi="Times New Roman" w:eastAsia="Times New Roman" w:cs="Times New Roman"/>
          <w:sz w:val="21"/>
          <w:vertAlign w:val="superscript"/>
        </w:rPr>
        <w:t xml:space="preserve">3</w:t>
      </w:r>
      <w:r>
        <w:rPr>
          <w:rFonts w:ascii="Times New Roman" w:hAnsi="Times New Roman" w:eastAsia="Times New Roman" w:cs="Times New Roman"/>
          <w:sz w:val="21"/>
        </w:rPr>
        <w:t xml:space="preserve">. A public research resource that combines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continental Portuguese 60–400 kV network, 15-minute operating time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series, solvable power-flow cases, and explicit provenance has therefore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remained unavailable.</w:t>
      </w:r>
    </w:p>
    <w:p>
      <w:pPr>
        <w:pStyle w:val="BodyText"/>
        <w:widowControl/>
      </w:pPr>
      <w:r>
        <w:rPr>
          <w:rFonts w:ascii="Times New Roman" w:hAnsi="Times New Roman" w:eastAsia="Times New Roman" w:cs="Times New Roman"/>
          <w:sz w:val="21"/>
        </w:rPr>
        <w:t xml:space="preserve">This study develops a traceable, computationally usable Portuguese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high-voltage grid dataset with continuous time-indexed cases for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power-flow analysis, grid-risk screening, scenario comparison,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method testing.</w:t>
      </w:r>
    </w:p>
    <w:bookmarkEnd w:id="20"/>
    <w:bookmarkStart w:id="21" w:name="dataset-scope-and-contribution"/>
    <w:p>
      <w:pPr>
        <w:pStyle w:val="Heading2"/>
        <w:keepNext/>
        <w:keepLines/>
        <w:widowControl/>
      </w:pPr>
      <w:r>
        <w:rPr>
          <w:rFonts w:ascii="Times New Roman" w:hAnsi="Times New Roman" w:eastAsia="Times New Roman" w:cs="Times New Roman"/>
          <w:sz w:val="24"/>
        </w:rPr>
        <w:t xml:space="preserve">Dataset scope 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contribution</w:t>
      </w:r>
    </w:p>
    <w:p>
      <w:pPr>
        <w:pStyle w:val="FirstParagraph"/>
        <w:widowControl/>
      </w:pPr>
      <w:r>
        <w:rPr>
          <w:rFonts w:ascii="Times New Roman" w:hAnsi="Times New Roman" w:eastAsia="Times New Roman" w:cs="Times New Roman"/>
          <w:sz w:val="21"/>
        </w:rPr>
        <w:t xml:space="preserve">SimPT60 reconstructs the continental Portuguese high-voltage grid from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multiple public sources. It covers the 60, 130, 150, 220, and 400 kV</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networks and retains the boundary nodes required to represent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Portugal–Spain interconnections. Raw sources, the static network,</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time-series inputs, power-flow results, and validation records 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stored in linked layers so that users can trace key fields to their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source and processing rule.</w:t>
      </w:r>
    </w:p>
    <w:p>
      <w:pPr>
        <w:pStyle w:val="BodyText"/>
        <w:widowControl/>
      </w:pPr>
      <w:r>
        <w:rPr>
          <w:rFonts w:ascii="Times New Roman" w:hAnsi="Times New Roman" w:eastAsia="Times New Roman" w:cs="Times New Roman"/>
          <w:sz w:val="21"/>
        </w:rPr>
        <w:t xml:space="preserve">The main contribution is a versioned data product that connects a</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traceable public-data reconstruction of the continental Portuguese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60–400 kV grid with 31,492 consecutive, reproducible 15-minute AC</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power-flow states. The geographic scope includes continental Portugal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the Portugal–Spain boundary but excludes the islands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distribution networks below 60 kV. Linked database layers preserve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raw records, static network, operating inputs, solved states,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provenance, and validation results. The computed states 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research-model outputs rather than equipment telemetry, and their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appropriate interpretation is defined in the Limitations and Usage Notes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sections.</w:t>
      </w:r>
    </w:p>
    <w:p>
      <w:pPr>
        <w:pStyle w:val="BodyText"/>
        <w:widowControl/>
      </w:pPr>
      <w:r>
        <w:rPr>
          <w:rFonts w:ascii="Times New Roman" w:hAnsi="Times New Roman" w:eastAsia="Times New Roman" w:cs="Times New Roman"/>
          <w:sz w:val="21"/>
        </w:rPr>
        <w:t xml:space="preserve">The following sections describe construction of the resource,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released records, and the checks used to establish technical quality.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Reuse guidance and interpretation boundaries are provided in Usage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Notes.</w:t>
      </w:r>
    </w:p>
    <w:bookmarkEnd w:id="21"/>
    <w:bookmarkEnd w:id="22"/>
    <w:bookmarkStart w:id="39" w:name="methods"/>
    <w:p>
      <w:pPr>
        <w:pStyle w:val="Heading1"/>
        <w:keepNext/>
        <w:keepLines/>
        <w:widowControl/>
      </w:pPr>
      <w:r>
        <w:rPr>
          <w:rFonts w:ascii="Times New Roman" w:hAnsi="Times New Roman" w:eastAsia="Times New Roman" w:cs="Times New Roman"/>
          <w:sz w:val="28"/>
        </w:rPr>
        <w:t xml:space="preserve">Methods</w:t>
      </w:r>
    </w:p>
    <w:p>
      <w:pPr>
        <w:pStyle w:val="FirstParagraph"/>
        <w:widowControl/>
      </w:pPr>
      <w:r>
        <w:rPr>
          <w:rFonts w:ascii="Times New Roman" w:hAnsi="Times New Roman" w:eastAsia="Times New Roman" w:cs="Times New Roman"/>
          <w:sz w:val="21"/>
        </w:rPr>
        <w:t xml:space="preserve">SimPT60 was constructed in five stages: archiving and standardizing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public records; reconstructing the 60–400 kV static network; mapping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assets and operating records to a common 15-minute calendar; generating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solving one AC power-flow case per interval; and storing the results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in linked layers with explicit quality controls.</w:t>
      </w:r>
    </w:p>
    <w:bookmarkStart w:id="25" w:name="public-data-scope-and-standardization"/>
    <w:p>
      <w:pPr>
        <w:pStyle w:val="Heading2"/>
        <w:keepNext/>
        <w:keepLines/>
        <w:widowControl/>
      </w:pPr>
      <w:r>
        <w:rPr>
          <w:rFonts w:ascii="Times New Roman" w:hAnsi="Times New Roman" w:eastAsia="Times New Roman" w:cs="Times New Roman"/>
          <w:sz w:val="24"/>
        </w:rPr>
        <w:t xml:space="preserve">Public data scope 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standardization</w:t>
      </w:r>
    </w:p>
    <w:bookmarkStart w:id="23" w:name="scope-and-sources"/>
    <w:p>
      <w:pPr>
        <w:pStyle w:val="Heading3"/>
        <w:keepNext/>
        <w:keepLines/>
        <w:widowControl/>
      </w:pPr>
      <w:r>
        <w:rPr>
          <w:rFonts w:ascii="Times New Roman" w:hAnsi="Times New Roman" w:eastAsia="Times New Roman" w:cs="Times New Roman"/>
          <w:sz w:val="22"/>
        </w:rPr>
        <w:t xml:space="preserve">Scope and sources</w:t>
      </w:r>
    </w:p>
    <w:p>
      <w:pPr>
        <w:pStyle w:val="FirstParagraph"/>
        <w:widowControl/>
      </w:pPr>
      <w:r>
        <w:rPr>
          <w:rFonts w:ascii="Times New Roman" w:hAnsi="Times New Roman" w:eastAsia="Times New Roman" w:cs="Times New Roman"/>
          <w:sz w:val="21"/>
        </w:rPr>
        <w:t xml:space="preserve">The dataset covers the 60, 130, 150, 220, and 400 kV networks from 1 May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2025 to 24 March 2026 at 15-minute resolution. The E-REDES portal calls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the national distribution grid the</w:t>
      </w:r>
      <w:r>
        <w:rPr>
          <w:rFonts w:ascii="Times New Roman" w:hAnsi="Times New Roman" w:eastAsia="Times New Roman" w:cs="Times New Roman"/>
          <w:sz w:val="21"/>
        </w:rPr>
        <w:t xml:space="preserve"> </w:t>
      </w:r>
      <w:r>
        <w:rPr>
          <w:rFonts w:ascii="Times New Roman" w:hAnsi="Times New Roman" w:eastAsia="Times New Roman" w:cs="Times New Roman"/>
          <w:i/>
          <w:iCs/>
          <w:sz w:val="21"/>
        </w:rPr>
        <w:t xml:space="preserve">Rede Nacional de Distribuição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(RND) and labels high voltage as</w:t>
      </w:r>
      <w:r>
        <w:rPr>
          <w:rFonts w:ascii="Times New Roman" w:hAnsi="Times New Roman" w:eastAsia="Times New Roman" w:cs="Times New Roman"/>
          <w:sz w:val="21"/>
        </w:rPr>
        <w:t xml:space="preserve"> </w:t>
      </w:r>
      <w:r>
        <w:rPr>
          <w:rFonts w:ascii="Times New Roman" w:hAnsi="Times New Roman" w:eastAsia="Times New Roman" w:cs="Times New Roman"/>
          <w:i/>
          <w:iCs/>
          <w:sz w:val="21"/>
        </w:rPr>
        <w:t xml:space="preserve">alta tensão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(AT). Network</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geometry is drawn mainly from the E-REDES 60/130 kV network and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OpenStreetMap (OSM)/Geofabrik 150/220/400 kV</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network</w:t>
      </w:r>
      <w:r>
        <w:rPr>
          <w:rFonts w:ascii="Times New Roman" w:hAnsi="Times New Roman" w:eastAsia="Times New Roman" w:cs="Times New Roman"/>
          <w:sz w:val="21"/>
          <w:vertAlign w:val="superscript"/>
        </w:rPr>
        <w:t xml:space="preserve">11</w:t>
      </w:r>
      <w:r>
        <w:rPr>
          <w:rFonts w:ascii="Times New Roman" w:hAnsi="Times New Roman" w:eastAsia="Times New Roman" w:cs="Times New Roman"/>
          <w:sz w:val="21"/>
        </w:rPr>
        <w:t xml:space="preserve">. DGEG and Agência Portuguesa do Ambiente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(APA) records supplement generation, storage, and connection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evidence</w:t>
      </w:r>
      <w:r>
        <w:rPr>
          <w:rFonts w:ascii="Times New Roman" w:hAnsi="Times New Roman" w:eastAsia="Times New Roman" w:cs="Times New Roman"/>
          <w:sz w:val="21"/>
          <w:vertAlign w:val="superscript"/>
        </w:rPr>
        <w:t xml:space="preserve">8,12–14</w:t>
      </w:r>
      <w:r>
        <w:rPr>
          <w:rFonts w:ascii="Times New Roman" w:hAnsi="Times New Roman" w:eastAsia="Times New Roman" w:cs="Times New Roman"/>
          <w:sz w:val="21"/>
        </w:rPr>
        <w:t xml:space="preserve">. REN provides national 15-minute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operating series, whereas E-REDES provides substation energy. The</w:t>
      </w:r>
      <w:r>
        <w:rPr>
          <w:rFonts w:ascii="Times New Roman" w:hAnsi="Times New Roman" w:eastAsia="Times New Roman" w:cs="Times New Roman"/>
          <w:sz w:val="21"/>
        </w:rPr>
        <w:t xml:space="preserve"> </w:t>
      </w:r>
      <w:r>
        <w:rPr>
          <w:rFonts w:ascii="Times New Roman" w:hAnsi="Times New Roman" w:eastAsia="Times New Roman" w:cs="Times New Roman"/>
          <w:i/>
          <w:iCs/>
          <w:sz w:val="21"/>
        </w:rPr>
        <w:t xml:space="preserve">Plano de Desenvolvimento e Investimento da Rede de Transporte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(PDIRT) and</w:t>
      </w:r>
      <w:r>
        <w:rPr>
          <w:rFonts w:ascii="Times New Roman" w:hAnsi="Times New Roman" w:eastAsia="Times New Roman" w:cs="Times New Roman"/>
          <w:sz w:val="21"/>
        </w:rPr>
        <w:t xml:space="preserve"> </w:t>
      </w:r>
      <w:r>
        <w:rPr>
          <w:rFonts w:ascii="Times New Roman" w:hAnsi="Times New Roman" w:eastAsia="Times New Roman" w:cs="Times New Roman"/>
          <w:i/>
          <w:iCs/>
          <w:sz w:val="21"/>
        </w:rPr>
        <w:t xml:space="preserve">Plano de Desenvolvimento e Investimento da Rede</w:t>
      </w:r>
      <w:r>
        <w:rPr>
          <w:rFonts w:ascii="Times New Roman" w:hAnsi="Times New Roman" w:eastAsia="Times New Roman" w:cs="Times New Roman"/>
          <w:i/>
          <w:iCs/>
          <w:sz w:val="21"/>
        </w:rPr>
        <w:t xml:space="preserve"> </w:t>
      </w:r>
      <w:r>
        <w:rPr>
          <w:rFonts w:ascii="Times New Roman" w:hAnsi="Times New Roman" w:eastAsia="Times New Roman" w:cs="Times New Roman"/>
          <w:i/>
          <w:iCs/>
          <w:sz w:val="21"/>
        </w:rPr>
        <w:t xml:space="preserve">Nacional de Distribuição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(PDIRD) provide delivery-point profiles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selected equipment parameters</w:t>
      </w:r>
      <w:r>
        <w:rPr>
          <w:rFonts w:ascii="Times New Roman" w:hAnsi="Times New Roman" w:eastAsia="Times New Roman" w:cs="Times New Roman"/>
          <w:sz w:val="21"/>
          <w:vertAlign w:val="superscript"/>
        </w:rPr>
        <w:t xml:space="preserve">6,7,9,10</w:t>
      </w:r>
      <w:r>
        <w:rPr>
          <w:rFonts w:ascii="Times New Roman" w:hAnsi="Times New Roman" w:eastAsia="Times New Roman" w:cs="Times New Roman"/>
          <w:sz w:val="21"/>
        </w:rPr>
        <w:t xml:space="preserve">. The European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Commission’s Geographical Information System (GISCO) supplies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continental boundary</w:t>
      </w:r>
      <w:r>
        <w:rPr>
          <w:rFonts w:ascii="Times New Roman" w:hAnsi="Times New Roman" w:eastAsia="Times New Roman" w:cs="Times New Roman"/>
          <w:sz w:val="21"/>
          <w:vertAlign w:val="superscript"/>
        </w:rPr>
        <w:t xml:space="preserve">15</w:t>
      </w:r>
      <w:r>
        <w:rPr>
          <w:rFonts w:ascii="Times New Roman" w:hAnsi="Times New Roman" w:eastAsia="Times New Roman" w:cs="Times New Roman"/>
          <w:sz w:val="21"/>
        </w:rPr>
        <w:t xml:space="preserve">; REN and Red Eléctrica de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España (REE) records support transmission and interconnection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checks</w:t>
      </w:r>
      <w:r>
        <w:rPr>
          <w:rFonts w:ascii="Times New Roman" w:hAnsi="Times New Roman" w:eastAsia="Times New Roman" w:cs="Times New Roman"/>
          <w:sz w:val="21"/>
          <w:vertAlign w:val="superscript"/>
        </w:rPr>
        <w:t xml:space="preserve">16</w:t>
      </w:r>
      <w:r>
        <w:rPr>
          <w:rFonts w:ascii="Times New Roman" w:hAnsi="Times New Roman" w:eastAsia="Times New Roman" w:cs="Times New Roman"/>
          <w:sz w:val="21"/>
        </w:rPr>
        <w:t xml:space="preserve">. OpenInfraMap, which derives from OSM, is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used only for display checks and is not treated as independent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evidence</w:t>
      </w:r>
      <w:r>
        <w:rPr>
          <w:rFonts w:ascii="Times New Roman" w:hAnsi="Times New Roman" w:eastAsia="Times New Roman" w:cs="Times New Roman"/>
          <w:sz w:val="21"/>
          <w:vertAlign w:val="superscript"/>
        </w:rPr>
        <w:t xml:space="preserve">17</w:t>
      </w:r>
      <w:r>
        <w:rPr>
          <w:rFonts w:ascii="Times New Roman" w:hAnsi="Times New Roman" w:eastAsia="Times New Roman" w:cs="Times New Roman"/>
          <w:sz w:val="21"/>
        </w:rPr>
        <w:t xml:space="preserve">.</w:t>
      </w:r>
    </w:p>
    <w:p>
      <w:pPr>
        <w:pStyle w:val="BodyText"/>
        <w:widowControl/>
      </w:pPr>
      <w:r>
        <w:rPr>
          <w:rFonts w:ascii="Times New Roman" w:hAnsi="Times New Roman" w:eastAsia="Times New Roman" w:cs="Times New Roman"/>
          <w:sz w:val="21"/>
        </w:rPr>
        <w:t xml:space="preserve">Table 1 combines each source’s coverage, modelling role, and temporal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treatment. The common study window is determined by synchronized E-REDES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REN series. Static-source versions, case dates, and historical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availability are recorded separately; the common window is not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interpreted as the observation date of every device.</w:t>
      </w:r>
    </w:p>
    <w:p>
      <w:pPr>
        <w:pStyle w:val="TableCaption"/>
        <w:keepNext/>
        <w:widowControl/>
      </w:pPr>
      <w:r>
        <w:rPr>
          <w:rFonts w:ascii="Times New Roman" w:hAnsi="Times New Roman" w:eastAsia="Times New Roman" w:cs="Times New Roman"/>
          <w:b/>
          <w:bCs/>
          <w:sz w:val="18"/>
        </w:rPr>
        <w:t xml:space="preserve">Table 1—Public sources, modelling roles, and temporal</w:t>
      </w:r>
      <w:r>
        <w:rPr>
          <w:rFonts w:ascii="Times New Roman" w:hAnsi="Times New Roman" w:eastAsia="Times New Roman" w:cs="Times New Roman"/>
          <w:b/>
          <w:bCs/>
          <w:sz w:val="18"/>
        </w:rPr>
        <w:t xml:space="preserve"> </w:t>
      </w:r>
      <w:r>
        <w:rPr>
          <w:rFonts w:ascii="Times New Roman" w:hAnsi="Times New Roman" w:eastAsia="Times New Roman" w:cs="Times New Roman"/>
          <w:b/>
          <w:bCs/>
          <w:sz w:val="18"/>
        </w:rPr>
        <w:t xml:space="preserve">treatment.</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Source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Scope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Resolution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Inputs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Use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Time basis</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E-REDES RND (AT)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60/130 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Static</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Lines, facilities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Network</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Snapshot</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OSM / Geofabrik</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150/220/400 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Static</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Lines, facilities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Network</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Snapshot</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DGEG / APA / projects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National</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Asset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Capacity, dates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Assets,</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evidence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Asset date</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REN Data Hub</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National</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 min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 series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Dispatch, reference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Common window</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E-REDES station energy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397 stations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 min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kWh</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Direct load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Common window</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PDIRT / PDIRD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Planning</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Static/profile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Circuits, ratings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Weights,</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parameters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Planning</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REN / REE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Transmission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Inventory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Length, capacity, interties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Check, calibration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Inventory</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GISCO</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Continental</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Spatial</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Boundary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Cartography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Snapshot</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E-REDES auxiliary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National/local</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Mixed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14 products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Validation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Withheld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Minho–Galicia</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Intertie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Notice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 July 2026</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Inventory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Post-window; off</w:t>
            </w:r>
          </w:p>
        </w:tc>
      </w:tr>
    </w:tbl>
    <w:p>
      <w:pPr>
        <w:pStyle w:val="BodyText"/>
        <w:widowControl/>
      </w:pPr>
      <w:r>
        <w:rPr>
          <w:rFonts w:ascii="Times New Roman" w:hAnsi="Times New Roman" w:eastAsia="Times New Roman" w:cs="Times New Roman"/>
          <w:b/>
          <w:bCs/>
          <w:sz w:val="21"/>
        </w:rPr>
        <w:t xml:space="preserve">Table note.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The common window is 1 May 2025 to 24 March 2026.</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Proxy denotes an engineering assumption. For Estoi, voltage and capacity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are source-backed; equal parameters and joint availability 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Proxy</w:t>
      </w:r>
      <w:r>
        <w:rPr>
          <w:rFonts w:ascii="Times New Roman" w:hAnsi="Times New Roman" w:eastAsia="Times New Roman" w:cs="Times New Roman"/>
          <w:sz w:val="21"/>
          <w:vertAlign w:val="superscript"/>
        </w:rPr>
        <w:t xml:space="preserve">18</w:t>
      </w:r>
      <w:r>
        <w:rPr>
          <w:rFonts w:ascii="Times New Roman" w:hAnsi="Times New Roman" w:eastAsia="Times New Roman" w:cs="Times New Roman"/>
          <w:sz w:val="21"/>
        </w:rPr>
        <w:t xml:space="preserve">.</w:t>
      </w:r>
    </w:p>
    <w:bookmarkEnd w:id="23"/>
    <w:bookmarkStart w:id="24" w:name="archiving-and-standardization"/>
    <w:p>
      <w:pPr>
        <w:pStyle w:val="Heading3"/>
        <w:keepNext/>
        <w:keepLines/>
        <w:widowControl/>
      </w:pPr>
      <w:r>
        <w:rPr>
          <w:rFonts w:ascii="Times New Roman" w:hAnsi="Times New Roman" w:eastAsia="Times New Roman" w:cs="Times New Roman"/>
          <w:sz w:val="22"/>
        </w:rPr>
        <w:t xml:space="preserve">Archiving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standardization</w:t>
      </w:r>
    </w:p>
    <w:p>
      <w:pPr>
        <w:pStyle w:val="FirstParagraph"/>
        <w:widowControl/>
      </w:pPr>
      <w:r>
        <w:rPr>
          <w:rFonts w:ascii="Times New Roman" w:hAnsi="Times New Roman" w:eastAsia="Times New Roman" w:cs="Times New Roman"/>
          <w:sz w:val="21"/>
        </w:rPr>
        <w:t xml:space="preserve">Raw files are archived immutably by source together with the source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Uniform Resource Locator (URL), download time, file size, and SHA-256</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hash; processing reads the raw layer without modifying it. Coordinates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are stored in World Geodetic System 1984 (WGS 84) and transformed to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Portuguese national projection for distance calculations. Voltage,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power, energy, and distance are standardized to kV, MW/Mvar, kWh,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km. E-REDES 15-minute energy is converted to interval-average power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according to Equation (1):</w:t>
      </w:r>
    </w:p>
    <w:p>
      <w:pPr>
        <w:pStyle w:val="BodyText"/>
        <w:keepLines/>
        <w:widowControl/>
        <w:tabs>
          <w:tab w:val="center" w:pos="4680"/>
          <w:tab w:val="right" w:pos="9360"/>
        </w:tabs>
        <w:jc w:val="left"/>
      </w:pPr>
      <w:r>
        <w:tab/>
      </w:r>
      <m:oMath>
        <m:sSub>
          <m:e>
            <m:r>
              <m:t>P</m:t>
            </m:r>
          </m:e>
          <m:sub>
            <m:r>
              <m:rPr>
                <m:sty m:val="p"/>
              </m:rPr>
              <m:t>M</m:t>
            </m:r>
            <m:r>
              <m:rPr>
                <m:sty m:val="p"/>
              </m:rPr>
              <m:t>W</m:t>
            </m:r>
          </m:sub>
        </m:sSub>
        <m:r>
          <m:rPr>
            <m:sty m:val="p"/>
          </m:rPr>
          <m:t>=</m:t>
        </m:r>
        <m:f>
          <m:fPr>
            <m:type m:val="bar"/>
          </m:fPr>
          <m:num>
            <m:sSub>
              <m:e>
                <m:r>
                  <m:t>E</m:t>
                </m:r>
              </m:e>
              <m:sub>
                <m:r>
                  <m:rPr>
                    <m:sty m:val="p"/>
                  </m:rPr>
                  <m:t>k</m:t>
                </m:r>
                <m:r>
                  <m:rPr>
                    <m:sty m:val="p"/>
                  </m:rPr>
                  <m:t>W</m:t>
                </m:r>
                <m:r>
                  <m:rPr>
                    <m:sty m:val="p"/>
                  </m:rPr>
                  <m:t>h</m:t>
                </m:r>
              </m:sub>
            </m:sSub>
          </m:num>
          <m:den>
            <m:r>
              <m:t>250</m:t>
            </m:r>
          </m:den>
        </m:f>
        <m:r>
          <m:rPr>
            <m:sty m:val="p"/>
          </m:rPr>
          <m:t>.</m:t>
        </m:r>
      </m:oMath>
      <w:r>
        <w:rPr>
          <w:rFonts w:ascii="Times New Roman" w:hAnsi="Times New Roman" w:eastAsia="Times New Roman" w:cs="Times New Roman"/>
          <w:sz w:val="21"/>
        </w:rPr>
        <w:tab/>
        <w:t>(1)</w:t>
      </w:r>
    </w:p>
    <w:p>
      <w:pPr>
        <w:pStyle w:val="FirstParagraph"/>
        <w:widowControl/>
      </w:pPr>
      <w:r>
        <w:rPr>
          <w:rFonts w:ascii="Times New Roman" w:hAnsi="Times New Roman" w:eastAsia="Times New Roman" w:cs="Times New Roman"/>
          <w:sz w:val="21"/>
        </w:rPr>
        <w:t xml:space="preserve">Both Europe/Lisbon local time and Coordinated Universal Time (UTC) 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retained. Stable identifiers are derived from source equipment codes,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every derived object retains source keys and processing status.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Table 3 summarizes the principal transformations; the released data</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dictionary maps each source field to its standardized meaning,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transformation, join key, and missing-data rule.</w:t>
      </w:r>
    </w:p>
    <w:bookmarkEnd w:id="24"/>
    <w:bookmarkEnd w:id="25"/>
    <w:bookmarkStart w:id="29" w:name="static-network-reconstruction"/>
    <w:p>
      <w:pPr>
        <w:pStyle w:val="Heading2"/>
        <w:keepNext/>
        <w:keepLines/>
        <w:widowControl/>
      </w:pPr>
      <w:r>
        <w:rPr>
          <w:rFonts w:ascii="Times New Roman" w:hAnsi="Times New Roman" w:eastAsia="Times New Roman" w:cs="Times New Roman"/>
          <w:sz w:val="24"/>
        </w:rPr>
        <w:t xml:space="preserve">Static network</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reconstruction</w:t>
      </w:r>
    </w:p>
    <w:p>
      <w:pPr>
        <w:pStyle w:val="FirstParagraph"/>
        <w:widowControl/>
      </w:pPr>
      <w:r>
        <w:rPr>
          <w:rFonts w:ascii="Times New Roman" w:hAnsi="Times New Roman" w:eastAsia="Times New Roman" w:cs="Times New Roman"/>
          <w:sz w:val="21"/>
        </w:rPr>
        <w:t xml:space="preserve">The static network is represented by Equation (2):</w:t>
      </w:r>
    </w:p>
    <w:p>
      <w:pPr>
        <w:pStyle w:val="BodyText"/>
        <w:keepLines/>
        <w:widowControl/>
        <w:tabs>
          <w:tab w:val="center" w:pos="4680"/>
          <w:tab w:val="right" w:pos="9360"/>
        </w:tabs>
        <w:jc w:val="left"/>
      </w:pPr>
      <w:r>
        <w:tab/>
      </w:r>
      <m:oMath>
        <m:r>
          <m:t>G</m:t>
        </m:r>
        <m:r>
          <m:rPr>
            <m:sty m:val="p"/>
          </m:rPr>
          <m:t>=</m:t>
        </m:r>
        <m:d>
          <m:dPr>
            <m:begChr m:val="("/>
            <m:endChr m:val=")"/>
            <m:sepChr m:val=""/>
            <m:grow/>
          </m:dPr>
          <m:e>
            <m:r>
              <m:t>B</m:t>
            </m:r>
            <m:r>
              <m:rPr>
                <m:sty m:val="p"/>
              </m:rPr>
              <m:t>,</m:t>
            </m:r>
            <m:r>
              <m:t>L</m:t>
            </m:r>
            <m:r>
              <m:rPr>
                <m:sty m:val="p"/>
              </m:rPr>
              <m:t>,</m:t>
            </m:r>
            <m:r>
              <m:t>T</m:t>
            </m:r>
          </m:e>
        </m:d>
        <m:r>
          <m:rPr>
            <m:sty m:val="p"/>
          </m:rPr>
          <m:t>,</m:t>
        </m:r>
      </m:oMath>
      <w:r>
        <w:rPr>
          <w:rFonts w:ascii="Times New Roman" w:hAnsi="Times New Roman" w:eastAsia="Times New Roman" w:cs="Times New Roman"/>
          <w:sz w:val="21"/>
        </w:rPr>
        <w:tab/>
        <w:t>(2)</w:t>
      </w:r>
    </w:p>
    <w:p>
      <w:pPr>
        <w:pStyle w:val="FirstParagraph"/>
        <w:widowControl/>
      </w:pPr>
      <w:r>
        <w:rPr>
          <w:rFonts w:ascii="Times New Roman" w:hAnsi="Times New Roman" w:eastAsia="Times New Roman" w:cs="Times New Roman"/>
          <w:sz w:val="21"/>
        </w:rPr>
        <w:t xml:space="preserve">where</w:t>
      </w:r>
      <w:r>
        <w:rPr>
          <w:rFonts w:ascii="Times New Roman" w:hAnsi="Times New Roman" w:eastAsia="Times New Roman" w:cs="Times New Roman"/>
          <w:sz w:val="21"/>
        </w:rPr>
        <w:t xml:space="preserve"> </w:t>
      </w:r>
      <m:oMath>
        <m:r>
          <m:t>B</m:t>
        </m:r>
      </m:oMath>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m:oMath>
        <m:r>
          <m:t>L</m:t>
        </m:r>
      </m:oMath>
      <w:r>
        <w:rPr>
          <w:rFonts w:ascii="Times New Roman" w:hAnsi="Times New Roman" w:eastAsia="Times New Roman" w:cs="Times New Roman"/>
          <w:sz w:val="21"/>
        </w:rPr>
        <w:t xml:space="preserve">, and</w:t>
      </w:r>
      <w:r>
        <w:rPr>
          <w:rFonts w:ascii="Times New Roman" w:hAnsi="Times New Roman" w:eastAsia="Times New Roman" w:cs="Times New Roman"/>
          <w:sz w:val="21"/>
        </w:rPr>
        <w:t xml:space="preserve"> </w:t>
      </w:r>
      <m:oMath>
        <m:r>
          <m:t>T</m:t>
        </m:r>
      </m:oMath>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denote buses, lines, and transformers.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Connections are established in the order source relationship, voltage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consistency, and constrained spatial matching. This hierarchy prevents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geographic proximity or line crossings from being interpreted directly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as electrical connectivity.</w:t>
      </w:r>
    </w:p>
    <w:bookmarkStart w:id="26" w:name="buses-and-lines"/>
    <w:p>
      <w:pPr>
        <w:pStyle w:val="Heading3"/>
        <w:keepNext/>
        <w:keepLines/>
        <w:widowControl/>
      </w:pPr>
      <w:r>
        <w:rPr>
          <w:rFonts w:ascii="Times New Roman" w:hAnsi="Times New Roman" w:eastAsia="Times New Roman" w:cs="Times New Roman"/>
          <w:sz w:val="22"/>
        </w:rPr>
        <w:t xml:space="preserve">Buses and lines</w:t>
      </w:r>
    </w:p>
    <w:p>
      <w:pPr>
        <w:pStyle w:val="FirstParagraph"/>
        <w:widowControl/>
      </w:pPr>
      <w:r>
        <w:rPr>
          <w:rFonts w:ascii="Times New Roman" w:hAnsi="Times New Roman" w:eastAsia="Times New Roman" w:cs="Times New Roman"/>
          <w:sz w:val="21"/>
        </w:rPr>
        <w:t xml:space="preserve">E-REDES is preferred for 60/130 kV lines, whereas OSM supplies most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150/220/400 kV lines and facilities; the latter are checked against REN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length statistics. Duplicate E-REDES facilities, mobile facilities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within 250 m of permanent stations, and colocated same-name stations 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normalized while retaining a merge ledger.</w:t>
      </w:r>
    </w:p>
    <w:p>
      <w:pPr>
        <w:pStyle w:val="BodyText"/>
        <w:widowControl/>
        <w:jc w:val="left"/>
      </w:pPr>
      <w:r>
        <w:rPr>
          <w:rFonts w:ascii="Times New Roman" w:hAnsi="Times New Roman" w:eastAsia="Times New Roman" w:cs="Times New Roman"/>
          <w:sz w:val="21"/>
        </w:rPr>
        <w:t xml:space="preserve">Line endpoints are grouped by voltage and clustered within 75 m in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EPSG:3763 coordinates. Different voltage levels are never merged. Each</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endpoint cluster is assigned to a same-voltage facility within 250 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otherwise, a derived connection bus is created. OSM ways are split only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at way endpoints or explicit shared nodes, so geometric crossings do not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create connections. The OSM</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circuit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line_section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relations restore circuit identity. Parallel circuits are retained,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while self-loops and non-positive-length branches are blocked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recorded.</w:t>
      </w:r>
    </w:p>
    <w:bookmarkEnd w:id="26"/>
    <w:bookmarkStart w:id="27" w:name="transformers-and-parameters"/>
    <w:p>
      <w:pPr>
        <w:pStyle w:val="Heading3"/>
        <w:keepNext/>
        <w:keepLines/>
        <w:widowControl/>
      </w:pPr>
      <w:r>
        <w:rPr>
          <w:rFonts w:ascii="Times New Roman" w:hAnsi="Times New Roman" w:eastAsia="Times New Roman" w:cs="Times New Roman"/>
          <w:sz w:val="22"/>
        </w:rPr>
        <w:t xml:space="preserve">Transformers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parameters</w:t>
      </w:r>
    </w:p>
    <w:p>
      <w:pPr>
        <w:pStyle w:val="FirstParagraph"/>
        <w:widowControl/>
      </w:pPr>
      <w:r>
        <w:rPr>
          <w:rFonts w:ascii="Times New Roman" w:hAnsi="Times New Roman" w:eastAsia="Times New Roman" w:cs="Times New Roman"/>
          <w:sz w:val="21"/>
        </w:rPr>
        <w:t xml:space="preserve">Transformers are created from three evidence classes. Explicit OSM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transformers are matched to high- and low-voltage buses within 1 km.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Adjacent voltage levels in the same OSM substation produce colocated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transformers. RARI (Regulamento do Acesso às Redes e às Interligações do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Setor Elétrico) boundary names are matched to facilities within 5 km,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with a fallback to a 60 kV endpoint within 1 km of the high-voltage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station. Public</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rating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values take precedence; remaining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capacities and impedances use voltage-pair proxies. A voltage-pair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capacity is scaled upward when its aggregate falls below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corresponding REN total, and the calibration factor is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retained</w:t>
      </w:r>
      <w:r>
        <w:rPr>
          <w:rFonts w:ascii="Times New Roman" w:hAnsi="Times New Roman" w:eastAsia="Times New Roman" w:cs="Times New Roman"/>
          <w:sz w:val="21"/>
          <w:vertAlign w:val="superscript"/>
        </w:rPr>
        <w:t xml:space="preserve">7</w:t>
      </w:r>
      <w:r>
        <w:rPr>
          <w:rFonts w:ascii="Times New Roman" w:hAnsi="Times New Roman" w:eastAsia="Times New Roman" w:cs="Times New Roman"/>
          <w:sz w:val="21"/>
        </w:rPr>
        <w:t xml:space="preserve">.</w:t>
      </w:r>
    </w:p>
    <w:p>
      <w:pPr>
        <w:pStyle w:val="BodyText"/>
        <w:widowControl/>
      </w:pPr>
      <w:r>
        <w:rPr>
          <w:rFonts w:ascii="Times New Roman" w:hAnsi="Times New Roman" w:eastAsia="Times New Roman" w:cs="Times New Roman"/>
          <w:sz w:val="21"/>
        </w:rPr>
        <w:t xml:space="preserve">Line parameters comprise</w:t>
      </w:r>
      <w:r>
        <w:rPr>
          <w:rFonts w:ascii="Times New Roman" w:hAnsi="Times New Roman" w:eastAsia="Times New Roman" w:cs="Times New Roman"/>
          <w:sz w:val="21"/>
        </w:rPr>
        <w:t xml:space="preserve"> </w:t>
      </w:r>
      <m:oMath>
        <m:r>
          <m:t>r</m:t>
        </m:r>
      </m:oMath>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m:oMath>
        <m:r>
          <m:t>x</m:t>
        </m:r>
      </m:oMath>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m:oMath>
        <m:r>
          <m:t>c</m:t>
        </m:r>
      </m:oMath>
      <w:r>
        <w:rPr>
          <w:rFonts w:ascii="Times New Roman" w:hAnsi="Times New Roman" w:eastAsia="Times New Roman" w:cs="Times New Roman"/>
          <w:sz w:val="21"/>
        </w:rPr>
        <w:t xml:space="preserve">, and</w:t>
      </w:r>
      <w:r>
        <w:rPr>
          <w:rFonts w:ascii="Times New Roman" w:hAnsi="Times New Roman" w:eastAsia="Times New Roman" w:cs="Times New Roman"/>
          <w:sz w:val="21"/>
        </w:rPr>
        <w:t xml:space="preserve"> </w:t>
      </w:r>
      <m:oMath>
        <m:sSub>
          <m:e>
            <m:r>
              <m:t>I</m:t>
            </m:r>
          </m:e>
          <m:sub>
            <m:r>
              <m:rPr>
                <m:sty m:val="p"/>
              </m:rPr>
              <m:t>max</m:t>
            </m:r>
          </m:sub>
        </m:sSub>
      </m:oMath>
      <w:r>
        <w:rPr>
          <w:rFonts w:ascii="Times New Roman" w:hAnsi="Times New Roman" w:eastAsia="Times New Roman" w:cs="Times New Roman"/>
          <w:sz w:val="21"/>
        </w:rPr>
        <w:t xml:space="preserve">. Each 60</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kV branch is matched to a public PDIRD circuit inventory by a</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length-weighted shortest path, accepted only when the model-to-source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length ratio lies between 0.65 and 1.60</w:t>
      </w:r>
      <w:r>
        <w:rPr>
          <w:rFonts w:ascii="Times New Roman" w:hAnsi="Times New Roman" w:eastAsia="Times New Roman" w:cs="Times New Roman"/>
          <w:sz w:val="21"/>
          <w:vertAlign w:val="superscript"/>
        </w:rPr>
        <w:t xml:space="preserve">19</w:t>
      </w:r>
      <w:r>
        <w:rPr>
          <w:rFonts w:ascii="Times New Roman" w:hAnsi="Times New Roman" w:eastAsia="Times New Roman" w:cs="Times New Roman"/>
          <w:sz w:val="21"/>
        </w:rPr>
        <w:t xml:space="preserve">. Remaining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lines use voltage-class defaults and cable correction factors. Each</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parameter is labelled as directly published, derived from public</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documentation, aggregate-calibrated, or an engineering proxy. Some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resistance support is transferred from conductor parameters reported in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project documentation</w:t>
      </w:r>
      <w:r>
        <w:rPr>
          <w:rFonts w:ascii="Times New Roman" w:hAnsi="Times New Roman" w:eastAsia="Times New Roman" w:cs="Times New Roman"/>
          <w:sz w:val="21"/>
          <w:vertAlign w:val="superscript"/>
        </w:rPr>
        <w:t xml:space="preserve">20</w:t>
      </w:r>
      <w:r>
        <w:rPr>
          <w:rFonts w:ascii="Times New Roman" w:hAnsi="Times New Roman" w:eastAsia="Times New Roman" w:cs="Times New Roman"/>
          <w:sz w:val="21"/>
        </w:rPr>
        <w:t xml:space="preserve">; this transfer remains an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engineering assumption rather than a direct line measurement.</w:t>
      </w:r>
    </w:p>
    <w:p>
      <w:pPr>
        <w:pStyle w:val="BodyText"/>
        <w:widowControl/>
      </w:pPr>
      <w:r>
        <w:rPr>
          <w:rFonts w:ascii="Times New Roman" w:hAnsi="Times New Roman" w:eastAsia="Times New Roman" w:cs="Times New Roman"/>
          <w:sz w:val="21"/>
        </w:rPr>
        <w:t xml:space="preserve">Post-construction checks cover equipment keys, endpoints, positive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length, voltage consistency, connected components, and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Portugal–Spain boundary inventory. Lengths at 150, 220, and 400 kV 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compared with REN statistics. Parameter completeness means that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model is computationally usable; it does not mean that all parameters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are operator measurements.</w:t>
      </w:r>
    </w:p>
    <w:p>
      <w:pPr>
        <w:pStyle w:val="BodyText"/>
        <w:widowControl/>
      </w:pPr>
      <w:r>
        <w:rPr>
          <w:rFonts w:ascii="Times New Roman" w:hAnsi="Times New Roman" w:eastAsia="Times New Roman" w:cs="Times New Roman"/>
          <w:sz w:val="21"/>
        </w:rPr>
        <w:t xml:space="preserve">Table 2 consolidates these connection decisions, including same-voltage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endpoint clustering, the distinction between geometric crossings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shared nodes, preservation of series and parallel-circuit identity,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cross-voltage links supported by explicit equipment, colocated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facilities, or RARI boundary evidence.</w:t>
      </w:r>
    </w:p>
    <w:p>
      <w:pPr>
        <w:pStyle w:val="TableCaption"/>
        <w:keepNext/>
        <w:widowControl/>
      </w:pPr>
      <w:r>
        <w:rPr>
          <w:rFonts w:ascii="Times New Roman" w:hAnsi="Times New Roman" w:eastAsia="Times New Roman" w:cs="Times New Roman"/>
          <w:b/>
          <w:bCs/>
          <w:sz w:val="18"/>
        </w:rPr>
        <w:t xml:space="preserve">Table 2—Topology rules and thresholds.</w:t>
      </w:r>
    </w:p>
    <w:tbl>
      <w:tblPr>
        <w:tblStyle w:val="Table"/>
        <w:tblW w:type="pct" w:w="5000"/>
        <w:jc w:val="left"/>
        <w:tblLayout w:type="autofit"/>
        <w:tblLook w:firstRow="1" w:lastRow="0" w:firstColumn="0" w:lastColumn="0" w:noHBand="0" w:noVBand="0" w:val="0020"/>
      </w:tblPr>
      <w:tblGrid>
        <w:gridCol w:w="1131"/>
        <w:gridCol w:w="1131"/>
        <w:gridCol w:w="1131"/>
        <w:gridCol w:w="1131"/>
        <w:gridCol w:w="1131"/>
        <w:gridCol w:w="1131"/>
        <w:gridCol w:w="1131"/>
      </w:tblGrid>
      <w:tr>
        <w:trPr>
          <w:tblHeader w:val="on"/>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Object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Relation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Voltage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Limit 1</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Limit 2</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Action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Status</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Coordinates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EPSG:3763</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Projected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Retain WGS 84</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Direct</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Endpoints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Endpoint cluster</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Same 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 75 m</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Create</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cluster</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Derived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Facilities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Nearest facility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Same 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 250 m</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Assign</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 create bus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Direct / Derived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Normalization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Same name; mobile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Same 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 250 m</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Merge; log</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Derived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OSM split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Endpoint / shared node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Ignore crossing</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Rule</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Circuit</w:t>
            </w:r>
          </w:p>
        </w:tc>
        <w:tc>
          <w:tcPr>
            <w:vAlign w:val="center"/>
            <w:tcMar>
              <w:top w:w="70" w:type="dxa"/>
              <w:bottom w:w="70" w:type="dxa"/>
              <w:start w:w="90" w:type="dxa"/>
              <w:end w:w="90" w:type="dxa"/>
            </w:tcMar>
          </w:tcPr>
          <w:p>
            <w:pPr>
              <w:pStyle w:val="Compact"/>
              <w:widowControl/>
              <w:spacing w:before="0" w:after="40" w:line="240" w:lineRule="auto"/>
              <w:jc w:val="left"/>
            </w:pPr>
            <w:r>
              <w:rPr>
                <w:rStyle w:val="VerbatimChar"/>
                <w:rFonts w:ascii="Times New Roman" w:hAnsi="Times New Roman" w:eastAsia="Times New Roman" w:cs="Times New Roman"/>
                <w:b w:val="0"/>
                <w:sz w:val="16"/>
              </w:rPr>
              <w:t xml:space="preserve">circuit</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w:t>
            </w:r>
            <w:r>
              <w:rPr>
                <w:rFonts w:ascii="Times New Roman" w:hAnsi="Times New Roman" w:eastAsia="Times New Roman" w:cs="Times New Roman"/>
                <w:b w:val="0"/>
                <w:sz w:val="16"/>
              </w:rPr>
              <w:t xml:space="preserve"> </w:t>
            </w:r>
            <w:r>
              <w:rPr>
                <w:rStyle w:val="VerbatimChar"/>
                <w:rFonts w:ascii="Times New Roman" w:hAnsi="Times New Roman" w:eastAsia="Times New Roman" w:cs="Times New Roman"/>
                <w:b w:val="0"/>
                <w:sz w:val="16"/>
              </w:rPr>
              <w:t xml:space="preserve">line_section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Retain parallels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Physical N−1</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Explicit transformer</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High-/low-side buses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Adjacent 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Both</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 1 km</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Connect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Direct</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Colocated transformer</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Same station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Adjacent 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Colocated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Connect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Derived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RARI boundary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Station name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HV to 60 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Name ≤ 5 km</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Endpoint ≤ 1 km</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Connect boundary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Direct / Derived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PDIRD path</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Shortest path</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60 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Ratio 0.65–1.60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Accept /</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proxy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Partial / Proxy</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Invalid branch</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Loop / conflict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Inconsistent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Length ≤ 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Block</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Blocked</w:t>
            </w:r>
          </w:p>
        </w:tc>
      </w:tr>
    </w:tbl>
    <w:p>
      <w:pPr>
        <w:pStyle w:val="BodyText"/>
        <w:widowControl/>
      </w:pPr>
      <w:r>
        <w:rPr>
          <w:rFonts w:ascii="Times New Roman" w:hAnsi="Times New Roman" w:eastAsia="Times New Roman" w:cs="Times New Roman"/>
          <w:b/>
          <w:bCs/>
          <w:sz w:val="21"/>
        </w:rPr>
        <w:t xml:space="preserve">Table note.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Direct = published link; Derived = deterministic</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reconstruction; Proxy = engineering substitution; Blocked = excluded.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Distances are planar.</w:t>
      </w:r>
    </w:p>
    <w:bookmarkEnd w:id="27"/>
    <w:bookmarkStart w:id="28" w:name="Xefefd72f15ef8eb94d82faa2f6649a6349cf7d4"/>
    <w:p>
      <w:pPr>
        <w:pStyle w:val="Heading3"/>
        <w:keepNext/>
        <w:keepLines/>
        <w:widowControl/>
      </w:pPr>
      <w:r>
        <w:rPr>
          <w:rFonts w:ascii="Times New Roman" w:hAnsi="Times New Roman" w:eastAsia="Times New Roman" w:cs="Times New Roman"/>
          <w:sz w:val="22"/>
        </w:rPr>
        <w:t xml:space="preserve">Evidence applicability and historical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availability</w:t>
      </w:r>
    </w:p>
    <w:p>
      <w:pPr>
        <w:pStyle w:val="FirstParagraph"/>
        <w:widowControl/>
        <w:jc w:val="left"/>
      </w:pPr>
      <w:r>
        <w:rPr>
          <w:rFonts w:ascii="Times New Roman" w:hAnsi="Times New Roman" w:eastAsia="Times New Roman" w:cs="Times New Roman"/>
          <w:sz w:val="21"/>
        </w:rPr>
        <w:t xml:space="preserve">Static-source dates and operating-case dates are versioned separately,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as summarized in Table 1. Commissioning dates are known for 366 assets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absent for 824. Only known dates switch availability by case;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undated assets remain available and flagged. Ordinary lines,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transformers, and interconnections retain the frozen static state when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contemporaneous status records are unavailable. Project documents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support only the stated equipment and fields and are not used to infer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historical switching states. Cross-section scaling of conductor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resistance and transfer to other conductor families remain engineering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assumptions. Document pages, equipment identifiers, and field-level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judgements are stored in</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citation_evidence_ledger.csv</w:t>
      </w:r>
      <w:r>
        <w:rPr>
          <w:rFonts w:ascii="Times New Roman" w:hAnsi="Times New Roman" w:eastAsia="Times New Roman" w:cs="Times New Roman"/>
          <w:sz w:val="21"/>
        </w:rPr>
        <w:t xml:space="preserve">.</w:t>
      </w:r>
    </w:p>
    <w:bookmarkEnd w:id="28"/>
    <w:bookmarkEnd w:id="29"/>
    <w:bookmarkStart w:id="32" w:name="asset-mapping-and-time-series-alignment"/>
    <w:p>
      <w:pPr>
        <w:pStyle w:val="Heading2"/>
        <w:keepNext/>
        <w:keepLines/>
        <w:widowControl/>
      </w:pPr>
      <w:r>
        <w:rPr>
          <w:rFonts w:ascii="Times New Roman" w:hAnsi="Times New Roman" w:eastAsia="Times New Roman" w:cs="Times New Roman"/>
          <w:sz w:val="24"/>
        </w:rPr>
        <w:t xml:space="preserve">Asset mapping and time-series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alignment</w:t>
      </w:r>
    </w:p>
    <w:bookmarkStart w:id="30" w:name="asset-mapping-and-calendar"/>
    <w:p>
      <w:pPr>
        <w:pStyle w:val="Heading3"/>
        <w:keepNext/>
        <w:keepLines/>
        <w:widowControl/>
      </w:pPr>
      <w:r>
        <w:rPr>
          <w:rFonts w:ascii="Times New Roman" w:hAnsi="Times New Roman" w:eastAsia="Times New Roman" w:cs="Times New Roman"/>
          <w:sz w:val="22"/>
        </w:rPr>
        <w:t xml:space="preserve">Asset mapping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calendar</w:t>
      </w:r>
    </w:p>
    <w:p>
      <w:pPr>
        <w:pStyle w:val="FirstParagraph"/>
        <w:widowControl/>
      </w:pPr>
      <w:r>
        <w:rPr>
          <w:rFonts w:ascii="Times New Roman" w:hAnsi="Times New Roman" w:eastAsia="Times New Roman" w:cs="Times New Roman"/>
          <w:sz w:val="21"/>
        </w:rPr>
        <w:t xml:space="preserve">The generation and storage inventory combines OSM, DGEG, and project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evidence. Plant and generator representations within 3 km and with</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consistent capacity are merged. DGEG wind records replace incomplete OSM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wind capacities, and non-duplicate DGEG photovoltaic (PV) records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supplement OSM. Mapping priority is public connection evidence, declared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voltage, and then constrained spatial proximity. An asset without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declared voltage and with capacity of at least 100 MW searches only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buses at 150 kV and above; smaller assets search buses at 60 kV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above. The maximum distance is 20 km. Assets beyond this distance remain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in the inventory but are not injected. Assets commissioned after a case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date are unavailable; missing dates are treated as available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explicitly flagged.</w:t>
      </w:r>
    </w:p>
    <w:p>
      <w:pPr>
        <w:pStyle w:val="BodyText"/>
        <w:widowControl/>
        <w:jc w:val="left"/>
      </w:pPr>
      <w:r>
        <w:rPr>
          <w:rFonts w:ascii="Times New Roman" w:hAnsi="Times New Roman" w:eastAsia="Times New Roman" w:cs="Times New Roman"/>
          <w:sz w:val="21"/>
        </w:rPr>
        <w:t xml:space="preserve">The common calendar uses</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interval_start_utc</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as its logical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key. REN timestamps denote interval starts, whereas E-REDES timestamps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denote interval ends, as formalized in Equation (3):</w:t>
      </w:r>
    </w:p>
    <w:p>
      <w:pPr>
        <w:pStyle w:val="BodyText"/>
        <w:keepLines/>
        <w:widowControl/>
        <w:tabs>
          <w:tab w:val="center" w:pos="4680"/>
          <w:tab w:val="right" w:pos="9360"/>
        </w:tabs>
        <w:jc w:val="left"/>
      </w:pPr>
      <w:r>
        <w:tab/>
      </w:r>
      <m:oMath>
        <m:sSub>
          <m:e>
            <m:r>
              <m:t>t</m:t>
            </m:r>
          </m:e>
          <m:sub>
            <m:r>
              <m:rPr>
                <m:sty m:val="p"/>
              </m:rPr>
              <m:t>E</m:t>
            </m:r>
            <m:r>
              <m:rPr>
                <m:nor/>
                <m:sty m:val="p"/>
              </m:rPr>
              <m:t>-</m:t>
            </m:r>
            <m:r>
              <m:rPr>
                <m:sty m:val="p"/>
              </m:rPr>
              <m:t>R</m:t>
            </m:r>
            <m:r>
              <m:rPr>
                <m:sty m:val="p"/>
              </m:rPr>
              <m:t>E</m:t>
            </m:r>
            <m:r>
              <m:rPr>
                <m:sty m:val="p"/>
              </m:rPr>
              <m:t>D</m:t>
            </m:r>
            <m:r>
              <m:rPr>
                <m:sty m:val="p"/>
              </m:rPr>
              <m:t>E</m:t>
            </m:r>
            <m:r>
              <m:rPr>
                <m:sty m:val="p"/>
              </m:rPr>
              <m:t>S</m:t>
            </m:r>
          </m:sub>
        </m:sSub>
        <m:r>
          <m:rPr>
            <m:sty m:val="p"/>
          </m:rPr>
          <m:t>=</m:t>
        </m:r>
        <m:sSub>
          <m:e>
            <m:r>
              <m:t>t</m:t>
            </m:r>
          </m:e>
          <m:sub>
            <m:r>
              <m:rPr>
                <m:sty m:val="p"/>
              </m:rPr>
              <m:t>R</m:t>
            </m:r>
            <m:r>
              <m:rPr>
                <m:sty m:val="p"/>
              </m:rPr>
              <m:t>E</m:t>
            </m:r>
            <m:r>
              <m:rPr>
                <m:sty m:val="p"/>
              </m:rPr>
              <m:t>N</m:t>
            </m:r>
          </m:sub>
        </m:sSub>
        <m:r>
          <m:rPr>
            <m:sty m:val="p"/>
          </m:rPr>
          <m:t>+</m:t>
        </m:r>
        <m:r>
          <m:t>15</m:t>
        </m:r>
        <m:r>
          <m:t> </m:t>
        </m:r>
        <m:r>
          <m:rPr>
            <m:sty m:val="p"/>
          </m:rPr>
          <m:t>m</m:t>
        </m:r>
        <m:r>
          <m:rPr>
            <m:sty m:val="p"/>
          </m:rPr>
          <m:t>i</m:t>
        </m:r>
        <m:r>
          <m:rPr>
            <m:sty m:val="p"/>
          </m:rPr>
          <m:t>n</m:t>
        </m:r>
        <m:r>
          <m:rPr>
            <m:sty m:val="p"/>
          </m:rPr>
          <m:t>.</m:t>
        </m:r>
      </m:oMath>
      <w:r>
        <w:rPr>
          <w:rFonts w:ascii="Times New Roman" w:hAnsi="Times New Roman" w:eastAsia="Times New Roman" w:cs="Times New Roman"/>
          <w:sz w:val="21"/>
        </w:rPr>
        <w:tab/>
        <w:t>(3)</w:t>
      </w:r>
    </w:p>
    <w:p>
      <w:pPr>
        <w:pStyle w:val="FirstParagraph"/>
        <w:widowControl/>
      </w:pPr>
      <w:r>
        <w:rPr>
          <w:rFonts w:ascii="Times New Roman" w:hAnsi="Times New Roman" w:eastAsia="Times New Roman" w:cs="Times New Roman"/>
          <w:sz w:val="21"/>
        </w:rPr>
        <w:t xml:space="preserve">Calendar days follow Europe/Lisbon civil time, giving 92 and 100</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intervals on the spring and autumn daylight-saving transitions. REN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intra-day sequence numbers distinguish the repeated hour. E-REDES has no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fold marker, so duplicate station timestamps are averaged and flagged as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ambiguous. Missing intervals are not interpolated.</w:t>
      </w:r>
    </w:p>
    <w:bookmarkEnd w:id="30"/>
    <w:bookmarkStart w:id="31" w:name="load-generation-and-storage"/>
    <w:p>
      <w:pPr>
        <w:pStyle w:val="Heading3"/>
        <w:keepNext/>
        <w:keepLines/>
        <w:widowControl/>
      </w:pPr>
      <w:r>
        <w:rPr>
          <w:rFonts w:ascii="Times New Roman" w:hAnsi="Times New Roman" w:eastAsia="Times New Roman" w:cs="Times New Roman"/>
          <w:sz w:val="22"/>
        </w:rPr>
        <w:t xml:space="preserve">Load, generation,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storage</w:t>
      </w:r>
    </w:p>
    <w:p>
      <w:pPr>
        <w:pStyle w:val="FirstParagraph"/>
        <w:widowControl/>
      </w:pPr>
      <w:r>
        <w:rPr>
          <w:rFonts w:ascii="Times New Roman" w:hAnsi="Times New Roman" w:eastAsia="Times New Roman" w:cs="Times New Roman"/>
          <w:sz w:val="21"/>
        </w:rPr>
        <w:t xml:space="preserve">E-REDES energy is mapped to buses by facility code and converted to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nodal load. Equation (4) defines the unobserved national residual:</w:t>
      </w:r>
    </w:p>
    <w:p>
      <w:pPr>
        <w:pStyle w:val="BodyText"/>
        <w:keepLines/>
        <w:widowControl/>
        <w:tabs>
          <w:tab w:val="center" w:pos="4680"/>
          <w:tab w:val="right" w:pos="9360"/>
        </w:tabs>
        <w:jc w:val="left"/>
      </w:pPr>
      <w:r>
        <w:tab/>
      </w:r>
      <m:oMath>
        <m:sSub>
          <m:e>
            <m:r>
              <m:t>R</m:t>
            </m:r>
          </m:e>
          <m:sub>
            <m:r>
              <m:t>t</m:t>
            </m:r>
          </m:sub>
        </m:sSub>
        <m:r>
          <m:rPr>
            <m:sty m:val="p"/>
          </m:rPr>
          <m:t>=</m:t>
        </m:r>
        <m:sSubSup>
          <m:e>
            <m:r>
              <m:t>P</m:t>
            </m:r>
          </m:e>
          <m:sub>
            <m:r>
              <m:rPr>
                <m:sty m:val="p"/>
              </m:rPr>
              <m:t>c</m:t>
            </m:r>
            <m:r>
              <m:rPr>
                <m:sty m:val="p"/>
              </m:rPr>
              <m:t>o</m:t>
            </m:r>
            <m:r>
              <m:rPr>
                <m:sty m:val="p"/>
              </m:rPr>
              <m:t>n</m:t>
            </m:r>
            <m:r>
              <m:rPr>
                <m:sty m:val="p"/>
              </m:rPr>
              <m:t>s</m:t>
            </m:r>
            <m:r>
              <m:rPr>
                <m:sty m:val="p"/>
              </m:rPr>
              <m:t>u</m:t>
            </m:r>
            <m:r>
              <m:rPr>
                <m:sty m:val="p"/>
              </m:rPr>
              <m:t>m</m:t>
            </m:r>
            <m:r>
              <m:rPr>
                <m:sty m:val="p"/>
              </m:rPr>
              <m:t>p</m:t>
            </m:r>
            <m:r>
              <m:rPr>
                <m:sty m:val="p"/>
              </m:rPr>
              <m:t>t</m:t>
            </m:r>
            <m:r>
              <m:rPr>
                <m:sty m:val="p"/>
              </m:rPr>
              <m:t>i</m:t>
            </m:r>
            <m:r>
              <m:rPr>
                <m:sty m:val="p"/>
              </m:rPr>
              <m:t>o</m:t>
            </m:r>
            <m:r>
              <m:rPr>
                <m:sty m:val="p"/>
              </m:rPr>
              <m:t>n</m:t>
            </m:r>
            <m:r>
              <m:rPr>
                <m:sty m:val="p"/>
              </m:rPr>
              <m:t>,</m:t>
            </m:r>
            <m:r>
              <m:t>t</m:t>
            </m:r>
          </m:sub>
          <m:sup>
            <m:r>
              <m:rPr>
                <m:sty m:val="p"/>
              </m:rPr>
              <m:t>R</m:t>
            </m:r>
            <m:r>
              <m:rPr>
                <m:sty m:val="p"/>
              </m:rPr>
              <m:t>E</m:t>
            </m:r>
            <m:r>
              <m:rPr>
                <m:sty m:val="p"/>
              </m:rPr>
              <m:t>N</m:t>
            </m:r>
          </m:sup>
        </m:sSubSup>
        <m:r>
          <m:rPr>
            <m:sty m:val="p"/>
          </m:rPr>
          <m:t>−</m:t>
        </m:r>
        <m:nary>
          <m:naryPr>
            <m:chr m:val="∑"/>
            <m:limLoc m:val="undOvr"/>
            <m:subHide m:val="off"/>
            <m:supHide m:val="on"/>
          </m:naryPr>
          <m:sub>
            <m:r>
              <m:t>j</m:t>
            </m:r>
          </m:sub>
          <m:sup>
            <m:r>
              <m:t>​</m:t>
            </m:r>
          </m:sup>
          <m:e>
            <m:sSubSup>
              <m:e>
                <m:r>
                  <m:t>P</m:t>
                </m:r>
              </m:e>
              <m:sub>
                <m:r>
                  <m:t>j</m:t>
                </m:r>
                <m:r>
                  <m:rPr>
                    <m:sty m:val="p"/>
                  </m:rPr>
                  <m:t>,</m:t>
                </m:r>
                <m:r>
                  <m:t>t</m:t>
                </m:r>
              </m:sub>
              <m:sup>
                <m:r>
                  <m:rPr>
                    <m:sty m:val="p"/>
                  </m:rPr>
                  <m:t>E</m:t>
                </m:r>
                <m:r>
                  <m:rPr>
                    <m:sty m:val="p"/>
                  </m:rPr>
                  <m:t>R</m:t>
                </m:r>
                <m:r>
                  <m:rPr>
                    <m:sty m:val="p"/>
                  </m:rPr>
                  <m:t>E</m:t>
                </m:r>
                <m:r>
                  <m:rPr>
                    <m:sty m:val="p"/>
                  </m:rPr>
                  <m:t>D</m:t>
                </m:r>
                <m:r>
                  <m:rPr>
                    <m:sty m:val="p"/>
                  </m:rPr>
                  <m:t>E</m:t>
                </m:r>
                <m:r>
                  <m:rPr>
                    <m:sty m:val="p"/>
                  </m:rPr>
                  <m:t>S</m:t>
                </m:r>
              </m:sup>
            </m:sSubSup>
          </m:e>
        </m:nary>
        <m:r>
          <m:rPr>
            <m:sty m:val="p"/>
          </m:rPr>
          <m:t>.</m:t>
        </m:r>
      </m:oMath>
      <w:r>
        <w:rPr>
          <w:rFonts w:ascii="Times New Roman" w:hAnsi="Times New Roman" w:eastAsia="Times New Roman" w:cs="Times New Roman"/>
          <w:sz w:val="21"/>
        </w:rPr>
        <w:tab/>
        <w:t>(4)</w:t>
      </w:r>
    </w:p>
    <w:p>
      <w:pPr>
        <w:pStyle w:val="FirstParagraph"/>
        <w:widowControl/>
      </w:pPr>
      <w:r>
        <w:rPr>
          <w:rFonts w:ascii="Times New Roman" w:hAnsi="Times New Roman" w:eastAsia="Times New Roman" w:cs="Times New Roman"/>
          <w:sz w:val="21"/>
        </w:rPr>
        <w:t xml:space="preserve">Equation (5) assigns the residual to mapped delivery points using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PDIRT public reference profile from the same season and closest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national-load condition</w:t>
      </w:r>
      <w:r>
        <w:rPr>
          <w:rFonts w:ascii="Times New Roman" w:hAnsi="Times New Roman" w:eastAsia="Times New Roman" w:cs="Times New Roman"/>
          <w:sz w:val="21"/>
          <w:vertAlign w:val="superscript"/>
        </w:rPr>
        <w:t xml:space="preserve">9</w:t>
      </w:r>
      <w:r>
        <w:rPr>
          <w:rFonts w:ascii="Times New Roman" w:hAnsi="Times New Roman" w:eastAsia="Times New Roman" w:cs="Times New Roman"/>
          <w:sz w:val="21"/>
        </w:rPr>
        <w:t xml:space="preserve">:</w:t>
      </w:r>
    </w:p>
    <w:p>
      <w:pPr>
        <w:pStyle w:val="BodyText"/>
        <w:keepLines/>
        <w:widowControl/>
        <w:tabs>
          <w:tab w:val="center" w:pos="4680"/>
          <w:tab w:val="right" w:pos="9360"/>
        </w:tabs>
        <w:jc w:val="left"/>
      </w:pPr>
      <w:r>
        <w:tab/>
      </w:r>
      <m:oMath>
        <m:sSub>
          <m:e>
            <m:r>
              <m:t>w</m:t>
            </m:r>
          </m:e>
          <m:sub>
            <m:r>
              <m:t>j</m:t>
            </m:r>
            <m:r>
              <m:rPr>
                <m:sty m:val="p"/>
              </m:rPr>
              <m:t>,</m:t>
            </m:r>
            <m:r>
              <m:t>t</m:t>
            </m:r>
          </m:sub>
        </m:sSub>
        <m:r>
          <m:rPr>
            <m:sty m:val="p"/>
          </m:rPr>
          <m:t>=</m:t>
        </m:r>
        <m:f>
          <m:fPr>
            <m:type m:val="bar"/>
          </m:fPr>
          <m:num>
            <m:sSubSup>
              <m:e>
                <m:r>
                  <m:t>P</m:t>
                </m:r>
              </m:e>
              <m:sub>
                <m:r>
                  <m:t>j</m:t>
                </m:r>
                <m:r>
                  <m:rPr>
                    <m:sty m:val="p"/>
                  </m:rPr>
                  <m:t>,</m:t>
                </m:r>
                <m:r>
                  <m:t>r</m:t>
                </m:r>
                <m:d>
                  <m:dPr>
                    <m:begChr m:val="("/>
                    <m:endChr m:val=")"/>
                    <m:sepChr m:val=""/>
                    <m:grow/>
                  </m:dPr>
                  <m:e>
                    <m:r>
                      <m:t>t</m:t>
                    </m:r>
                  </m:e>
                </m:d>
              </m:sub>
              <m:sup>
                <m:r>
                  <m:rPr>
                    <m:sty m:val="p"/>
                  </m:rPr>
                  <m:t>P</m:t>
                </m:r>
                <m:r>
                  <m:rPr>
                    <m:sty m:val="p"/>
                  </m:rPr>
                  <m:t>D</m:t>
                </m:r>
                <m:r>
                  <m:rPr>
                    <m:sty m:val="p"/>
                  </m:rPr>
                  <m:t>I</m:t>
                </m:r>
                <m:r>
                  <m:rPr>
                    <m:sty m:val="p"/>
                  </m:rPr>
                  <m:t>R</m:t>
                </m:r>
                <m:r>
                  <m:rPr>
                    <m:sty m:val="p"/>
                  </m:rPr>
                  <m:t>T</m:t>
                </m:r>
              </m:sup>
            </m:sSubSup>
          </m:num>
          <m:den>
            <m:nary>
              <m:naryPr>
                <m:chr m:val="∑"/>
                <m:limLoc m:val="undOvr"/>
                <m:subHide m:val="off"/>
                <m:supHide m:val="on"/>
              </m:naryPr>
              <m:sub>
                <m:r>
                  <m:t>k</m:t>
                </m:r>
                <m:r>
                  <m:rPr>
                    <m:sty m:val="p"/>
                  </m:rPr>
                  <m:t>∈</m:t>
                </m:r>
                <m:r>
                  <m:rPr>
                    <m:sty m:val="p"/>
                    <m:scr m:val="script"/>
                  </m:rPr>
                  <m:t>M</m:t>
                </m:r>
              </m:sub>
              <m:sup>
                <m:r>
                  <m:t>​</m:t>
                </m:r>
              </m:sup>
              <m:e>
                <m:sSubSup>
                  <m:e>
                    <m:r>
                      <m:t>P</m:t>
                    </m:r>
                  </m:e>
                  <m:sub>
                    <m:r>
                      <m:t>k</m:t>
                    </m:r>
                    <m:r>
                      <m:rPr>
                        <m:sty m:val="p"/>
                      </m:rPr>
                      <m:t>,</m:t>
                    </m:r>
                    <m:r>
                      <m:t>r</m:t>
                    </m:r>
                    <m:d>
                      <m:dPr>
                        <m:begChr m:val="("/>
                        <m:endChr m:val=")"/>
                        <m:sepChr m:val=""/>
                        <m:grow/>
                      </m:dPr>
                      <m:e>
                        <m:r>
                          <m:t>t</m:t>
                        </m:r>
                      </m:e>
                    </m:d>
                  </m:sub>
                  <m:sup>
                    <m:r>
                      <m:rPr>
                        <m:sty m:val="p"/>
                      </m:rPr>
                      <m:t>P</m:t>
                    </m:r>
                    <m:r>
                      <m:rPr>
                        <m:sty m:val="p"/>
                      </m:rPr>
                      <m:t>D</m:t>
                    </m:r>
                    <m:r>
                      <m:rPr>
                        <m:sty m:val="p"/>
                      </m:rPr>
                      <m:t>I</m:t>
                    </m:r>
                    <m:r>
                      <m:rPr>
                        <m:sty m:val="p"/>
                      </m:rPr>
                      <m:t>R</m:t>
                    </m:r>
                    <m:r>
                      <m:rPr>
                        <m:sty m:val="p"/>
                      </m:rPr>
                      <m:t>T</m:t>
                    </m:r>
                  </m:sup>
                </m:sSubSup>
              </m:e>
            </m:nary>
          </m:den>
        </m:f>
        <m:r>
          <m:rPr>
            <m:sty m:val="p"/>
          </m:rPr>
          <m:t>,</m:t>
        </m:r>
        <m:r>
          <m:t>  </m:t>
        </m:r>
        <m:sSubSup>
          <m:e>
            <m:r>
              <m:t>P</m:t>
            </m:r>
          </m:e>
          <m:sub>
            <m:r>
              <m:t>j</m:t>
            </m:r>
            <m:r>
              <m:rPr>
                <m:sty m:val="p"/>
              </m:rPr>
              <m:t>,</m:t>
            </m:r>
            <m:r>
              <m:t>t</m:t>
            </m:r>
          </m:sub>
          <m:sup>
            <m:r>
              <m:rPr>
                <m:sty m:val="p"/>
              </m:rPr>
              <m:t>r</m:t>
            </m:r>
            <m:r>
              <m:rPr>
                <m:sty m:val="p"/>
              </m:rPr>
              <m:t>e</m:t>
            </m:r>
            <m:r>
              <m:rPr>
                <m:sty m:val="p"/>
              </m:rPr>
              <m:t>s</m:t>
            </m:r>
          </m:sup>
        </m:sSubSup>
        <m:r>
          <m:rPr>
            <m:sty m:val="p"/>
          </m:rPr>
          <m:t>=</m:t>
        </m:r>
        <m:sSub>
          <m:e>
            <m:r>
              <m:t>w</m:t>
            </m:r>
          </m:e>
          <m:sub>
            <m:r>
              <m:t>j</m:t>
            </m:r>
            <m:r>
              <m:rPr>
                <m:sty m:val="p"/>
              </m:rPr>
              <m:t>,</m:t>
            </m:r>
            <m:r>
              <m:t>t</m:t>
            </m:r>
          </m:sub>
        </m:sSub>
        <m:sSub>
          <m:e>
            <m:r>
              <m:t>R</m:t>
            </m:r>
          </m:e>
          <m:sub>
            <m:r>
              <m:t>t</m:t>
            </m:r>
          </m:sub>
        </m:sSub>
        <m:r>
          <m:rPr>
            <m:sty m:val="p"/>
          </m:rPr>
          <m:t>.</m:t>
        </m:r>
      </m:oMath>
      <w:r>
        <w:rPr>
          <w:rFonts w:ascii="Times New Roman" w:hAnsi="Times New Roman" w:eastAsia="Times New Roman" w:cs="Times New Roman"/>
          <w:sz w:val="21"/>
        </w:rPr>
        <w:tab/>
        <w:t>(5)</w:t>
      </w:r>
    </w:p>
    <w:p>
      <w:pPr>
        <w:pStyle w:val="FirstParagraph"/>
        <w:widowControl/>
      </w:pPr>
      <w:r>
        <w:rPr>
          <w:rFonts w:ascii="Times New Roman" w:hAnsi="Times New Roman" w:eastAsia="Times New Roman" w:cs="Times New Roman"/>
          <w:sz w:val="21"/>
        </w:rPr>
        <w:t xml:space="preserve">The profile provides only spatial weights and does not change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15-minute resolution. E-REDES load uses a 0.97 power factor where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reactive power is not observed; residual load retains the PDIRT</w:t>
      </w:r>
      <w:r>
        <w:rPr>
          <w:rFonts w:ascii="Times New Roman" w:hAnsi="Times New Roman" w:eastAsia="Times New Roman" w:cs="Times New Roman"/>
          <w:sz w:val="21"/>
        </w:rPr>
        <w:t xml:space="preserve"> </w:t>
      </w:r>
      <m:oMath>
        <m:r>
          <m:t>Q</m:t>
        </m:r>
        <m:r>
          <m:rPr>
            <m:sty m:val="p"/>
          </m:rPr>
          <m:t>/</m:t>
        </m:r>
        <m:r>
          <m:t>P</m:t>
        </m:r>
      </m:oMath>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relationship. Pumping and battery charging are distributed by mapped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storage capacity, with any remainder assigned to an explicit national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proxy. Nodal electric load must sum to REN</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Consumption + Storage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within 0.11 MW.</w:t>
      </w:r>
    </w:p>
    <w:p>
      <w:pPr>
        <w:pStyle w:val="BodyText"/>
        <w:widowControl/>
        <w:jc w:val="left"/>
      </w:pPr>
      <w:r>
        <w:rPr>
          <w:rFonts w:ascii="Times New Roman" w:hAnsi="Times New Roman" w:eastAsia="Times New Roman" w:cs="Times New Roman"/>
          <w:sz w:val="21"/>
        </w:rPr>
        <w:t xml:space="preserve">REN generation by technology is distributed among mapped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commissioned assets of the same technology under</w:t>
      </w:r>
      <w:r>
        <w:rPr>
          <w:rFonts w:ascii="Times New Roman" w:hAnsi="Times New Roman" w:eastAsia="Times New Roman" w:cs="Times New Roman"/>
          <w:sz w:val="21"/>
        </w:rPr>
        <w:t xml:space="preserve"> </w:t>
      </w:r>
      <m:oMath>
        <m:r>
          <m:t>0</m:t>
        </m:r>
        <m:r>
          <m:rPr>
            <m:sty m:val="p"/>
          </m:rPr>
          <m:t>≤</m:t>
        </m:r>
        <m:sSub>
          <m:e>
            <m:r>
              <m:t>P</m:t>
            </m:r>
          </m:e>
          <m:sub>
            <m:r>
              <m:t>g</m:t>
            </m:r>
            <m:r>
              <m:rPr>
                <m:sty m:val="p"/>
              </m:rPr>
              <m:t>,</m:t>
            </m:r>
            <m:r>
              <m:t>t</m:t>
            </m:r>
          </m:sub>
        </m:sSub>
        <m:r>
          <m:rPr>
            <m:sty m:val="p"/>
          </m:rPr>
          <m:t>≤</m:t>
        </m:r>
        <m:sSubSup>
          <m:e>
            <m:r>
              <m:t>P</m:t>
            </m:r>
          </m:e>
          <m:sub>
            <m:r>
              <m:t>g</m:t>
            </m:r>
          </m:sub>
          <m:sup>
            <m:r>
              <m:rPr>
                <m:sty m:val="p"/>
              </m:rPr>
              <m:t>n</m:t>
            </m:r>
            <m:r>
              <m:rPr>
                <m:sty m:val="p"/>
              </m:rPr>
              <m:t>a</m:t>
            </m:r>
            <m:r>
              <m:rPr>
                <m:sty m:val="p"/>
              </m:rPr>
              <m:t>m</m:t>
            </m:r>
            <m:r>
              <m:rPr>
                <m:sty m:val="p"/>
              </m:rPr>
              <m:t>e</m:t>
            </m:r>
            <m:r>
              <m:rPr>
                <m:sty m:val="p"/>
              </m:rPr>
              <m:t>p</m:t>
            </m:r>
            <m:r>
              <m:rPr>
                <m:sty m:val="p"/>
              </m:rPr>
              <m:t>l</m:t>
            </m:r>
            <m:r>
              <m:rPr>
                <m:sty m:val="p"/>
              </m:rPr>
              <m:t>a</m:t>
            </m:r>
            <m:r>
              <m:rPr>
                <m:sty m:val="p"/>
              </m:rPr>
              <m:t>t</m:t>
            </m:r>
            <m:r>
              <m:rPr>
                <m:sty m:val="p"/>
              </m:rPr>
              <m:t>e</m:t>
            </m:r>
          </m:sup>
        </m:sSubSup>
      </m:oMath>
      <w:r>
        <w:rPr>
          <w:rFonts w:ascii="Times New Roman" w:hAnsi="Times New Roman" w:eastAsia="Times New Roman" w:cs="Times New Roman"/>
          <w:sz w:val="21"/>
        </w:rPr>
        <w:t xml:space="preserve">. Hydro and natural gas use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deterministic capacity-priority allocation, while other technologies use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available-capacity shares. Generation beyond mapped capacity is injected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at a designated 400 kV proxy bus as</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UNMAPPED_NATIONAL_RESIDUAL_PROXY</w:t>
      </w:r>
      <w:r>
        <w:rPr>
          <w:rFonts w:ascii="Times New Roman" w:hAnsi="Times New Roman" w:eastAsia="Times New Roman" w:cs="Times New Roman"/>
          <w:sz w:val="21"/>
        </w:rPr>
        <w:t xml:space="preserve">; it must not be interpreted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as the location of an omitted plant.</w:t>
      </w:r>
    </w:p>
    <w:p>
      <w:pPr>
        <w:pStyle w:val="BodyText"/>
        <w:widowControl/>
      </w:pPr>
      <w:r>
        <w:rPr>
          <w:rFonts w:ascii="Times New Roman" w:hAnsi="Times New Roman" w:eastAsia="Times New Roman" w:cs="Times New Roman"/>
          <w:sz w:val="21"/>
        </w:rPr>
        <w:t xml:space="preserve">REN imports and exports are aligned to the common calendar but withheld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from boundary-power enforcement. Before solution, the pipeline checks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timestamps, required series, mapping completeness, load and generation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conservation, and capacity limits. Table 3 summarizes the executable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mapping and conservation rules. The associated source, bus-assignment,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availability, observed-load, residual-load, reactive-power, boundary,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conservation fields are retained in the equipment tables and each</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case-level audit bundle.</w:t>
      </w:r>
    </w:p>
    <w:p>
      <w:pPr>
        <w:pStyle w:val="TableCaption"/>
        <w:keepNext/>
        <w:widowControl/>
      </w:pPr>
      <w:r>
        <w:rPr>
          <w:rFonts w:ascii="Times New Roman" w:hAnsi="Times New Roman" w:eastAsia="Times New Roman" w:cs="Times New Roman"/>
          <w:b/>
          <w:bCs/>
          <w:sz w:val="18"/>
        </w:rPr>
        <w:t xml:space="preserve">Table 3—Asset mapping and time-series transformation rules.</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Process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Input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Priority / rule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Limit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Output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Status</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Asset deduplication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Plant records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Distance + capacity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 3</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km</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Merged asset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Derived; logged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Bus mapping</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Connection, voltage, location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Evidence → voltage →</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nearest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 20 km</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Bus assignment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Direct / Derived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Missing voltage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Capacity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 100 MW → ≥ 150 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Else</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 60 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Search set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Derived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Commissioning</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Date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After case → off</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Missing → 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Availability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Known / Unknown</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Time labels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E-REDES interval end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Shift −15 min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UTC start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Derived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DST / missing</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Local labels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Duplicate → mean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92 / 96 / 100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Interval flag</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No fill</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Energy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kWh</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Divide by 250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 min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MW</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Derived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Load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Station + REN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Observed + residual</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Nodal load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Direct /</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Proxy</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Storage load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Capacity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Proportional share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Nodal load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Derived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Generation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Technology, date, nameplate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Mapped + commissioned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Nameplate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Nodal generation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Derived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Unmapped generation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Residual</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One proxy bus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400 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Proxy</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injection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Proxy</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Cross-border</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REN exchange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Post-solution only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Comparison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Withheld</w:t>
            </w:r>
          </w:p>
        </w:tc>
      </w:tr>
    </w:tbl>
    <w:p>
      <w:pPr>
        <w:pStyle w:val="BodyText"/>
        <w:widowControl/>
        <w:jc w:val="left"/>
      </w:pPr>
      <w:r>
        <w:rPr>
          <w:rFonts w:ascii="Times New Roman" w:hAnsi="Times New Roman" w:eastAsia="Times New Roman" w:cs="Times New Roman"/>
          <w:b/>
          <w:bCs/>
          <w:sz w:val="21"/>
        </w:rPr>
        <w:t xml:space="preserve">Table note.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timestamp_utc</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is the stored field;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interval_start_utc</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denotes its meaning. Proxy locations 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non-physical.</w:t>
      </w:r>
    </w:p>
    <w:bookmarkEnd w:id="31"/>
    <w:bookmarkEnd w:id="32"/>
    <w:bookmarkStart w:id="35" w:name="Xcf87b73a2d742fbfcbcb17e03e25b153df55fc3"/>
    <w:p>
      <w:pPr>
        <w:pStyle w:val="Heading2"/>
        <w:keepNext/>
        <w:keepLines/>
        <w:widowControl/>
      </w:pPr>
      <w:r>
        <w:rPr>
          <w:rFonts w:ascii="Times New Roman" w:hAnsi="Times New Roman" w:eastAsia="Times New Roman" w:cs="Times New Roman"/>
          <w:sz w:val="24"/>
        </w:rPr>
        <w:t xml:space="preserve">Time-indexed case generation and alternating-current power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flow</w:t>
      </w:r>
    </w:p>
    <w:p>
      <w:pPr>
        <w:pStyle w:val="FirstParagraph"/>
        <w:widowControl/>
      </w:pPr>
      <w:r>
        <w:rPr>
          <w:rFonts w:ascii="Times New Roman" w:hAnsi="Times New Roman" w:eastAsia="Times New Roman" w:cs="Times New Roman"/>
          <w:sz w:val="21"/>
        </w:rPr>
        <w:t xml:space="preserve">Each 15-minute interval defines the steady-state case in Equation (6):</w:t>
      </w:r>
    </w:p>
    <w:p>
      <w:pPr>
        <w:pStyle w:val="BodyText"/>
        <w:keepLines/>
        <w:widowControl/>
        <w:tabs>
          <w:tab w:val="center" w:pos="4680"/>
          <w:tab w:val="right" w:pos="9360"/>
        </w:tabs>
        <w:jc w:val="left"/>
      </w:pPr>
      <w:r>
        <w:tab/>
      </w:r>
      <m:oMath>
        <m:sSub>
          <m:e>
            <m:r>
              <m:t>C</m:t>
            </m:r>
          </m:e>
          <m:sub>
            <m:r>
              <m:t>t</m:t>
            </m:r>
          </m:sub>
        </m:sSub>
        <m:r>
          <m:rPr>
            <m:sty m:val="p"/>
          </m:rPr>
          <m:t>=</m:t>
        </m:r>
        <m:d>
          <m:dPr>
            <m:begChr m:val="("/>
            <m:endChr m:val=")"/>
            <m:sepChr m:val=""/>
            <m:grow/>
          </m:dPr>
          <m:e>
            <m:r>
              <m:t>G</m:t>
            </m:r>
            <m:r>
              <m:rPr>
                <m:sty m:val="p"/>
              </m:rPr>
              <m:t>,</m:t>
            </m:r>
            <m:r>
              <m:t>θ</m:t>
            </m:r>
            <m:r>
              <m:rPr>
                <m:sty m:val="p"/>
              </m:rPr>
              <m:t>,</m:t>
            </m:r>
            <m:sSub>
              <m:e>
                <m:r>
                  <m:t>X</m:t>
                </m:r>
              </m:e>
              <m:sub>
                <m:r>
                  <m:t>t</m:t>
                </m:r>
              </m:sub>
            </m:sSub>
            <m:r>
              <m:rPr>
                <m:sty m:val="p"/>
              </m:rPr>
              <m:t>,</m:t>
            </m:r>
            <m:sSub>
              <m:e>
                <m:r>
                  <m:t>S</m:t>
                </m:r>
              </m:e>
              <m:sub>
                <m:r>
                  <m:t>t</m:t>
                </m:r>
              </m:sub>
            </m:sSub>
            <m:r>
              <m:rPr>
                <m:sty m:val="p"/>
              </m:rPr>
              <m:t>,</m:t>
            </m:r>
            <m:sSub>
              <m:e>
                <m:r>
                  <m:t>U</m:t>
                </m:r>
              </m:e>
              <m:sub>
                <m:r>
                  <m:t>t</m:t>
                </m:r>
              </m:sub>
            </m:sSub>
            <m:r>
              <m:rPr>
                <m:sty m:val="p"/>
              </m:rPr>
              <m:t>,</m:t>
            </m:r>
            <m:sSub>
              <m:e>
                <m:r>
                  <m:t>B</m:t>
                </m:r>
              </m:e>
              <m:sub>
                <m:r>
                  <m:t>t</m:t>
                </m:r>
              </m:sub>
            </m:sSub>
          </m:e>
        </m:d>
        <m:r>
          <m:rPr>
            <m:sty m:val="p"/>
          </m:rPr>
          <m:t>,</m:t>
        </m:r>
      </m:oMath>
      <w:r>
        <w:rPr>
          <w:rFonts w:ascii="Times New Roman" w:hAnsi="Times New Roman" w:eastAsia="Times New Roman" w:cs="Times New Roman"/>
          <w:sz w:val="21"/>
        </w:rPr>
        <w:tab/>
        <w:t>(6)</w:t>
      </w:r>
    </w:p>
    <w:p>
      <w:pPr>
        <w:pStyle w:val="FirstParagraph"/>
        <w:widowControl/>
      </w:pPr>
      <w:r>
        <w:rPr>
          <w:rFonts w:ascii="Times New Roman" w:hAnsi="Times New Roman" w:eastAsia="Times New Roman" w:cs="Times New Roman"/>
          <w:sz w:val="21"/>
        </w:rPr>
        <w:t xml:space="preserve">where the static network</w:t>
      </w:r>
      <w:r>
        <w:rPr>
          <w:rFonts w:ascii="Times New Roman" w:hAnsi="Times New Roman" w:eastAsia="Times New Roman" w:cs="Times New Roman"/>
          <w:sz w:val="21"/>
        </w:rPr>
        <w:t xml:space="preserve"> </w:t>
      </w:r>
      <m:oMath>
        <m:r>
          <m:t>G</m:t>
        </m:r>
      </m:oMath>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parameters</w:t>
      </w:r>
      <w:r>
        <w:rPr>
          <w:rFonts w:ascii="Times New Roman" w:hAnsi="Times New Roman" w:eastAsia="Times New Roman" w:cs="Times New Roman"/>
          <w:sz w:val="21"/>
        </w:rPr>
        <w:t xml:space="preserve"> </w:t>
      </w:r>
      <m:oMath>
        <m:r>
          <m:t>θ</m:t>
        </m:r>
      </m:oMath>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are shared,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while operating inputs</w:t>
      </w:r>
      <w:r>
        <w:rPr>
          <w:rFonts w:ascii="Times New Roman" w:hAnsi="Times New Roman" w:eastAsia="Times New Roman" w:cs="Times New Roman"/>
          <w:sz w:val="21"/>
        </w:rPr>
        <w:t xml:space="preserve"> </w:t>
      </w:r>
      <m:oMath>
        <m:sSub>
          <m:e>
            <m:r>
              <m:t>X</m:t>
            </m:r>
          </m:e>
          <m:sub>
            <m:r>
              <m:t>t</m:t>
            </m:r>
          </m:sub>
        </m:sSub>
      </m:oMath>
      <w:r>
        <w:rPr>
          <w:rFonts w:ascii="Times New Roman" w:hAnsi="Times New Roman" w:eastAsia="Times New Roman" w:cs="Times New Roman"/>
          <w:sz w:val="21"/>
        </w:rPr>
        <w:t xml:space="preserve">, device status</w:t>
      </w:r>
      <w:r>
        <w:rPr>
          <w:rFonts w:ascii="Times New Roman" w:hAnsi="Times New Roman" w:eastAsia="Times New Roman" w:cs="Times New Roman"/>
          <w:sz w:val="21"/>
        </w:rPr>
        <w:t xml:space="preserve"> </w:t>
      </w:r>
      <m:oMath>
        <m:sSub>
          <m:e>
            <m:r>
              <m:t>S</m:t>
            </m:r>
          </m:e>
          <m:sub>
            <m:r>
              <m:t>t</m:t>
            </m:r>
          </m:sub>
        </m:sSub>
      </m:oMath>
      <w:r>
        <w:rPr>
          <w:rFonts w:ascii="Times New Roman" w:hAnsi="Times New Roman" w:eastAsia="Times New Roman" w:cs="Times New Roman"/>
          <w:sz w:val="21"/>
        </w:rPr>
        <w:t xml:space="preserve">, controls</w:t>
      </w:r>
      <w:r>
        <w:rPr>
          <w:rFonts w:ascii="Times New Roman" w:hAnsi="Times New Roman" w:eastAsia="Times New Roman" w:cs="Times New Roman"/>
          <w:sz w:val="21"/>
        </w:rPr>
        <w:t xml:space="preserve"> </w:t>
      </w:r>
      <m:oMath>
        <m:sSub>
          <m:e>
            <m:r>
              <m:t>U</m:t>
            </m:r>
          </m:e>
          <m:sub>
            <m:r>
              <m:t>t</m:t>
            </m:r>
          </m:sub>
        </m:sSub>
      </m:oMath>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boundary equivalent</w:t>
      </w:r>
      <w:r>
        <w:rPr>
          <w:rFonts w:ascii="Times New Roman" w:hAnsi="Times New Roman" w:eastAsia="Times New Roman" w:cs="Times New Roman"/>
          <w:sz w:val="21"/>
        </w:rPr>
        <w:t xml:space="preserve"> </w:t>
      </w:r>
      <m:oMath>
        <m:sSub>
          <m:e>
            <m:r>
              <m:t>B</m:t>
            </m:r>
          </m:e>
          <m:sub>
            <m:r>
              <m:t>t</m:t>
            </m:r>
          </m:sub>
        </m:sSub>
      </m:oMath>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vary with time. The principal dataset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contains one case per interval, while sensitivity and contingency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records use separately selected representative times and are stored in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distinct scenario tables.</w:t>
      </w:r>
    </w:p>
    <w:bookmarkStart w:id="33" w:name="case-assembly-and-solution"/>
    <w:p>
      <w:pPr>
        <w:pStyle w:val="Heading3"/>
        <w:keepNext/>
        <w:keepLines/>
        <w:widowControl/>
      </w:pPr>
      <w:r>
        <w:rPr>
          <w:rFonts w:ascii="Times New Roman" w:hAnsi="Times New Roman" w:eastAsia="Times New Roman" w:cs="Times New Roman"/>
          <w:sz w:val="22"/>
        </w:rPr>
        <w:t xml:space="preserve">Case assembly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solution</w:t>
      </w:r>
    </w:p>
    <w:p>
      <w:pPr>
        <w:pStyle w:val="FirstParagraph"/>
        <w:widowControl/>
      </w:pPr>
      <w:r>
        <w:rPr>
          <w:rFonts w:ascii="Times New Roman" w:hAnsi="Times New Roman" w:eastAsia="Times New Roman" w:cs="Times New Roman"/>
          <w:sz w:val="21"/>
        </w:rPr>
        <w:t xml:space="preserve">Each case updates load, generation, equipment availability, seasonal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ratings, and boundary equivalents. An initial boundary solution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determines model net exchange. One angular reference is then retained,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the other boundary nodes receive fixed active-power equivalents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distributed by public voltage and circuit count. Contemporaneous REN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exchange is used only for post-solution comparison.</w:t>
      </w:r>
    </w:p>
    <w:p>
      <w:pPr>
        <w:pStyle w:val="BodyText"/>
        <w:widowControl/>
      </w:pPr>
      <w:r>
        <w:rPr>
          <w:rFonts w:ascii="Times New Roman" w:hAnsi="Times New Roman" w:eastAsia="Times New Roman" w:cs="Times New Roman"/>
          <w:sz w:val="21"/>
        </w:rPr>
        <w:t xml:space="preserve">AC power flow uses the pandapower Newton–Raphson (NR) implementation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with direct-current (DC) initialization</w:t>
      </w:r>
      <w:r>
        <w:rPr>
          <w:rFonts w:ascii="Times New Roman" w:hAnsi="Times New Roman" w:eastAsia="Times New Roman" w:cs="Times New Roman"/>
          <w:sz w:val="21"/>
          <w:vertAlign w:val="superscript"/>
        </w:rPr>
        <w:t xml:space="preserve">1</w:t>
      </w:r>
      <w:r>
        <w:rPr>
          <w:rFonts w:ascii="Times New Roman" w:hAnsi="Times New Roman" w:eastAsia="Times New Roman" w:cs="Times New Roman"/>
          <w:sz w:val="21"/>
        </w:rPr>
        <w:t xml:space="preserve">.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principal workflow enforces reactive-power limits, resolves once after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boundary reconstruction, and performs a bounded tap search. Generators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outside the PV rule remain constant active and reactive power (PQ).</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Table 4 lists seasonal ratings, PV/PQ rules, compensation, reactors,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boundary weights, and numerical settings. These common settings 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computational proxies rather than operator control policies.</w:t>
      </w:r>
    </w:p>
    <w:bookmarkEnd w:id="33"/>
    <w:bookmarkStart w:id="34" w:name="monthly-execution"/>
    <w:p>
      <w:pPr>
        <w:pStyle w:val="Heading3"/>
        <w:keepNext/>
        <w:keepLines/>
        <w:widowControl/>
      </w:pPr>
      <w:r>
        <w:rPr>
          <w:rFonts w:ascii="Times New Roman" w:hAnsi="Times New Roman" w:eastAsia="Times New Roman" w:cs="Times New Roman"/>
          <w:sz w:val="22"/>
        </w:rPr>
        <w:t xml:space="preserve">Monthly execution</w:t>
      </w:r>
    </w:p>
    <w:p>
      <w:pPr>
        <w:pStyle w:val="FirstParagraph"/>
        <w:widowControl/>
      </w:pPr>
      <w:r>
        <w:rPr>
          <w:rFonts w:ascii="Times New Roman" w:hAnsi="Times New Roman" w:eastAsia="Times New Roman" w:cs="Times New Roman"/>
          <w:sz w:val="21"/>
        </w:rPr>
        <w:t xml:space="preserve">Cases are processed in parallel by civil month. Workers read inputs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solve cases independently, whereas the parent process writes summaries,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state arrays, and audit bundles in one transaction. Re-runs skip</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complete cases and retry failed cases. A month is complete only when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expected cases, completed cases, state arrays, and audit bundles agree.</w:t>
      </w:r>
    </w:p>
    <w:p>
      <w:pPr>
        <w:pStyle w:val="TableCaption"/>
        <w:keepNext/>
        <w:widowControl/>
      </w:pPr>
      <w:r>
        <w:rPr>
          <w:rFonts w:ascii="Times New Roman" w:hAnsi="Times New Roman" w:eastAsia="Times New Roman" w:cs="Times New Roman"/>
          <w:b/>
          <w:bCs/>
          <w:sz w:val="18"/>
        </w:rPr>
        <w:t xml:space="preserve">Table 4—Case and solver settings.</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Item</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Scope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Target / base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Limit / range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Steps / rule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Status</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Rating</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Lines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May–Sep 1.00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Dec–Feb 1.15</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Mar–Apr, Oct–Nov 1.10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Proxy</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PV eligibility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Non-battery generation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 20 MW</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 60</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PV mode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Proxy</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PV / Q</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PV generation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1.0 p.u.</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±0.50 Mvar/MW</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Q limits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Proxy</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Compensation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Loads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Power factor 0.98</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 15 Mvar/bus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Per</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bus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Proxy</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Reactors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400 kV buses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150 Mvar</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5 units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Shunt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Proxy</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Boundary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Boundary nodes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 angle reference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Voltage × circuits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Derived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Solver</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AC power flow</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NR / DC start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10⁻⁶ MVA</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Q limits; 50</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iterations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Solver</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Taps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High-side transformer</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0.985–1.015 p.u.</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±8 × 1.25%</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16</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rounds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Proxy</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Screening</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Buses / branches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0.90–1.10 p.u.</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100% loading</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Retain</w:t>
            </w:r>
            <w:r>
              <w:rPr>
                <w:rFonts w:ascii="Times New Roman" w:hAnsi="Times New Roman" w:eastAsia="Times New Roman" w:cs="Times New Roman"/>
                <w:b w:val="0"/>
                <w:sz w:val="16"/>
              </w:rPr>
              <w:t xml:space="preserve"> </w:t>
            </w:r>
            <w:r>
              <w:rPr>
                <w:rFonts w:ascii="Times New Roman" w:hAnsi="Times New Roman" w:eastAsia="Times New Roman" w:cs="Times New Roman"/>
                <w:b w:val="0"/>
                <w:sz w:val="16"/>
              </w:rPr>
              <w:t xml:space="preserve">violations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Screen</w:t>
            </w:r>
          </w:p>
        </w:tc>
      </w:tr>
    </w:tbl>
    <w:p>
      <w:pPr>
        <w:pStyle w:val="BodyText"/>
        <w:widowControl/>
        <w:jc w:val="left"/>
      </w:pPr>
      <w:r>
        <w:rPr>
          <w:rFonts w:ascii="Times New Roman" w:hAnsi="Times New Roman" w:eastAsia="Times New Roman" w:cs="Times New Roman"/>
          <w:b/>
          <w:bCs/>
          <w:sz w:val="21"/>
        </w:rPr>
        <w:t xml:space="preserve">Table note.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Multipliers are relative to the summer rating.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Settings are frozen in</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model_config.json</w:t>
      </w:r>
      <w:r>
        <w:rPr>
          <w:rFonts w:ascii="Times New Roman" w:hAnsi="Times New Roman" w:eastAsia="Times New Roman" w:cs="Times New Roman"/>
          <w:sz w:val="21"/>
        </w:rPr>
        <w:t xml:space="preserve">.</w:t>
      </w:r>
    </w:p>
    <w:bookmarkEnd w:id="34"/>
    <w:bookmarkEnd w:id="35"/>
    <w:bookmarkStart w:id="38" w:name="X5b1205fc031ccf504910739c33b3a1b98fddb89"/>
    <w:p>
      <w:pPr>
        <w:pStyle w:val="Heading2"/>
        <w:keepNext/>
        <w:keepLines/>
        <w:widowControl/>
      </w:pPr>
      <w:r>
        <w:rPr>
          <w:rFonts w:ascii="Times New Roman" w:hAnsi="Times New Roman" w:eastAsia="Times New Roman" w:cs="Times New Roman"/>
          <w:sz w:val="24"/>
        </w:rPr>
        <w:t xml:space="preserve">Layered storage, provenance, and quality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control</w:t>
      </w:r>
    </w:p>
    <w:bookmarkStart w:id="36" w:name="database-and-provenance"/>
    <w:p>
      <w:pPr>
        <w:pStyle w:val="Heading3"/>
        <w:keepNext/>
        <w:keepLines/>
        <w:widowControl/>
      </w:pPr>
      <w:r>
        <w:rPr>
          <w:rFonts w:ascii="Times New Roman" w:hAnsi="Times New Roman" w:eastAsia="Times New Roman" w:cs="Times New Roman"/>
          <w:sz w:val="22"/>
        </w:rPr>
        <w:t xml:space="preserve">Database and provenance</w:t>
      </w:r>
    </w:p>
    <w:p>
      <w:pPr>
        <w:pStyle w:val="FirstParagraph"/>
        <w:widowControl/>
        <w:jc w:val="left"/>
      </w:pPr>
      <w:r>
        <w:rPr>
          <w:rFonts w:ascii="Times New Roman" w:hAnsi="Times New Roman" w:eastAsia="Times New Roman" w:cs="Times New Roman"/>
          <w:sz w:val="21"/>
        </w:rPr>
        <w:t xml:space="preserve">The main DuckDB stores sources in</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raw_eredes</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raw_dgeg</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raw_osm</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raw_reference</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raw_documents</w:t>
      </w:r>
      <w:r>
        <w:rPr>
          <w:rFonts w:ascii="Times New Roman" w:hAnsi="Times New Roman" w:eastAsia="Times New Roman" w:cs="Times New Roman"/>
          <w:sz w:val="21"/>
        </w:rPr>
        <w:t xml:space="preserve">, 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raw_eredes_aux</w:t>
      </w:r>
      <w:r>
        <w:rPr>
          <w:rFonts w:ascii="Times New Roman" w:hAnsi="Times New Roman" w:eastAsia="Times New Roman" w:cs="Times New Roman"/>
          <w:sz w:val="21"/>
        </w:rPr>
        <w:t xml:space="preserve">. The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grid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geo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schemas store the static network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geometry,</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scenario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stores asset operating points,</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main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stores the common calendar and operating series, 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provenance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stores file- and entity-level lineage.</w:t>
      </w:r>
    </w:p>
    <w:p>
      <w:pPr>
        <w:pStyle w:val="BodyText"/>
        <w:widowControl/>
        <w:jc w:val="left"/>
      </w:pPr>
      <w:r>
        <w:rPr>
          <w:rFonts w:ascii="Times New Roman" w:hAnsi="Times New Roman" w:eastAsia="Times New Roman" w:cs="Times New Roman"/>
          <w:sz w:val="21"/>
        </w:rPr>
        <w:t xml:space="preserve">Each month has a separate result database.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monthly_model.cases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stores one row per timestamp with status, summary metrics, and a</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complete JavaScript Object Notation (JSON) result.</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bus_order</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line_order</w:t>
      </w:r>
      <w:r>
        <w:rPr>
          <w:rFonts w:ascii="Times New Roman" w:hAnsi="Times New Roman" w:eastAsia="Times New Roman" w:cs="Times New Roman"/>
          <w:sz w:val="21"/>
        </w:rPr>
        <w:t xml:space="preserve">, 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state_arrays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store bus voltage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line-loading arrays in fixed equipment order.</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audit_bundles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preserve load, generation, boundary, hotspot, and loss records. Views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expand arrays to equipment-long tables. The static model is copied once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per monthly database rather than repeated for every case.</w:t>
      </w:r>
    </w:p>
    <w:p>
      <w:pPr>
        <w:pStyle w:val="BodyText"/>
        <w:widowControl/>
        <w:jc w:val="left"/>
      </w:pPr>
      <w:r>
        <w:rPr>
          <w:rFonts w:ascii="Times New Roman" w:hAnsi="Times New Roman" w:eastAsia="Times New Roman" w:cs="Times New Roman"/>
          <w:sz w:val="21"/>
        </w:rPr>
        <w:t xml:space="preserve">Source records include URL, archive path, file size, and SHA-256.</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table_lineage</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raw_record_locator</w:t>
      </w:r>
      <w:r>
        <w:rPr>
          <w:rFonts w:ascii="Times New Roman" w:hAnsi="Times New Roman" w:eastAsia="Times New Roman" w:cs="Times New Roman"/>
          <w:sz w:val="21"/>
        </w:rPr>
        <w:t xml:space="preserve">, 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entity_evidence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provide table-, record-, and evidence-level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traceability. Each monthly</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run_manifest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records input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fingerprints and case counts. The released data dictionary provides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complete data-layer, grain, field-type, constraint, and join-key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inventory.</w:t>
      </w:r>
    </w:p>
    <w:bookmarkEnd w:id="36"/>
    <w:bookmarkStart w:id="37" w:name="quality-control-and-recovery"/>
    <w:p>
      <w:pPr>
        <w:pStyle w:val="Heading3"/>
        <w:keepNext/>
        <w:keepLines/>
        <w:widowControl/>
      </w:pPr>
      <w:r>
        <w:rPr>
          <w:rFonts w:ascii="Times New Roman" w:hAnsi="Times New Roman" w:eastAsia="Times New Roman" w:cs="Times New Roman"/>
          <w:sz w:val="22"/>
        </w:rPr>
        <w:t xml:space="preserve">Quality control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recovery</w:t>
      </w:r>
    </w:p>
    <w:p>
      <w:pPr>
        <w:pStyle w:val="FirstParagraph"/>
        <w:widowControl/>
      </w:pPr>
      <w:r>
        <w:rPr>
          <w:rFonts w:ascii="Times New Roman" w:hAnsi="Times New Roman" w:eastAsia="Times New Roman" w:cs="Times New Roman"/>
          <w:sz w:val="21"/>
        </w:rPr>
        <w:t xml:space="preserve">Quality control has four levels. Static checks cover keys, endpoints,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voltage, length, connectivity, and the boundary inventory. Time-series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checks cover temporal alignment, source completeness, load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generation conservation, and capacity limits. Solver checks cover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convergence, voltage, loading, and the active-power-balance residual in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Equation (7):</w:t>
      </w:r>
    </w:p>
    <w:p>
      <w:pPr>
        <w:pStyle w:val="BodyText"/>
        <w:keepLines/>
        <w:widowControl/>
        <w:tabs>
          <w:tab w:val="center" w:pos="4680"/>
          <w:tab w:val="right" w:pos="9360"/>
        </w:tabs>
        <w:jc w:val="left"/>
      </w:pPr>
      <w:r>
        <w:tab/>
      </w:r>
      <m:oMath>
        <m:sSub>
          <m:e>
            <m:r>
              <m:t>ε</m:t>
            </m:r>
          </m:e>
          <m:sub>
            <m:r>
              <m:t>t</m:t>
            </m:r>
          </m:sub>
        </m:sSub>
        <m:r>
          <m:rPr>
            <m:sty m:val="p"/>
          </m:rPr>
          <m:t>=</m:t>
        </m:r>
        <m:sSubSup>
          <m:e>
            <m:r>
              <m:t>P</m:t>
            </m:r>
          </m:e>
          <m:sub>
            <m:r>
              <m:t>t</m:t>
            </m:r>
          </m:sub>
          <m:sup>
            <m:r>
              <m:rPr>
                <m:sty m:val="p"/>
              </m:rPr>
              <m:t>g</m:t>
            </m:r>
            <m:r>
              <m:rPr>
                <m:sty m:val="p"/>
              </m:rPr>
              <m:t>e</m:t>
            </m:r>
            <m:r>
              <m:rPr>
                <m:sty m:val="p"/>
              </m:rPr>
              <m:t>n</m:t>
            </m:r>
          </m:sup>
        </m:sSubSup>
        <m:r>
          <m:rPr>
            <m:sty m:val="p"/>
          </m:rPr>
          <m:t>+</m:t>
        </m:r>
        <m:sSubSup>
          <m:e>
            <m:r>
              <m:t>P</m:t>
            </m:r>
          </m:e>
          <m:sub>
            <m:r>
              <m:t>t</m:t>
            </m:r>
          </m:sub>
          <m:sup>
            <m:r>
              <m:rPr>
                <m:sty m:val="p"/>
              </m:rPr>
              <m:t>m</m:t>
            </m:r>
            <m:r>
              <m:rPr>
                <m:sty m:val="p"/>
              </m:rPr>
              <m:t>o</m:t>
            </m:r>
            <m:r>
              <m:rPr>
                <m:sty m:val="p"/>
              </m:rPr>
              <m:t>d</m:t>
            </m:r>
            <m:r>
              <m:rPr>
                <m:sty m:val="p"/>
              </m:rPr>
              <m:t>e</m:t>
            </m:r>
            <m:r>
              <m:rPr>
                <m:sty m:val="p"/>
              </m:rPr>
              <m:t>l</m:t>
            </m:r>
            <m:r>
              <m:rPr>
                <m:sty m:val="p"/>
              </m:rPr>
              <m:t>,</m:t>
            </m:r>
            <m:r>
              <m:rPr>
                <m:sty m:val="p"/>
              </m:rPr>
              <m:t>n</m:t>
            </m:r>
            <m:r>
              <m:rPr>
                <m:sty m:val="p"/>
              </m:rPr>
              <m:t>e</m:t>
            </m:r>
            <m:r>
              <m:rPr>
                <m:sty m:val="p"/>
              </m:rPr>
              <m:t>t</m:t>
            </m:r>
          </m:sup>
        </m:sSubSup>
        <m:r>
          <m:rPr>
            <m:sty m:val="p"/>
          </m:rPr>
          <m:t>−</m:t>
        </m:r>
        <m:sSubSup>
          <m:e>
            <m:r>
              <m:t>P</m:t>
            </m:r>
          </m:e>
          <m:sub>
            <m:r>
              <m:t>t</m:t>
            </m:r>
          </m:sub>
          <m:sup>
            <m:r>
              <m:rPr>
                <m:sty m:val="p"/>
              </m:rPr>
              <m:t>l</m:t>
            </m:r>
            <m:r>
              <m:rPr>
                <m:sty m:val="p"/>
              </m:rPr>
              <m:t>o</m:t>
            </m:r>
            <m:r>
              <m:rPr>
                <m:sty m:val="p"/>
              </m:rPr>
              <m:t>a</m:t>
            </m:r>
            <m:r>
              <m:rPr>
                <m:sty m:val="p"/>
              </m:rPr>
              <m:t>d</m:t>
            </m:r>
          </m:sup>
        </m:sSubSup>
        <m:r>
          <m:rPr>
            <m:sty m:val="p"/>
          </m:rPr>
          <m:t>−</m:t>
        </m:r>
        <m:sSubSup>
          <m:e>
            <m:r>
              <m:t>P</m:t>
            </m:r>
          </m:e>
          <m:sub>
            <m:r>
              <m:t>t</m:t>
            </m:r>
          </m:sub>
          <m:sup>
            <m:r>
              <m:rPr>
                <m:sty m:val="p"/>
              </m:rPr>
              <m:t>l</m:t>
            </m:r>
            <m:r>
              <m:rPr>
                <m:sty m:val="p"/>
              </m:rPr>
              <m:t>o</m:t>
            </m:r>
            <m:r>
              <m:rPr>
                <m:sty m:val="p"/>
              </m:rPr>
              <m:t>s</m:t>
            </m:r>
            <m:r>
              <m:rPr>
                <m:sty m:val="p"/>
              </m:rPr>
              <m:t>s</m:t>
            </m:r>
          </m:sup>
        </m:sSubSup>
        <m:r>
          <m:rPr>
            <m:sty m:val="p"/>
          </m:rPr>
          <m:t>.</m:t>
        </m:r>
      </m:oMath>
      <w:r>
        <w:rPr>
          <w:rFonts w:ascii="Times New Roman" w:hAnsi="Times New Roman" w:eastAsia="Times New Roman" w:cs="Times New Roman"/>
          <w:sz w:val="21"/>
        </w:rPr>
        <w:tab/>
        <w:t>(7)</w:t>
      </w:r>
    </w:p>
    <w:p>
      <w:pPr>
        <w:pStyle w:val="FirstParagraph"/>
        <w:widowControl/>
      </w:pPr>
      <w:r>
        <w:rPr>
          <w:rFonts w:ascii="Times New Roman" w:hAnsi="Times New Roman" w:eastAsia="Times New Roman" w:cs="Times New Roman"/>
          <w:sz w:val="21"/>
        </w:rPr>
        <w:t xml:space="preserve">External checks use E-REDES national, municipal, substation, production,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injection statistics that were excluded from nodal construction,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together with REN exchange and monthly loss reports. The 0.90–1.10 p.u.</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voltage band and 100% loading threshold are screening criteria;</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violating cases remain in the release.</w:t>
      </w:r>
    </w:p>
    <w:p>
      <w:pPr>
        <w:pStyle w:val="BodyText"/>
        <w:widowControl/>
      </w:pPr>
      <w:r>
        <w:rPr>
          <w:rFonts w:ascii="Times New Roman" w:hAnsi="Times New Roman" w:eastAsia="Times New Roman" w:cs="Times New Roman"/>
          <w:sz w:val="21"/>
        </w:rPr>
        <w:t xml:space="preserve">A case summary, state arrays, and audit bundle are committed in one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transaction. Any failure rolls back the full case and retains an error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record. Before formal monthly release, expected intervals, completed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cases, state arrays, and audit bundles must have matching counts; a</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failed check prevents the month from being marked complete. Thresholds,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failure states, and record locations are preserved in the released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configuration, case tables, audit bundles, and run manifests.</w:t>
      </w:r>
    </w:p>
    <w:bookmarkEnd w:id="37"/>
    <w:bookmarkEnd w:id="38"/>
    <w:bookmarkEnd w:id="39"/>
    <w:bookmarkStart w:id="48" w:name="data-records"/>
    <w:p>
      <w:pPr>
        <w:pStyle w:val="Heading1"/>
        <w:keepNext/>
        <w:keepLines/>
        <w:widowControl/>
      </w:pPr>
      <w:r>
        <w:rPr>
          <w:rFonts w:ascii="Times New Roman" w:hAnsi="Times New Roman" w:eastAsia="Times New Roman" w:cs="Times New Roman"/>
          <w:sz w:val="28"/>
        </w:rPr>
        <w:t xml:space="preserve">Data Records</w:t>
      </w:r>
    </w:p>
    <w:p>
      <w:pPr>
        <w:pStyle w:val="FirstParagraph"/>
        <w:widowControl/>
      </w:pPr>
      <w:r>
        <w:rPr>
          <w:rFonts w:ascii="Times New Roman" w:hAnsi="Times New Roman" w:eastAsia="Times New Roman" w:cs="Times New Roman"/>
          <w:sz w:val="21"/>
        </w:rPr>
        <w:t xml:space="preserve">SimPT60 comprises one main database and 11 monthly power-flow result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databases. The main database contains the static network, common time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series, source records, and validation observations. Monthly databases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contain the 15-minute cases and their solved states. The frozen release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distinguishes the CORE-3783 and N1-3787 model variants and records their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permitted uses.</w:t>
      </w:r>
    </w:p>
    <w:bookmarkStart w:id="43" w:name="static-network-data"/>
    <w:p>
      <w:pPr>
        <w:pStyle w:val="Heading2"/>
        <w:keepNext/>
        <w:keepLines/>
        <w:widowControl/>
      </w:pPr>
      <w:r>
        <w:rPr>
          <w:rFonts w:ascii="Times New Roman" w:hAnsi="Times New Roman" w:eastAsia="Times New Roman" w:cs="Times New Roman"/>
          <w:sz w:val="24"/>
        </w:rPr>
        <w:t xml:space="preserve">Static network data</w:t>
      </w:r>
    </w:p>
    <w:p>
      <w:pPr>
        <w:pStyle w:val="FirstParagraph"/>
        <w:widowControl/>
        <w:jc w:val="left"/>
      </w:pPr>
      <w:r>
        <w:rPr>
          <w:rFonts w:ascii="Times New Roman" w:hAnsi="Times New Roman" w:eastAsia="Times New Roman" w:cs="Times New Roman"/>
          <w:sz w:val="21"/>
        </w:rPr>
        <w:t xml:space="preserve">The static network contains 675 facilities, 3,783 buses, 4,943 lines,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228 transformers, 1,190 generation or storage units, 468 load points,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seven Portugal–Spain boundary endpoints.</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grid.buses</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grid.lines</w:t>
      </w:r>
      <w:r>
        <w:rPr>
          <w:rFonts w:ascii="Times New Roman" w:hAnsi="Times New Roman" w:eastAsia="Times New Roman" w:cs="Times New Roman"/>
          <w:sz w:val="21"/>
        </w:rPr>
        <w:t xml:space="preserve">, 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grid.transformers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provide connectivity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electrical parameters;</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grid.generators</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grid.load_points</w:t>
      </w:r>
      <w:r>
        <w:rPr>
          <w:rFonts w:ascii="Times New Roman" w:hAnsi="Times New Roman" w:eastAsia="Times New Roman" w:cs="Times New Roman"/>
          <w:sz w:val="21"/>
        </w:rPr>
        <w:t xml:space="preserve">, 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grid.interconnectors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link</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assets to buses. Line and facility geometry is stored separately in</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geo.line_geometries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geo.facility_geometries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avoid duplicating spatial objects in electrical tables.</w:t>
      </w:r>
    </w:p>
    <w:p>
      <w:pPr>
        <w:pStyle w:val="BodyText"/>
        <w:widowControl/>
        <w:jc w:val="left"/>
      </w:pPr>
      <w:r>
        <w:rPr>
          <w:rFonts w:ascii="Times New Roman" w:hAnsi="Times New Roman" w:eastAsia="Times New Roman" w:cs="Times New Roman"/>
          <w:sz w:val="21"/>
        </w:rPr>
        <w:t xml:space="preserve">Equipment tables retain</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source</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source_status</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parameter_status</w:t>
      </w:r>
      <w:r>
        <w:rPr>
          <w:rFonts w:ascii="Times New Roman" w:hAnsi="Times New Roman" w:eastAsia="Times New Roman" w:cs="Times New Roman"/>
          <w:sz w:val="21"/>
        </w:rPr>
        <w:t xml:space="preserve">, and mapping-rule fields. Users can build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complete pandapower network, select only devices above an evidence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threshold, or identify components whose parameters were derived from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public records or engineering proxies.</w:t>
      </w:r>
    </w:p>
    <w:p>
      <w:pPr>
        <w:pStyle w:val="BodyText"/>
        <w:widowControl/>
      </w:pPr>
      <w:r>
        <w:rPr>
          <w:rFonts w:ascii="Times New Roman" w:hAnsi="Times New Roman" w:eastAsia="Times New Roman" w:cs="Times New Roman"/>
          <w:sz w:val="21"/>
        </w:rPr>
        <w:t xml:space="preserve">Figure 1 shows the geographic network and one archived operating state.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Projection and cartography use GeoPandas</w:t>
      </w:r>
      <w:r>
        <w:rPr>
          <w:rFonts w:ascii="Times New Roman" w:hAnsi="Times New Roman" w:eastAsia="Times New Roman" w:cs="Times New Roman"/>
          <w:sz w:val="21"/>
          <w:vertAlign w:val="superscript"/>
        </w:rPr>
        <w:t xml:space="preserve">21</w:t>
      </w:r>
      <w:r>
        <w:rPr>
          <w:rFonts w:ascii="Times New Roman" w:hAnsi="Times New Roman" w:eastAsia="Times New Roman" w:cs="Times New Roman"/>
          <w:sz w:val="21"/>
        </w:rPr>
        <w:t xml:space="preserve">.</w:t>
      </w:r>
    </w:p>
    <w:p>
      <w:pPr>
        <w:pStyle w:val="BodyText"/>
        <w:widowControl/>
      </w:pPr>
      <w:r>
        <w:rPr>
          <w:rFonts w:ascii="Times New Roman" w:hAnsi="Times New Roman" w:eastAsia="Times New Roman" w:cs="Times New Roman"/>
          <w:sz w:val="21"/>
        </w:rPr>
        <w:drawing>
          <wp:inline>
            <wp:extent cx="5623560" cy="4530089"/>
            <wp:effectExtent b="0" l="0" r="0" t="0"/>
            <wp:docPr descr="Figure 1—Geographic network and solved state at the annual peak. (a) The 60–400 kV network containing 3,783 buses and 4,943 lines; (b) line loading; and (c) bus voltage. All panels use EPSG:3763 with the same scale and extent, retain original line geometry and Portugal–Spain boundary endpoints, and show a 100 km scale bar. The operating state is the archived annual-peak model at 2026-01-15 12:15 UTC (load 11,329.2 MW), joined by stable equipment identifiers. Missing solved states remain grey and are not imputed. The loading scale retains values above 100%. Values are simulated power flows rather than measurements." title="Figure 1" id="41" name="Picture"/>
            <a:graphic>
              <a:graphicData uri="http://schemas.openxmlformats.org/drawingml/2006/picture">
                <pic:pic>
                  <pic:nvPicPr>
                    <pic:cNvPr descr="figures_final/fig01_geographic_network_state.png" id="42" name="Picture"/>
                    <pic:cNvPicPr>
                      <a:picLocks noChangeArrowheads="1" noChangeAspect="1"/>
                    </pic:cNvPicPr>
                  </pic:nvPicPr>
                  <pic:blipFill>
                    <a:blip r:embed="rId40"/>
                    <a:stretch>
                      <a:fillRect/>
                    </a:stretch>
                  </pic:blipFill>
                  <pic:spPr bwMode="auto">
                    <a:xfrm>
                      <a:off x="0" y="0"/>
                      <a:ext cx="5623560" cy="4530089"/>
                    </a:xfrm>
                    <a:prstGeom prst="rect">
                      <a:avLst/>
                    </a:prstGeom>
                    <a:noFill/>
                    <a:ln w="9525">
                      <a:noFill/>
                      <a:headEnd/>
                      <a:tailEnd/>
                    </a:ln>
                  </pic:spPr>
                </pic:pic>
              </a:graphicData>
            </a:graphic>
          </wp:inline>
        </w:drawing>
      </w:r>
    </w:p>
    <w:p>
      <w:pPr>
        <w:pStyle w:val="ImageCaption"/>
        <w:keepLines/>
        <w:widowControl/>
      </w:pPr>
      <w:r>
        <w:rPr>
          <w:rFonts w:ascii="Times New Roman" w:hAnsi="Times New Roman" w:eastAsia="Times New Roman" w:cs="Times New Roman"/>
          <w:b/>
          <w:bCs/>
          <w:sz w:val="18"/>
        </w:rPr>
        <w:t xml:space="preserve">Figure 1—Geographic network and solved state at the annual</w:t>
      </w:r>
      <w:r>
        <w:rPr>
          <w:rFonts w:ascii="Times New Roman" w:hAnsi="Times New Roman" w:eastAsia="Times New Roman" w:cs="Times New Roman"/>
          <w:b/>
          <w:bCs/>
          <w:sz w:val="18"/>
        </w:rPr>
        <w:t xml:space="preserve"> </w:t>
      </w:r>
      <w:r>
        <w:rPr>
          <w:rFonts w:ascii="Times New Roman" w:hAnsi="Times New Roman" w:eastAsia="Times New Roman" w:cs="Times New Roman"/>
          <w:b/>
          <w:bCs/>
          <w:sz w:val="18"/>
        </w:rPr>
        <w:t xml:space="preserve">peak.</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(a) The 60–400 kV network containing 3,783 buses and 4,943</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lines; (b) line loading; and (c) bus voltage. All panels use EPSG:3763</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with the same scale and extent, retain original line geometry and</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Portugal–Spain boundary endpoints, and show a 100 km scale bar. The</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operating state is the archived annual-peak model at 2026-01-15 12:15</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UTC (load 11,329.2 MW), joined by stable equipment identifiers. Missing</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solved states remain grey and are not imputed. The loading scale retains</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values above 100%. Values are simulated power flows rather than</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measurements.</w:t>
      </w:r>
    </w:p>
    <w:bookmarkEnd w:id="43"/>
    <w:bookmarkStart w:id="44" w:name="time-series-data"/>
    <w:p>
      <w:pPr>
        <w:pStyle w:val="Heading2"/>
        <w:keepNext/>
        <w:keepLines/>
        <w:widowControl/>
      </w:pPr>
      <w:r>
        <w:rPr>
          <w:rFonts w:ascii="Times New Roman" w:hAnsi="Times New Roman" w:eastAsia="Times New Roman" w:cs="Times New Roman"/>
          <w:sz w:val="24"/>
        </w:rPr>
        <w:t xml:space="preserve">Time-series data</w:t>
      </w:r>
    </w:p>
    <w:p>
      <w:pPr>
        <w:pStyle w:val="FirstParagraph"/>
        <w:widowControl/>
        <w:jc w:val="left"/>
      </w:pPr>
      <w:r>
        <w:rPr>
          <w:rStyle w:val="VerbatimChar"/>
          <w:rFonts w:ascii="Times New Roman" w:hAnsi="Times New Roman" w:eastAsia="Times New Roman" w:cs="Times New Roman"/>
          <w:sz w:val="21"/>
        </w:rPr>
        <w:t xml:space="preserve">main.interval_calendar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is the common index for all time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series. It covers 328 civil days from 2025-05-01 to 2026-03-24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contains 31,492 local 15-minute intervals. Interval counts follow</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Europe/Lisbon daylight-saving transitions and therefore need not equal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the number of days multiplied by 96.</w:t>
      </w:r>
    </w:p>
    <w:p>
      <w:pPr>
        <w:pStyle w:val="BodyText"/>
        <w:widowControl/>
        <w:jc w:val="left"/>
      </w:pPr>
      <w:r>
        <w:rPr>
          <w:rStyle w:val="VerbatimChar"/>
          <w:rFonts w:ascii="Times New Roman" w:hAnsi="Times New Roman" w:eastAsia="Times New Roman" w:cs="Times New Roman"/>
          <w:sz w:val="21"/>
        </w:rPr>
        <w:t xml:space="preserve">main.eredes_load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contains 12,360,502 load records for 397</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substations. Raw records extend to 2026-03-25, but the joint modelling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window ends on 2026-03-24.</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main.ren_dispatch</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contains 472,380</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records across 15 national operating series for load, generation by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technology, storage, and cross-border exchange.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main.weather_hourly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holds 23,616 hourly records for Lisbon,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Porto, and Faro;</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main.ren_rnt_balance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contains 660 monthly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balance records over 11 reporting periods.</w:t>
      </w:r>
    </w:p>
    <w:p>
      <w:pPr>
        <w:pStyle w:val="BodyText"/>
        <w:widowControl/>
      </w:pPr>
      <w:r>
        <w:rPr>
          <w:rFonts w:ascii="Times New Roman" w:hAnsi="Times New Roman" w:eastAsia="Times New Roman" w:cs="Times New Roman"/>
          <w:sz w:val="21"/>
        </w:rPr>
        <w:t xml:space="preserve">The database also archives 14 E-REDES auxiliary datasets with 2,239,064</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records. They cover national and municipal consumption, contracted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power, production, distribution-grid injection, distributed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self-consumption, seasonal substation loading, power quality,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continuity of supply. These tables are excluded from nodal-power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construction and serve as withheld public observations in Technical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Validation.</w:t>
      </w:r>
    </w:p>
    <w:bookmarkEnd w:id="44"/>
    <w:bookmarkStart w:id="45" w:name="time-indexed-power-flow-cases"/>
    <w:p>
      <w:pPr>
        <w:pStyle w:val="Heading2"/>
        <w:keepNext/>
        <w:keepLines/>
        <w:widowControl/>
      </w:pPr>
      <w:r>
        <w:rPr>
          <w:rFonts w:ascii="Times New Roman" w:hAnsi="Times New Roman" w:eastAsia="Times New Roman" w:cs="Times New Roman"/>
          <w:sz w:val="24"/>
        </w:rPr>
        <w:t xml:space="preserve">Time-indexed power-flow</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cases</w:t>
      </w:r>
    </w:p>
    <w:p>
      <w:pPr>
        <w:pStyle w:val="FirstParagraph"/>
        <w:widowControl/>
      </w:pPr>
      <w:r>
        <w:rPr>
          <w:rFonts w:ascii="Times New Roman" w:hAnsi="Times New Roman" w:eastAsia="Times New Roman" w:cs="Times New Roman"/>
          <w:sz w:val="21"/>
        </w:rPr>
        <w:t xml:space="preserve">Interval results are partitioned by civil month to limit file size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support selective download. Eleven compact monthly databases map</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one-to-one to the common calendar and contain 31,492 cases. Every case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in the present release completed AC power flow and is marked as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converged. October 2025 contains 2,980 intervals because daylight saving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time ends, whereas March 2026 covers only the first 24 days and contains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2,304 intervals.</w:t>
      </w:r>
    </w:p>
    <w:p>
      <w:pPr>
        <w:pStyle w:val="BodyText"/>
        <w:widowControl/>
        <w:jc w:val="left"/>
      </w:pPr>
      <w:r>
        <w:rPr>
          <w:rFonts w:ascii="Times New Roman" w:hAnsi="Times New Roman" w:eastAsia="Times New Roman" w:cs="Times New Roman"/>
          <w:sz w:val="21"/>
        </w:rPr>
        <w:t xml:space="preserve">Each case retains summary values, equipment-state arrays, and an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allocation audit bundle. Fixed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bus_order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line_order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tables expand state arrays to equipment-long form;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the static device order is stored once per month. The released data</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dictionary lists all fields and joins.</w:t>
      </w:r>
    </w:p>
    <w:p>
      <w:pPr>
        <w:pStyle w:val="BodyText"/>
        <w:widowControl/>
      </w:pPr>
      <w:r>
        <w:rPr>
          <w:rFonts w:ascii="Times New Roman" w:hAnsi="Times New Roman" w:eastAsia="Times New Roman" w:cs="Times New Roman"/>
          <w:sz w:val="21"/>
        </w:rPr>
        <w:t xml:space="preserve">The main database also contains a sampled N−1 screening panel at six</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preselected operating times: maximum and minimum load, maximum wind,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maximum photovoltaic generation, maximum net import, and maximum net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export. The same 1,649 outage groups are used at every time, comprising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1,421 line-circuit groups and 228 transformer groups, for 9,894</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contingency-level records. Line eligibility excludes 156 out-of-service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rows, two station busbars, and 14 rows without a finite base-case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result; the latter category is distinct from zero current and from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out-of-service status. Dedicated scenario tables store membership,</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post-contingency overloads, islands, solution status, control-search</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bounds, and run provenance. These sampled records remain separate from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the continuous 15-minute cases.</w:t>
      </w:r>
    </w:p>
    <w:bookmarkEnd w:id="45"/>
    <w:bookmarkStart w:id="46" w:name="file-organization-and-distribution"/>
    <w:p>
      <w:pPr>
        <w:pStyle w:val="Heading2"/>
        <w:keepNext/>
        <w:keepLines/>
        <w:widowControl/>
      </w:pPr>
      <w:r>
        <w:rPr>
          <w:rFonts w:ascii="Times New Roman" w:hAnsi="Times New Roman" w:eastAsia="Times New Roman" w:cs="Times New Roman"/>
          <w:sz w:val="24"/>
        </w:rPr>
        <w:t xml:space="preserve">File organization 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distribution</w:t>
      </w:r>
    </w:p>
    <w:p>
      <w:pPr>
        <w:pStyle w:val="FirstParagraph"/>
        <w:widowControl/>
      </w:pPr>
      <w:r>
        <w:rPr>
          <w:rFonts w:ascii="Times New Roman" w:hAnsi="Times New Roman" w:eastAsia="Times New Roman" w:cs="Times New Roman"/>
          <w:sz w:val="21"/>
        </w:rPr>
        <w:t xml:space="preserve">The frozen release comprises the analysis-ready main database, 11</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monthly result databases, source and provenance records, validation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products, and scenario records. Stable model identifiers join the static</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network to the common calendar in the main database. Case identifiers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fixed equipment order join summaries, state arrays, and audit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bundles in the monthly databases. Raw files are distributed when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licensing permits; otherwise, the release provides source metadata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download scripts.</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release.json</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SHA256SUMS</w:t>
      </w:r>
      <w:r>
        <w:rPr>
          <w:rFonts w:ascii="Times New Roman" w:hAnsi="Times New Roman" w:eastAsia="Times New Roman" w:cs="Times New Roman"/>
          <w:sz w:val="21"/>
        </w:rPr>
        <w:t xml:space="preserve">, and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release README define file hashes, the environment, and reproduction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entry points.</w:t>
      </w:r>
    </w:p>
    <w:bookmarkEnd w:id="46"/>
    <w:bookmarkStart w:id="47" w:name="X839a8504b650dfee19a23816a63bd8c07b4f17f"/>
    <w:p>
      <w:pPr>
        <w:pStyle w:val="Heading2"/>
        <w:keepNext/>
        <w:keepLines/>
        <w:widowControl/>
      </w:pPr>
      <w:r>
        <w:rPr>
          <w:rFonts w:ascii="Times New Roman" w:hAnsi="Times New Roman" w:eastAsia="Times New Roman" w:cs="Times New Roman"/>
          <w:sz w:val="24"/>
        </w:rPr>
        <w:t xml:space="preserve">Frozen release and model-version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reconciliation</w:t>
      </w:r>
    </w:p>
    <w:p>
      <w:pPr>
        <w:pStyle w:val="FirstParagraph"/>
        <w:widowControl/>
        <w:jc w:val="left"/>
      </w:pPr>
      <w:r>
        <w:rPr>
          <w:rFonts w:ascii="Times New Roman" w:hAnsi="Times New Roman" w:eastAsia="Times New Roman" w:cs="Times New Roman"/>
          <w:sz w:val="21"/>
        </w:rPr>
        <w:t xml:space="preserve">The paper freezes release</w:t>
      </w:r>
      <w:r>
        <w:rPr>
          <w:rFonts w:ascii="Times New Roman" w:hAnsi="Times New Roman" w:eastAsia="Times New Roman" w:cs="Times New Roman"/>
          <w:sz w:val="21"/>
        </w:rPr>
        <w:t xml:space="preserve"> </w:t>
      </w:r>
      <w:r>
        <w:rPr>
          <w:rFonts w:ascii="Times New Roman" w:hAnsi="Times New Roman" w:eastAsia="Times New Roman" w:cs="Times New Roman"/>
          <w:b/>
          <w:bCs/>
          <w:sz w:val="21"/>
        </w:rPr>
        <w:t xml:space="preserve">SimPT60-2026.09.21-r1</w:t>
      </w:r>
      <w:r>
        <w:rPr>
          <w:rFonts w:ascii="Times New Roman" w:hAnsi="Times New Roman" w:eastAsia="Times New Roman" w:cs="Times New Roman"/>
          <w:sz w:val="21"/>
        </w:rPr>
        <w:t xml:space="preserve">. The 31,492</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historical cases and the main technical validation use CORE-3783: 3,783</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buses, 4,943 lines, and 228 transformer rows. The sampled contingency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panel uses N1-3787. That variant adds four colocated connection nodes to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correct the Lanheses–Feitosa topology while retaining 4,943 line rows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228 transformer rows. The single Estoi transformer row represents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three parallel 126 MVA units rather than one equivalent unit;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consequently, N1-3787 contains 230 equivalent transformer units but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still 228 transformer rows and 228 transformer outage groups. An Estoi</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unit outage is represented by decreasing the row’s parallel count from</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three to two. Results from the two variants cannot be interchanged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attributed to one model. The release manifest 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model_field_diff.csv</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record the field-level differences,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hashes, environment, and replay commands.</w:t>
      </w:r>
    </w:p>
    <w:bookmarkEnd w:id="47"/>
    <w:bookmarkEnd w:id="48"/>
    <w:bookmarkStart w:id="52" w:name="data-overview"/>
    <w:p>
      <w:pPr>
        <w:pStyle w:val="Heading1"/>
        <w:keepNext/>
        <w:keepLines/>
        <w:widowControl/>
      </w:pPr>
      <w:r>
        <w:rPr>
          <w:rFonts w:ascii="Times New Roman" w:hAnsi="Times New Roman" w:eastAsia="Times New Roman" w:cs="Times New Roman"/>
          <w:sz w:val="28"/>
        </w:rPr>
        <w:t xml:space="preserve">Data Overview</w:t>
      </w:r>
    </w:p>
    <w:p>
      <w:pPr>
        <w:pStyle w:val="FirstParagraph"/>
        <w:widowControl/>
      </w:pPr>
      <w:r>
        <w:rPr>
          <w:rFonts w:ascii="Times New Roman" w:hAnsi="Times New Roman" w:eastAsia="Times New Roman" w:cs="Times New Roman"/>
          <w:sz w:val="21"/>
        </w:rPr>
        <w:t xml:space="preserve">Figure 2 shows interval availability, the peak-load week, and monthly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case completeness.</w:t>
      </w:r>
    </w:p>
    <w:p>
      <w:pPr>
        <w:pStyle w:val="BodyText"/>
        <w:widowControl/>
      </w:pPr>
      <w:r>
        <w:rPr>
          <w:rFonts w:ascii="Times New Roman" w:hAnsi="Times New Roman" w:eastAsia="Times New Roman" w:cs="Times New Roman"/>
          <w:sz w:val="21"/>
        </w:rPr>
        <w:drawing>
          <wp:inline>
            <wp:extent cx="5623560" cy="3905249"/>
            <wp:effectExtent b="0" l="0" r="0" t="0"/>
            <wp:docPr descr="Figure 2—Temporal coverage and case completeness. (a) Daily fractions of available model cases, paired national-consumption observations, and paired wind observations. Denominators follow Lisbon civil days and daylight saving time; missing data are shown without interpolation. (b) The complete civil week containing maximum system load, with total electric load, generation, and REN net import. (c) Completed and converged 15-minute cases by month, totaling 31,492. The common window is 2025-05-01 to 2026-03-24; October contains the repeated daylight-saving hour, and March is partial through day 24." title="Figure 2" id="50" name="Picture"/>
            <a:graphic>
              <a:graphicData uri="http://schemas.openxmlformats.org/drawingml/2006/picture">
                <pic:pic>
                  <pic:nvPicPr>
                    <pic:cNvPr descr="figures_final/fig02_temporal_coverage.png" id="51" name="Picture"/>
                    <pic:cNvPicPr>
                      <a:picLocks noChangeArrowheads="1" noChangeAspect="1"/>
                    </pic:cNvPicPr>
                  </pic:nvPicPr>
                  <pic:blipFill>
                    <a:blip r:embed="rId49"/>
                    <a:stretch>
                      <a:fillRect/>
                    </a:stretch>
                  </pic:blipFill>
                  <pic:spPr bwMode="auto">
                    <a:xfrm>
                      <a:off x="0" y="0"/>
                      <a:ext cx="5623560" cy="3905249"/>
                    </a:xfrm>
                    <a:prstGeom prst="rect">
                      <a:avLst/>
                    </a:prstGeom>
                    <a:noFill/>
                    <a:ln w="9525">
                      <a:noFill/>
                      <a:headEnd/>
                      <a:tailEnd/>
                    </a:ln>
                  </pic:spPr>
                </pic:pic>
              </a:graphicData>
            </a:graphic>
          </wp:inline>
        </w:drawing>
      </w:r>
    </w:p>
    <w:p>
      <w:pPr>
        <w:pStyle w:val="ImageCaption"/>
        <w:keepLines/>
        <w:widowControl/>
      </w:pPr>
      <w:r>
        <w:rPr>
          <w:rFonts w:ascii="Times New Roman" w:hAnsi="Times New Roman" w:eastAsia="Times New Roman" w:cs="Times New Roman"/>
          <w:b/>
          <w:bCs/>
          <w:sz w:val="18"/>
        </w:rPr>
        <w:t xml:space="preserve">Figure 2—Temporal coverage and case completeness.</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(a) Daily</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fractions of available model cases, paired national-consumption</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observations, and paired wind observations. Denominators follow Lisbon</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civil days and daylight saving time; missing data are shown without</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interpolation. (b) The complete civil week containing maximum system</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load, with total electric load, generation, and REN net import. (c)</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Completed and converged 15-minute cases by month, totaling 31,492. The</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common window is 2025-05-01 to 2026-03-24; October contains the repeated</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daylight-saving hour, and March is partial through day 24.</w:t>
      </w:r>
    </w:p>
    <w:p>
      <w:pPr>
        <w:pStyle w:val="BodyText"/>
        <w:widowControl/>
      </w:pPr>
      <w:r>
        <w:rPr>
          <w:rFonts w:ascii="Times New Roman" w:hAnsi="Times New Roman" w:eastAsia="Times New Roman" w:cs="Times New Roman"/>
          <w:sz w:val="21"/>
        </w:rPr>
        <w:t xml:space="preserve">Table 5 summarizes the principal static, time-series, validation,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application objects.</w:t>
      </w:r>
    </w:p>
    <w:p>
      <w:pPr>
        <w:pStyle w:val="TableCaption"/>
        <w:keepNext/>
        <w:widowControl/>
      </w:pPr>
      <w:r>
        <w:rPr>
          <w:rFonts w:ascii="Times New Roman" w:hAnsi="Times New Roman" w:eastAsia="Times New Roman" w:cs="Times New Roman"/>
          <w:b/>
          <w:bCs/>
          <w:sz w:val="18"/>
        </w:rPr>
        <w:t xml:space="preserve">Table 5—Principal dataset statistics.</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Group</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Object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Entity count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Record / case count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Cadence / grouping</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Variant</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Static</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Facilities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675</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Snapshot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CORE-3783</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Static</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Buses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3,783</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Snapshot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CORE-3783</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Static</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Lines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4,943</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Snapshot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CORE-3783</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Static</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Transformers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228</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Snapshot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CORE-3783</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Static</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Generation / storage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1,190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Snapshot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CORE-3783</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Static</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Loads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468</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Snapshot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CORE-3783</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Static</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Border endpoints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7</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Snapshot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CORE-3783</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Active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Buses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3,664</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Connected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CORE-3783</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Active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Lines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4,787</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Connected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CORE-3783</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Series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Calendar</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328 days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31,492 intervals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 min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CORE-3783</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Series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Station energy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397 stations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12,360,502</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 min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Input</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Series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REN series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 series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472,380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 min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Input</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Context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Weather</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 locations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23,616</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Hourly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Input</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Context</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Monthly balance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11 periods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660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Monthly</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Input</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Validation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Auxiliary products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14 products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2,239,064</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Mixed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Withheld</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Cases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Monthly databases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11 files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31,492</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 min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CORE-3783</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N−1</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Sampled times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6</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9,894</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1,649/time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N1-3787</w:t>
            </w:r>
          </w:p>
        </w:tc>
      </w:tr>
    </w:tbl>
    <w:p>
      <w:pPr>
        <w:pStyle w:val="BodyText"/>
        <w:widowControl/>
      </w:pPr>
      <w:r>
        <w:rPr>
          <w:rFonts w:ascii="Times New Roman" w:hAnsi="Times New Roman" w:eastAsia="Times New Roman" w:cs="Times New Roman"/>
          <w:b/>
          <w:bCs/>
          <w:sz w:val="21"/>
        </w:rPr>
        <w:t xml:space="preserve">Table note.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CORE-3783 counts apply except to the N−1 row, which</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uses N1-3787 and 1,649 outage groups per time.</w:t>
      </w:r>
    </w:p>
    <w:bookmarkEnd w:id="52"/>
    <w:bookmarkStart w:id="76" w:name="technical-validation"/>
    <w:p>
      <w:pPr>
        <w:pStyle w:val="Heading1"/>
        <w:keepNext/>
        <w:keepLines/>
        <w:widowControl/>
      </w:pPr>
      <w:r>
        <w:rPr>
          <w:rFonts w:ascii="Times New Roman" w:hAnsi="Times New Roman" w:eastAsia="Times New Roman" w:cs="Times New Roman"/>
          <w:sz w:val="28"/>
        </w:rPr>
        <w:t xml:space="preserve">Technical Validation</w:t>
      </w:r>
    </w:p>
    <w:p>
      <w:pPr>
        <w:pStyle w:val="FirstParagraph"/>
        <w:widowControl/>
      </w:pPr>
      <w:r>
        <w:rPr>
          <w:rFonts w:ascii="Times New Roman" w:hAnsi="Times New Roman" w:eastAsia="Times New Roman" w:cs="Times New Roman"/>
          <w:sz w:val="21"/>
        </w:rPr>
        <w:t xml:space="preserve">No contemporaneous operator network model or branch-level state estimate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was available at the spatial extent of SimPT60. Validation therefore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does not target equipment-level error. It evaluates research</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plausibility and usability through network structure, computational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consistency, sensitivity to modelling assumptions, and comparison with</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public observations.</w:t>
      </w:r>
    </w:p>
    <w:bookmarkStart w:id="53" w:name="validation-design-and-evidence-levels"/>
    <w:p>
      <w:pPr>
        <w:pStyle w:val="Heading2"/>
        <w:keepNext/>
        <w:keepLines/>
        <w:widowControl/>
      </w:pPr>
      <w:r>
        <w:rPr>
          <w:rFonts w:ascii="Times New Roman" w:hAnsi="Times New Roman" w:eastAsia="Times New Roman" w:cs="Times New Roman"/>
          <w:sz w:val="24"/>
        </w:rPr>
        <w:t xml:space="preserve">Validation design and evidence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levels</w:t>
      </w:r>
    </w:p>
    <w:p>
      <w:pPr>
        <w:pStyle w:val="FirstParagraph"/>
        <w:widowControl/>
      </w:pPr>
      <w:r>
        <w:rPr>
          <w:rFonts w:ascii="Times New Roman" w:hAnsi="Times New Roman" w:eastAsia="Times New Roman" w:cs="Times New Roman"/>
          <w:sz w:val="21"/>
        </w:rPr>
        <w:t xml:space="preserve">Validation has three layers. Public structural records and sensitivity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tests evaluate the network representation. E-REDES products withheld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from nodal-power construction evaluate aggregate temporal and spatial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behaviour. Case completeness, convergence, and power balance evaluate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internal computational consistency. Comparisons are paired by common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timestamp or region without interpolation or removal of anomalous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months. Ninety-five-percent confidence intervals use clustered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resampling by civil day or spatial entity.</w:t>
      </w:r>
    </w:p>
    <w:p>
      <w:pPr>
        <w:pStyle w:val="BodyText"/>
        <w:widowControl/>
      </w:pPr>
      <w:r>
        <w:rPr>
          <w:rFonts w:ascii="Times New Roman" w:hAnsi="Times New Roman" w:eastAsia="Times New Roman" w:cs="Times New Roman"/>
          <w:sz w:val="21"/>
        </w:rPr>
        <w:t xml:space="preserve">The evidence layers answer different questions. REN and E-REDES demand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generation products do not share identical accounting boundaries,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municipal or substation statistics are not line-flow truth.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target is therefore research-level plausibility and usability rather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than equipment-level accuracy.</w:t>
      </w:r>
    </w:p>
    <w:bookmarkEnd w:id="53"/>
    <w:bookmarkStart w:id="57" w:name="structural-and-computational-consistency"/>
    <w:p>
      <w:pPr>
        <w:pStyle w:val="Heading2"/>
        <w:keepNext/>
        <w:keepLines/>
        <w:widowControl/>
      </w:pPr>
      <w:r>
        <w:rPr>
          <w:rFonts w:ascii="Times New Roman" w:hAnsi="Times New Roman" w:eastAsia="Times New Roman" w:cs="Times New Roman"/>
          <w:sz w:val="24"/>
        </w:rPr>
        <w:t xml:space="preserve">Structural and computational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consistency</w:t>
      </w:r>
    </w:p>
    <w:p>
      <w:pPr>
        <w:pStyle w:val="FirstParagraph"/>
        <w:widowControl/>
      </w:pPr>
      <w:r>
        <w:rPr>
          <w:rFonts w:ascii="Times New Roman" w:hAnsi="Times New Roman" w:eastAsia="Times New Roman" w:cs="Times New Roman"/>
          <w:sz w:val="21"/>
        </w:rPr>
        <w:t xml:space="preserve">The full static network contains 3,783 buses, 4,943 lines, and 228</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transformers. A single connected component contains 3,664 active buses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4,787 active lines. The simple-graph cycle rank is 501; median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95th-percentile node degrees are 2 and 4. Model-to-public-background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route-km ratios at 60, 130, 150, 220, and 400 kV are 0.992, 1.090,</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0.817, 0.819, and 1.033. REN aggregates provide the 150/220/400 kV</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backgrounds. The 60/130 kV comparisons use non-independent OSM context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cannot be interpreted as accuracy. The 130 kV ratio is based on only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seven model lines and is descriptive only.</w:t>
      </w:r>
    </w:p>
    <w:p>
      <w:pPr>
        <w:pStyle w:val="BodyText"/>
        <w:widowControl/>
        <w:jc w:val="left"/>
      </w:pPr>
      <w:r>
        <w:rPr>
          <w:rFonts w:ascii="Times New Roman" w:hAnsi="Times New Roman" w:eastAsia="Times New Roman" w:cs="Times New Roman"/>
          <w:sz w:val="21"/>
        </w:rPr>
        <w:t xml:space="preserve">Line parameters are a principal uncertainty. Of 4,240 60 kV lines, 1,517</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have partial support from PDIRD circuit paths and 2,723 use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voltage-class engineering proxies. At 130–400 kV, every line is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classified as proxy at the line-level</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parameter_status</w:t>
      </w:r>
      <w:r>
        <w:rPr>
          <w:rFonts w:ascii="Times New Roman" w:hAnsi="Times New Roman" w:eastAsia="Times New Roman" w:cs="Times New Roman"/>
          <w:sz w:val="21"/>
        </w:rPr>
        <w:t xml:space="preserve">. This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overall classification differs from field-level support, which Figure 3</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reports separately.</w:t>
      </w:r>
    </w:p>
    <w:p>
      <w:pPr>
        <w:pStyle w:val="BodyText"/>
        <w:widowControl/>
      </w:pPr>
      <w:r>
        <w:rPr>
          <w:rFonts w:ascii="Times New Roman" w:hAnsi="Times New Roman" w:eastAsia="Times New Roman" w:cs="Times New Roman"/>
          <w:sz w:val="21"/>
        </w:rPr>
        <w:t xml:space="preserve">The 11 compact monthly databases contain 31,492 completed and converged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15-minute cases. The mean absolute AC closure residual across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generation, boundary exchange, load, and loss is</w:t>
      </w:r>
      <w:r>
        <w:rPr>
          <w:rFonts w:ascii="Times New Roman" w:hAnsi="Times New Roman" w:eastAsia="Times New Roman" w:cs="Times New Roman"/>
          <w:sz w:val="21"/>
        </w:rPr>
        <w:t xml:space="preserve"> </w:t>
      </w:r>
      <m:oMath>
        <m:r>
          <m:t>1.77</m:t>
        </m:r>
        <m:r>
          <m:rPr>
            <m:sty m:val="p"/>
          </m:rPr>
          <m:t>×</m:t>
        </m:r>
        <m:sSup>
          <m:e>
            <m:r>
              <m:t>10</m:t>
            </m:r>
          </m:e>
          <m:sup>
            <m:r>
              <m:rPr>
                <m:sty m:val="p"/>
              </m:rPr>
              <m:t>−</m:t>
            </m:r>
            <m:r>
              <m:t>6</m:t>
            </m:r>
          </m:sup>
        </m:sSup>
      </m:oMath>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MW, showing numerical agreement among released states and audit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quantities.</w:t>
      </w:r>
    </w:p>
    <w:p>
      <w:pPr>
        <w:pStyle w:val="BodyText"/>
        <w:widowControl/>
      </w:pPr>
      <w:r>
        <w:rPr>
          <w:rFonts w:ascii="Times New Roman" w:hAnsi="Times New Roman" w:eastAsia="Times New Roman" w:cs="Times New Roman"/>
          <w:sz w:val="21"/>
        </w:rPr>
        <w:drawing>
          <wp:inline>
            <wp:extent cx="5623560" cy="2616516"/>
            <wp:effectExtent b="0" l="0" r="0" t="0"/>
            <wp:docPr descr="Figure 3—Structural coverage and field-level parameter evidence. (a) Model route-km divided by public background length for each voltage class; the dashed line marks unity. Grey circles use non-independent OSM context and blue squares use REN background. Route-km and circuit length have different definitions, so the ratio is not an accuracy measure. (b) Field-level separation of project-based resistance transfer (orange; engineering assumption) and source-backed ratings (green); cells show proportions. Grey denotes wholly proxy fields. The 35.8% resistance support is not direct observation and must not be assigned the same evidence level as ratings. Reactance and capacitance are proxies throughout. The 130 kV result contains seven lines and is descriptive only. Table 6 reports line-level evidence counts." title="Figure 3" id="55" name="Picture"/>
            <a:graphic>
              <a:graphicData uri="http://schemas.openxmlformats.org/drawingml/2006/picture">
                <pic:pic>
                  <pic:nvPicPr>
                    <pic:cNvPr descr="figures_final/fig03_network_parameter_evidence.png" id="56" name="Picture"/>
                    <pic:cNvPicPr>
                      <a:picLocks noChangeArrowheads="1" noChangeAspect="1"/>
                    </pic:cNvPicPr>
                  </pic:nvPicPr>
                  <pic:blipFill>
                    <a:blip r:embed="rId54"/>
                    <a:stretch>
                      <a:fillRect/>
                    </a:stretch>
                  </pic:blipFill>
                  <pic:spPr bwMode="auto">
                    <a:xfrm>
                      <a:off x="0" y="0"/>
                      <a:ext cx="5623560" cy="2616516"/>
                    </a:xfrm>
                    <a:prstGeom prst="rect">
                      <a:avLst/>
                    </a:prstGeom>
                    <a:noFill/>
                    <a:ln w="9525">
                      <a:noFill/>
                      <a:headEnd/>
                      <a:tailEnd/>
                    </a:ln>
                  </pic:spPr>
                </pic:pic>
              </a:graphicData>
            </a:graphic>
          </wp:inline>
        </w:drawing>
      </w:r>
    </w:p>
    <w:p>
      <w:pPr>
        <w:pStyle w:val="ImageCaption"/>
        <w:keepLines/>
        <w:widowControl/>
      </w:pPr>
      <w:r>
        <w:rPr>
          <w:rFonts w:ascii="Times New Roman" w:hAnsi="Times New Roman" w:eastAsia="Times New Roman" w:cs="Times New Roman"/>
          <w:b/>
          <w:bCs/>
          <w:sz w:val="18"/>
        </w:rPr>
        <w:t xml:space="preserve">Figure 3—Structural coverage and field-level parameter</w:t>
      </w:r>
      <w:r>
        <w:rPr>
          <w:rFonts w:ascii="Times New Roman" w:hAnsi="Times New Roman" w:eastAsia="Times New Roman" w:cs="Times New Roman"/>
          <w:b/>
          <w:bCs/>
          <w:sz w:val="18"/>
        </w:rPr>
        <w:t xml:space="preserve"> </w:t>
      </w:r>
      <w:r>
        <w:rPr>
          <w:rFonts w:ascii="Times New Roman" w:hAnsi="Times New Roman" w:eastAsia="Times New Roman" w:cs="Times New Roman"/>
          <w:b/>
          <w:bCs/>
          <w:sz w:val="18"/>
        </w:rPr>
        <w:t xml:space="preserve">evidence.</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(a) Model route-km divided by public background length for</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each voltage class; the dashed line marks unity. Grey circles use</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non-independent OSM context and blue squares use REN background.</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Route-km and circuit length have different definitions, so the ratio is</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not an accuracy measure. (b) Field-level separation of project-based</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resistance transfer (orange; engineering assumption) and source-backed</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ratings (green); cells show proportions. Grey denotes wholly proxy</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fields. The 35.8% resistance support is not direct observation and must</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not be assigned the same evidence level as ratings. Reactance and</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capacitance are proxies throughout. The 130 kV result contains seven</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lines and is descriptive only. Table 6 reports line-level evidence</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counts.</w:t>
      </w:r>
    </w:p>
    <w:p>
      <w:pPr>
        <w:pStyle w:val="TableCaption"/>
        <w:keepNext/>
        <w:widowControl/>
      </w:pPr>
      <w:r>
        <w:rPr>
          <w:rFonts w:ascii="Times New Roman" w:hAnsi="Times New Roman" w:eastAsia="Times New Roman" w:cs="Times New Roman"/>
          <w:b/>
          <w:bCs/>
          <w:sz w:val="18"/>
        </w:rPr>
        <w:t xml:space="preserve">Table 6—Network structure, parameter evidence, and</w:t>
      </w:r>
      <w:r>
        <w:rPr>
          <w:rFonts w:ascii="Times New Roman" w:hAnsi="Times New Roman" w:eastAsia="Times New Roman" w:cs="Times New Roman"/>
          <w:b/>
          <w:bCs/>
          <w:sz w:val="18"/>
        </w:rPr>
        <w:t xml:space="preserve"> </w:t>
      </w:r>
      <w:r>
        <w:rPr>
          <w:rFonts w:ascii="Times New Roman" w:hAnsi="Times New Roman" w:eastAsia="Times New Roman" w:cs="Times New Roman"/>
          <w:b/>
          <w:bCs/>
          <w:sz w:val="18"/>
        </w:rPr>
        <w:t xml:space="preserve">computational completeness.</w:t>
      </w:r>
    </w:p>
    <w:tbl>
      <w:tblPr>
        <w:tblStyle w:val="Table"/>
        <w:tblW w:type="pct" w:w="5000"/>
        <w:jc w:val="left"/>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kV</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Buses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Lines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Route-km</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Reference km</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Ratio</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Partial</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Proxy</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60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3,236</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4,240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9,668.4</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9,742.0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0.992</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1,517</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2,723</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130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8</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7</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41.6</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38.2</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1.090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7</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132</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156</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2,054.1</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2,514.0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0.817</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156</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220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214</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294</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3,206.9</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3,916.0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0.819</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294</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400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193</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246</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3,579.5</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3,465.0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1.033</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246</w:t>
            </w:r>
          </w:p>
        </w:tc>
      </w:tr>
    </w:tbl>
    <w:p>
      <w:pPr>
        <w:pStyle w:val="BodyText"/>
        <w:widowControl/>
      </w:pPr>
      <w:r>
        <w:rPr>
          <w:rFonts w:ascii="Times New Roman" w:hAnsi="Times New Roman" w:eastAsia="Times New Roman" w:cs="Times New Roman"/>
          <w:b/>
          <w:bCs/>
          <w:sz w:val="21"/>
        </w:rPr>
        <w:t xml:space="preserve">Table note.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The 130 kV sample has seven lines. References 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OSM at 60/130 kV and REN aggregates at 150–400 kV; route-km is not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circuit length. Partial is line-level; all</w:t>
      </w:r>
      <w:r>
        <w:rPr>
          <w:rFonts w:ascii="Times New Roman" w:hAnsi="Times New Roman" w:eastAsia="Times New Roman" w:cs="Times New Roman"/>
          <w:sz w:val="21"/>
        </w:rPr>
        <w:t xml:space="preserve"> </w:t>
      </w:r>
      <m:oMath>
        <m:r>
          <m:t>x</m:t>
        </m:r>
      </m:oMath>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w:t>
      </w:r>
      <w:r>
        <w:rPr>
          <w:rFonts w:ascii="Times New Roman" w:hAnsi="Times New Roman" w:eastAsia="Times New Roman" w:cs="Times New Roman"/>
          <w:sz w:val="21"/>
        </w:rPr>
        <w:t xml:space="preserve"> </w:t>
      </w:r>
      <m:oMath>
        <m:r>
          <m:t>c</m:t>
        </m:r>
      </m:oMath>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values 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Proxy.</w:t>
      </w:r>
    </w:p>
    <w:bookmarkEnd w:id="57"/>
    <w:bookmarkStart w:id="61" w:name="X5d063ab4efad64cd58a740e40734f26c3a2cfcb"/>
    <w:p>
      <w:pPr>
        <w:pStyle w:val="Heading2"/>
        <w:keepNext/>
        <w:keepLines/>
        <w:widowControl/>
      </w:pPr>
      <w:r>
        <w:rPr>
          <w:rFonts w:ascii="Times New Roman" w:hAnsi="Times New Roman" w:eastAsia="Times New Roman" w:cs="Times New Roman"/>
          <w:sz w:val="24"/>
        </w:rPr>
        <w:t xml:space="preserve">Parameter and spatial-allocation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sensitivity</w:t>
      </w:r>
    </w:p>
    <w:p>
      <w:pPr>
        <w:pStyle w:val="FirstParagraph"/>
        <w:widowControl/>
      </w:pPr>
      <w:r>
        <w:rPr>
          <w:rFonts w:ascii="Times New Roman" w:hAnsi="Times New Roman" w:eastAsia="Times New Roman" w:cs="Times New Roman"/>
          <w:sz w:val="21"/>
        </w:rPr>
        <w:t xml:space="preserve">Sensitivity experiments perturb line</w:t>
      </w:r>
      <w:r>
        <w:rPr>
          <w:rFonts w:ascii="Times New Roman" w:hAnsi="Times New Roman" w:eastAsia="Times New Roman" w:cs="Times New Roman"/>
          <w:sz w:val="21"/>
        </w:rPr>
        <w:t xml:space="preserve"> </w:t>
      </w:r>
      <m:oMath>
        <m:r>
          <m:t>R</m:t>
        </m:r>
        <m:r>
          <m:rPr>
            <m:sty m:val="p"/>
          </m:rPr>
          <m:t>/</m:t>
        </m:r>
        <m:r>
          <m:t>X</m:t>
        </m:r>
      </m:oMath>
      <w:r>
        <w:rPr>
          <w:rFonts w:ascii="Times New Roman" w:hAnsi="Times New Roman" w:eastAsia="Times New Roman" w:cs="Times New Roman"/>
          <w:sz w:val="21"/>
        </w:rPr>
        <w:t xml:space="preserve">, capacitance, current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ratings, transformer capacity and impedance, and the spatial allocation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of load, generation, and boundary exchange at 22 representative times.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After shared baselines are removed, 264 cases remain and all converge.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The minimum Spearman correlation is 0.998 for line-impedance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perturbations and 0.993 for transformer perturbations. Current-rating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assumptions change maximum loading by as much as 34.48 percentage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points. System-wide rankings remain comparatively stable under spatial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alternatives, but allocating residual load by transformer capacity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reduces the Top-20 Jaccard index to 0.429. Specific hotspots 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consequently more assumption-dependent than the global ranking.</w:t>
      </w:r>
    </w:p>
    <w:p>
      <w:pPr>
        <w:pStyle w:val="BodyText"/>
        <w:widowControl/>
      </w:pPr>
      <w:r>
        <w:rPr>
          <w:rFonts w:ascii="Times New Roman" w:hAnsi="Times New Roman" w:eastAsia="Times New Roman" w:cs="Times New Roman"/>
          <w:sz w:val="21"/>
        </w:rPr>
        <w:t xml:space="preserve">Figure 4 summarizes ranking, hotspot-set, and maximum-loading responses.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Across the 12 configurations evaluated at each time, 74 of 4,943 lines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enter the Top 20 at least once, 56 reach an inclusion frequency of at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least 0.8 at one or more times, and the largest frequency across all 264</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experiments is 207/264 (78.4%); no line remains in the Top 20 at every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time and configuration. A separate 242-case operating-proxy ablation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changes reactive-power limits, PV targets, load compensation, shunt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reactors, and tap control at the same 22 times. All cases converge.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Halving reactive-power limits produces the largest minimum-voltage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change (0.02845 p.u.) and a 1.419-percentage-point maximum-line-loading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change; active ratio-tap voltage control produces the largest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maximum-transformer-loading change (4.305 percentage points).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complete paired results and configuration identifiers are released as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machine-readable comma-separated value (CSV) files.</w:t>
      </w:r>
    </w:p>
    <w:p>
      <w:pPr>
        <w:pStyle w:val="BodyText"/>
        <w:widowControl/>
      </w:pPr>
      <w:r>
        <w:rPr>
          <w:rFonts w:ascii="Times New Roman" w:hAnsi="Times New Roman" w:eastAsia="Times New Roman" w:cs="Times New Roman"/>
          <w:sz w:val="21"/>
        </w:rPr>
        <w:drawing>
          <wp:inline>
            <wp:extent cx="5623560" cy="3358514"/>
            <wp:effectExtent b="0" l="0" r="0" t="0"/>
            <wp:docPr descr="Figure 4—Sensitivity to parameters and spatial allocation. (a) Spearman correlation of line-loading ranks; (b) Top-20 Jaccard index; and (c) absolute change in maximum loading. Markers denote medians over 22 operating states and lines extend to the least favorable result. The 154 parameter cases and 132 spatial cases share 22 baselines." title="Figure 4" id="59" name="Picture"/>
            <a:graphic>
              <a:graphicData uri="http://schemas.openxmlformats.org/drawingml/2006/picture">
                <pic:pic>
                  <pic:nvPicPr>
                    <pic:cNvPr descr="figures_final/fig04_parameter_spatial_sensitivity.png" id="60" name="Picture"/>
                    <pic:cNvPicPr>
                      <a:picLocks noChangeArrowheads="1" noChangeAspect="1"/>
                    </pic:cNvPicPr>
                  </pic:nvPicPr>
                  <pic:blipFill>
                    <a:blip r:embed="rId58"/>
                    <a:stretch>
                      <a:fillRect/>
                    </a:stretch>
                  </pic:blipFill>
                  <pic:spPr bwMode="auto">
                    <a:xfrm>
                      <a:off x="0" y="0"/>
                      <a:ext cx="5623560" cy="3358514"/>
                    </a:xfrm>
                    <a:prstGeom prst="rect">
                      <a:avLst/>
                    </a:prstGeom>
                    <a:noFill/>
                    <a:ln w="9525">
                      <a:noFill/>
                      <a:headEnd/>
                      <a:tailEnd/>
                    </a:ln>
                  </pic:spPr>
                </pic:pic>
              </a:graphicData>
            </a:graphic>
          </wp:inline>
        </w:drawing>
      </w:r>
    </w:p>
    <w:p>
      <w:pPr>
        <w:pStyle w:val="ImageCaption"/>
        <w:keepLines/>
        <w:widowControl/>
      </w:pPr>
      <w:r>
        <w:rPr>
          <w:rFonts w:ascii="Times New Roman" w:hAnsi="Times New Roman" w:eastAsia="Times New Roman" w:cs="Times New Roman"/>
          <w:b/>
          <w:bCs/>
          <w:sz w:val="18"/>
        </w:rPr>
        <w:t xml:space="preserve">Figure 4—Sensitivity to parameters and spatial allocation.</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(a) Spearman correlation of line-loading ranks; (b) Top-20 Jaccard</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index; and (c) absolute change in maximum loading. Markers denote</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medians over 22 operating states and lines extend to the least favorable</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result. The 154 parameter cases and 132 spatial cases share 22</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baselines.</w:t>
      </w:r>
    </w:p>
    <w:bookmarkEnd w:id="61"/>
    <w:bookmarkStart w:id="65" w:name="external-temporal-agreement"/>
    <w:p>
      <w:pPr>
        <w:pStyle w:val="Heading2"/>
        <w:keepNext/>
        <w:keepLines/>
        <w:widowControl/>
      </w:pPr>
      <w:r>
        <w:rPr>
          <w:rFonts w:ascii="Times New Roman" w:hAnsi="Times New Roman" w:eastAsia="Times New Roman" w:cs="Times New Roman"/>
          <w:sz w:val="24"/>
        </w:rPr>
        <w:t xml:space="preserve">External temporal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agreement</w:t>
      </w:r>
    </w:p>
    <w:p>
      <w:pPr>
        <w:pStyle w:val="FirstParagraph"/>
        <w:widowControl/>
      </w:pPr>
      <w:r>
        <w:rPr>
          <w:rFonts w:ascii="Times New Roman" w:hAnsi="Times New Roman" w:eastAsia="Times New Roman" w:cs="Times New Roman"/>
          <w:sz w:val="21"/>
        </w:rPr>
        <w:t xml:space="preserve">National demand comparison contains 31,388 paired intervals. The E-REDES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reference includes losses. The ratio of mean SimPT60 consumption to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public E-REDES consumption is 1.003, with a day-block bootstrap 95%</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confidence interval of</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1.002, 1.005</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Fifteen-minute Pearson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correlation is 0.997</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0.996, 0.999</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and mean absolute error (MAE)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is 30.9 MW. Across 327 paired daily means, Pearson correlation is 0.995</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normalized root-mean-square error (RMSE) is 0.013. October 2025</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contains E-REDES missingness and local deviations, but the month is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retained</w:t>
      </w:r>
      <w:r>
        <w:rPr>
          <w:rFonts w:ascii="Times New Roman" w:hAnsi="Times New Roman" w:eastAsia="Times New Roman" w:cs="Times New Roman"/>
          <w:sz w:val="21"/>
          <w:vertAlign w:val="superscript"/>
        </w:rPr>
        <w:t xml:space="preserve">22</w:t>
      </w:r>
      <w:r>
        <w:rPr>
          <w:rFonts w:ascii="Times New Roman" w:hAnsi="Times New Roman" w:eastAsia="Times New Roman" w:cs="Times New Roman"/>
          <w:sz w:val="21"/>
        </w:rPr>
        <w:t xml:space="preserve">.</w:t>
      </w:r>
    </w:p>
    <w:p>
      <w:pPr>
        <w:pStyle w:val="BodyText"/>
        <w:widowControl/>
      </w:pPr>
      <w:r>
        <w:rPr>
          <w:rFonts w:ascii="Times New Roman" w:hAnsi="Times New Roman" w:eastAsia="Times New Roman" w:cs="Times New Roman"/>
          <w:sz w:val="21"/>
        </w:rPr>
        <w:t xml:space="preserve">Wind comparison contains 31,484 paired intervals. The mean ratio between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SimPT60 and E-REDES distribution-grid wind injection is 1.056</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1.055,</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1.058</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and Pearson correlation is 0.9998</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0.9997, 0.9998</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Daily-mean correlation is also 0.9998. Photovoltaic correlation is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0.982, but mean national photovoltaic production in SimPT60 is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approximately 21.2 times distribution-grid injection. Hydro correlation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is 0.536. The latter comparisons span different accounting scopes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are not absolute-scale validation</w:t>
      </w:r>
      <w:r>
        <w:rPr>
          <w:rFonts w:ascii="Times New Roman" w:hAnsi="Times New Roman" w:eastAsia="Times New Roman" w:cs="Times New Roman"/>
          <w:sz w:val="21"/>
          <w:vertAlign w:val="superscript"/>
        </w:rPr>
        <w:t xml:space="preserve">23,24</w:t>
      </w:r>
      <w:r>
        <w:rPr>
          <w:rFonts w:ascii="Times New Roman" w:hAnsi="Times New Roman" w:eastAsia="Times New Roman" w:cs="Times New Roman"/>
          <w:sz w:val="21"/>
        </w:rPr>
        <w:t xml:space="preserve">.</w:t>
      </w:r>
    </w:p>
    <w:p>
      <w:pPr>
        <w:pStyle w:val="BodyText"/>
        <w:widowControl/>
      </w:pPr>
      <w:r>
        <w:rPr>
          <w:rFonts w:ascii="Times New Roman" w:hAnsi="Times New Roman" w:eastAsia="Times New Roman" w:cs="Times New Roman"/>
          <w:sz w:val="21"/>
        </w:rPr>
        <w:t xml:space="preserve">Figure 5 presents the paired temporal comparisons, interval densities,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normalized daily consumption profiles.</w:t>
      </w:r>
    </w:p>
    <w:p>
      <w:pPr>
        <w:pStyle w:val="BodyText"/>
        <w:widowControl/>
      </w:pPr>
      <w:r>
        <w:rPr>
          <w:rFonts w:ascii="Times New Roman" w:hAnsi="Times New Roman" w:eastAsia="Times New Roman" w:cs="Times New Roman"/>
          <w:sz w:val="21"/>
        </w:rPr>
        <w:drawing>
          <wp:inline>
            <wp:extent cx="5623560" cy="5467349"/>
            <wp:effectExtent b="0" l="0" r="0" t="0"/>
            <wp:docPr descr="Figure 5—External temporal validation of aggregate inputs. (a–b) Paired daily means for national consumption and wind; (c–d) density of the corresponding 31,388 and 31,484 15-minute pairs, with a shared logarithmic count scale, one-to-one line, and Pearson ; and (e) consumption profiles grouped by Lisbon local time and normalized by each series’ daily mean. Comparisons exclude only intervals missing a required field and use no anomaly deletion, smoothing, or interpolation. Consumption excludes pumping and battery charging and differs from total electric load in the cases. Wind compares national production with distribution-grid injection across different scopes. The figure validates aggregate inputs, not nodal allocation or branch flow. Table 7 gives bootstrap intervals." title="Figure 5" id="63" name="Picture"/>
            <a:graphic>
              <a:graphicData uri="http://schemas.openxmlformats.org/drawingml/2006/picture">
                <pic:pic>
                  <pic:nvPicPr>
                    <pic:cNvPr descr="figures_final/fig05_temporal_validation.png" id="64" name="Picture"/>
                    <pic:cNvPicPr>
                      <a:picLocks noChangeArrowheads="1" noChangeAspect="1"/>
                    </pic:cNvPicPr>
                  </pic:nvPicPr>
                  <pic:blipFill>
                    <a:blip r:embed="rId62"/>
                    <a:stretch>
                      <a:fillRect/>
                    </a:stretch>
                  </pic:blipFill>
                  <pic:spPr bwMode="auto">
                    <a:xfrm>
                      <a:off x="0" y="0"/>
                      <a:ext cx="5623560" cy="5467349"/>
                    </a:xfrm>
                    <a:prstGeom prst="rect">
                      <a:avLst/>
                    </a:prstGeom>
                    <a:noFill/>
                    <a:ln w="9525">
                      <a:noFill/>
                      <a:headEnd/>
                      <a:tailEnd/>
                    </a:ln>
                  </pic:spPr>
                </pic:pic>
              </a:graphicData>
            </a:graphic>
          </wp:inline>
        </w:drawing>
      </w:r>
    </w:p>
    <w:p>
      <w:pPr>
        <w:pStyle w:val="ImageCaption"/>
        <w:keepLines/>
        <w:widowControl/>
      </w:pPr>
      <w:r>
        <w:rPr>
          <w:rFonts w:ascii="Times New Roman" w:hAnsi="Times New Roman" w:eastAsia="Times New Roman" w:cs="Times New Roman"/>
          <w:b/>
          <w:bCs/>
          <w:sz w:val="18"/>
        </w:rPr>
        <w:t xml:space="preserve">Figure 5—External temporal validation of aggregate inputs.</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(a–b) Paired daily means for national consumption and wind; (c–d)</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density of the corresponding 31,388 and 31,484 15-minute pairs, with a</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shared logarithmic count scale, one-to-one line, and Pearson</w:t>
      </w:r>
      <w:r>
        <w:rPr>
          <w:rFonts w:ascii="Times New Roman" w:hAnsi="Times New Roman" w:eastAsia="Times New Roman" w:cs="Times New Roman"/>
          <w:sz w:val="18"/>
        </w:rPr>
        <w:t xml:space="preserve"> </w:t>
      </w:r>
      <m:oMath>
        <m:r>
          <m:t>r</m:t>
        </m:r>
      </m:oMath>
      <w:r>
        <w:rPr>
          <w:rFonts w:ascii="Times New Roman" w:hAnsi="Times New Roman" w:eastAsia="Times New Roman" w:cs="Times New Roman"/>
          <w:sz w:val="18"/>
        </w:rPr>
        <w:t xml:space="preserve">; and</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(e) consumption profiles grouped by Lisbon local time and normalized by</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each series’ daily mean. Comparisons exclude only intervals missing a</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required field and use no anomaly deletion, smoothing, or interpolation.</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Consumption excludes pumping and battery charging and differs from total</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electric load in the cases. Wind compares national production with</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distribution-grid injection across different scopes. The figure</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validates aggregate inputs, not nodal allocation or branch flow. Table 7</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gives bootstrap intervals.</w:t>
      </w:r>
    </w:p>
    <w:bookmarkEnd w:id="65"/>
    <w:bookmarkStart w:id="70" w:name="external-spatial-agreement"/>
    <w:p>
      <w:pPr>
        <w:pStyle w:val="Heading2"/>
        <w:keepNext/>
        <w:keepLines/>
        <w:widowControl/>
      </w:pPr>
      <w:r>
        <w:rPr>
          <w:rFonts w:ascii="Times New Roman" w:hAnsi="Times New Roman" w:eastAsia="Times New Roman" w:cs="Times New Roman"/>
          <w:sz w:val="24"/>
        </w:rPr>
        <w:t xml:space="preserve">External spatial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agreement</w:t>
      </w:r>
    </w:p>
    <w:p>
      <w:pPr>
        <w:pStyle w:val="FirstParagraph"/>
        <w:widowControl/>
      </w:pPr>
      <w:r>
        <w:rPr>
          <w:rFonts w:ascii="Times New Roman" w:hAnsi="Times New Roman" w:eastAsia="Times New Roman" w:cs="Times New Roman"/>
          <w:sz w:val="21"/>
        </w:rPr>
        <w:t xml:space="preserve">At municipal level, E-REDES monthly billed consumption is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reference</w:t>
      </w:r>
      <w:r>
        <w:rPr>
          <w:rFonts w:ascii="Times New Roman" w:hAnsi="Times New Roman" w:eastAsia="Times New Roman" w:cs="Times New Roman"/>
          <w:sz w:val="21"/>
          <w:vertAlign w:val="superscript"/>
        </w:rPr>
        <w:t xml:space="preserve">25</w:t>
      </w:r>
      <w:r>
        <w:rPr>
          <w:rFonts w:ascii="Times New Roman" w:hAnsi="Times New Roman" w:eastAsia="Times New Roman" w:cs="Times New Roman"/>
          <w:sz w:val="21"/>
        </w:rPr>
        <w:t xml:space="preserve">. The 2,183 municipality-month pairs yield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 Spearman correlation of 0.881, with a 95% confidence interval of</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0.841, 0.910</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from 199 municipality clusters; they cover 94.8% of</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contemporaneous billed energy. At substation level, 792 seasonal pairs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yield a Spearman correlation of 0.957</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0.946, 0.967</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over 397</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station clusters, a mean ratio of 1.044, and MAE of 2.45 MW.</w:t>
      </w:r>
    </w:p>
    <w:p>
      <w:pPr>
        <w:pStyle w:val="BodyText"/>
        <w:widowControl/>
      </w:pPr>
      <w:r>
        <w:rPr>
          <w:rFonts w:ascii="Times New Roman" w:hAnsi="Times New Roman" w:eastAsia="Times New Roman" w:cs="Times New Roman"/>
          <w:sz w:val="21"/>
        </w:rPr>
        <w:t xml:space="preserve">Municipality comparisons use the municipality containing each substation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as a proxy for its service area and therefore provide weak spatial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evidence. Seasonal substation loads come from the E-REDES capacity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loading product</w:t>
      </w:r>
      <w:r>
        <w:rPr>
          <w:rFonts w:ascii="Times New Roman" w:hAnsi="Times New Roman" w:eastAsia="Times New Roman" w:cs="Times New Roman"/>
          <w:sz w:val="21"/>
          <w:vertAlign w:val="superscript"/>
        </w:rPr>
        <w:t xml:space="preserve">26</w:t>
      </w:r>
      <w:r>
        <w:rPr>
          <w:rFonts w:ascii="Times New Roman" w:hAnsi="Times New Roman" w:eastAsia="Times New Roman" w:cs="Times New Roman"/>
          <w:sz w:val="21"/>
        </w:rPr>
        <w:t xml:space="preserve">. They test facility ranking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scale, but share the same operator as the 15-minute load data and 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not fully independent nodal truth.</w:t>
      </w:r>
    </w:p>
    <w:p>
      <w:pPr>
        <w:pStyle w:val="BodyText"/>
        <w:widowControl/>
      </w:pPr>
      <w:r>
        <w:rPr>
          <w:rFonts w:ascii="Times New Roman" w:hAnsi="Times New Roman" w:eastAsia="Times New Roman" w:cs="Times New Roman"/>
          <w:sz w:val="21"/>
        </w:rPr>
        <w:t xml:space="preserve">Figure 6 displays both spatial comparisons and their cluster-bootstrap</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uncertainty.</w:t>
      </w:r>
    </w:p>
    <w:p>
      <w:pPr>
        <w:pStyle w:val="BodyText"/>
        <w:widowControl/>
      </w:pPr>
      <w:r>
        <w:rPr>
          <w:rFonts w:ascii="Times New Roman" w:hAnsi="Times New Roman" w:eastAsia="Times New Roman" w:cs="Times New Roman"/>
          <w:sz w:val="21"/>
        </w:rPr>
        <w:drawing>
          <wp:inline>
            <wp:extent cx="5623560" cy="2850831"/>
            <wp:effectExtent b="0" l="0" r="0" t="0"/>
            <wp:docPr descr="Figure 6—Spatial agreement at municipality and substation levels. (a) 2,183 municipality-month load-share pairs; (b) 792 seasonal substation-peak pairs. Axes have equal scale and dashed one-to-one lines. Labels report Spearman correlation and archived 1,000-replicate cluster-bootstrap 95% intervals using 199 municipality and 397 substation clusters; bands are not regression intervals. Municipality assignment is a weak service-area proxy, and cross-product evidence from the same operator is not fully independent nodal truth." title="Figure 6" id="67" name="Picture"/>
            <a:graphic>
              <a:graphicData uri="http://schemas.openxmlformats.org/drawingml/2006/picture">
                <pic:pic>
                  <pic:nvPicPr>
                    <pic:cNvPr descr="figures_final/fig06_spatial_validation.png" id="68" name="Picture"/>
                    <pic:cNvPicPr>
                      <a:picLocks noChangeArrowheads="1" noChangeAspect="1"/>
                    </pic:cNvPicPr>
                  </pic:nvPicPr>
                  <pic:blipFill>
                    <a:blip r:embed="rId66"/>
                    <a:stretch>
                      <a:fillRect/>
                    </a:stretch>
                  </pic:blipFill>
                  <pic:spPr bwMode="auto">
                    <a:xfrm>
                      <a:off x="0" y="0"/>
                      <a:ext cx="5623560" cy="2850831"/>
                    </a:xfrm>
                    <a:prstGeom prst="rect">
                      <a:avLst/>
                    </a:prstGeom>
                    <a:noFill/>
                    <a:ln w="9525">
                      <a:noFill/>
                      <a:headEnd/>
                      <a:tailEnd/>
                    </a:ln>
                  </pic:spPr>
                </pic:pic>
              </a:graphicData>
            </a:graphic>
          </wp:inline>
        </w:drawing>
      </w:r>
    </w:p>
    <w:p>
      <w:pPr>
        <w:pStyle w:val="ImageCaption"/>
        <w:keepLines/>
        <w:widowControl/>
      </w:pPr>
      <w:r>
        <w:rPr>
          <w:rFonts w:ascii="Times New Roman" w:hAnsi="Times New Roman" w:eastAsia="Times New Roman" w:cs="Times New Roman"/>
          <w:b/>
          <w:bCs/>
          <w:sz w:val="18"/>
        </w:rPr>
        <w:t xml:space="preserve">Figure 6—Spatial agreement at municipality and substation</w:t>
      </w:r>
      <w:r>
        <w:rPr>
          <w:rFonts w:ascii="Times New Roman" w:hAnsi="Times New Roman" w:eastAsia="Times New Roman" w:cs="Times New Roman"/>
          <w:b/>
          <w:bCs/>
          <w:sz w:val="18"/>
        </w:rPr>
        <w:t xml:space="preserve"> </w:t>
      </w:r>
      <w:r>
        <w:rPr>
          <w:rFonts w:ascii="Times New Roman" w:hAnsi="Times New Roman" w:eastAsia="Times New Roman" w:cs="Times New Roman"/>
          <w:b/>
          <w:bCs/>
          <w:sz w:val="18"/>
        </w:rPr>
        <w:t xml:space="preserve">levels.</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(a) 2,183 municipality-month load-share pairs; (b) 792 seasonal</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substation-peak pairs. Axes have equal scale and dashed one-to-one</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lines. Labels report Spearman correlation and archived 1,000-replicate</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cluster-bootstrap 95% intervals using 199 municipality and 397</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substation clusters; bands are not regression intervals. Municipality</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assignment is a weak service-area proxy, and cross-product evidence from</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the same operator is not fully independent nodal truth.</w:t>
      </w:r>
    </w:p>
    <w:bookmarkStart w:id="69" w:name="X8af3d23067d2040a545ef6a70e5646d2951549b"/>
    <w:p>
      <w:pPr>
        <w:pStyle w:val="Heading3"/>
        <w:keepNext/>
        <w:keepLines/>
        <w:widowControl/>
      </w:pPr>
      <w:r>
        <w:rPr>
          <w:rFonts w:ascii="Times New Roman" w:hAnsi="Times New Roman" w:eastAsia="Times New Roman" w:cs="Times New Roman"/>
          <w:sz w:val="22"/>
        </w:rPr>
        <w:t xml:space="preserve">Station-held-out spatial reconstruction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test</w:t>
      </w:r>
    </w:p>
    <w:p>
      <w:pPr>
        <w:pStyle w:val="FirstParagraph"/>
        <w:widowControl/>
      </w:pPr>
      <w:r>
        <w:rPr>
          <w:rFonts w:ascii="Times New Roman" w:hAnsi="Times New Roman" w:eastAsia="Times New Roman" w:cs="Times New Roman"/>
          <w:sz w:val="21"/>
        </w:rPr>
        <w:t xml:space="preserve">A station-held-out experiment divides 394 matched stations into five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deterministic folds. At 22 times, it compares global capacity share,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five geographically nearest stations, and five nearest stations along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the reconstructed network, yielding 8,541 observation pairs. Neighbor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predictions use inverse-distance weights; network distance uses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in-service line length and a small positive transformer-edge length.</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Confidence intervals are obtained by a 1,000-replicate station-cluster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bootstrap using fixed fold assignments. Table 7 shows that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network-neighbor MAE is approximately 9.9% below global capacity share,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but is not lower than geographic-neighbor MAE and has an overlapping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confidence interval. Reconstructed connectivity therefore contains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useful proximity information but does not independently recover precise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nodal demand. Capacity-share, geographic-neighbor, and network-neighbor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RMSE values are 6.357, 5.675, and 5.702 MW, respectively;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corresponding weighted absolute percentage error (WAPE) values are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38.4%, 34.5%, and 34.6%. Fold assignments, pair-level predictions,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recomputation code are included in the released validation package.</w:t>
      </w:r>
    </w:p>
    <w:p>
      <w:pPr>
        <w:pStyle w:val="BodyText"/>
        <w:widowControl/>
      </w:pPr>
      <w:r>
        <w:rPr>
          <w:rFonts w:ascii="Times New Roman" w:hAnsi="Times New Roman" w:eastAsia="Times New Roman" w:cs="Times New Roman"/>
          <w:sz w:val="21"/>
        </w:rPr>
        <w:t xml:space="preserve">Table 7 consolidates the cross-source comparisons and the three held-out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allocation methods.</w:t>
      </w:r>
    </w:p>
    <w:p>
      <w:pPr>
        <w:pStyle w:val="TableCaption"/>
        <w:keepNext/>
        <w:widowControl/>
      </w:pPr>
      <w:r>
        <w:rPr>
          <w:rFonts w:ascii="Times New Roman" w:hAnsi="Times New Roman" w:eastAsia="Times New Roman" w:cs="Times New Roman"/>
          <w:b/>
          <w:bCs/>
          <w:sz w:val="18"/>
        </w:rPr>
        <w:t xml:space="preserve">Table 7—External validation and station-held-out</w:t>
      </w:r>
      <w:r>
        <w:rPr>
          <w:rFonts w:ascii="Times New Roman" w:hAnsi="Times New Roman" w:eastAsia="Times New Roman" w:cs="Times New Roman"/>
          <w:b/>
          <w:bCs/>
          <w:sz w:val="18"/>
        </w:rPr>
        <w:t xml:space="preserve"> </w:t>
      </w:r>
      <w:r>
        <w:rPr>
          <w:rFonts w:ascii="Times New Roman" w:hAnsi="Times New Roman" w:eastAsia="Times New Roman" w:cs="Times New Roman"/>
          <w:b/>
          <w:bCs/>
          <w:sz w:val="18"/>
        </w:rPr>
        <w:t xml:space="preserve">reconstruction results.</w:t>
      </w:r>
    </w:p>
    <w:tbl>
      <w:tblPr>
        <w:tblStyle w:val="Table"/>
        <w:tblW w:type="pct" w:w="5000"/>
        <w:jc w:val="left"/>
        <w:tblLayout w:type="autofit"/>
        <w:tblLook w:firstRow="1" w:lastRow="0" w:firstColumn="0" w:lastColumn="0" w:noHBand="0" w:noVBand="0" w:val="0020"/>
      </w:tblPr>
      <w:tblGrid>
        <w:gridCol w:w="1131"/>
        <w:gridCol w:w="1131"/>
        <w:gridCol w:w="1131"/>
        <w:gridCol w:w="1131"/>
        <w:gridCol w:w="1131"/>
        <w:gridCol w:w="1131"/>
        <w:gridCol w:w="1131"/>
      </w:tblGrid>
      <w:tr>
        <w:trPr>
          <w:tblHeader w:val="on"/>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Target / method</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Blocks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Metric</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Estimate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95% low</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sz w:val="16"/>
              </w:rPr>
              <w:t xml:space="preserve">95% high</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Demand mean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31,388</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327 days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Ratio</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1.003</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1.002</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1.005</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Demand interval</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31,388</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327 days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0.997</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0.996</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0.999</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Wind mean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31,484</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328 days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Ratio</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1.056</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1.055</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1.058</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Wind interval</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31,484</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328 days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0.9998</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0.9997</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0.9998</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PV variation</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31,484</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328 days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r</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0.982</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0.979</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0.984</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Municipal share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2,183</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199 municipalities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ρ</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0.881</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0.841</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0.910</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Substation peak</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792</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397 stations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ρ</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0.957</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0.946</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0.967</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AC closure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31,492</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MAE (MW)</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1.77×10⁻⁶</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Capacity share</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8,541</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394 stations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MAE (MW)</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4.729</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4.412</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5.063</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Geographic neighbors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8,541</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394 stations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MAE (MW)</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4.249</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3.972</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4.544</w:t>
            </w:r>
          </w:p>
        </w:tc>
      </w:tr>
      <w:tr>
        <w:trPr>
          <w:cantSplit/>
        </w:trPr>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Network neighbors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8,541</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394 stations</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MAE (MW)</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4.262</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3.971</w:t>
            </w:r>
          </w:p>
        </w:tc>
        <w:tc>
          <w:tcPr>
            <w:vAlign w:val="center"/>
            <w:tcMar>
              <w:top w:w="70" w:type="dxa"/>
              <w:bottom w:w="70" w:type="dxa"/>
              <w:start w:w="90" w:type="dxa"/>
              <w:end w:w="90" w:type="dxa"/>
            </w:tcMar>
          </w:tcPr>
          <w:p>
            <w:pPr>
              <w:pStyle w:val="Compact"/>
              <w:widowControl/>
              <w:spacing w:before="0" w:after="40" w:line="240" w:lineRule="auto"/>
              <w:jc w:val="left"/>
            </w:pPr>
            <w:r>
              <w:rPr>
                <w:rFonts w:ascii="Times New Roman" w:hAnsi="Times New Roman" w:eastAsia="Times New Roman" w:cs="Times New Roman"/>
                <w:b w:val="0"/>
                <w:sz w:val="16"/>
              </w:rPr>
              <w:t xml:space="preserve">4.545</w:t>
            </w:r>
          </w:p>
        </w:tc>
      </w:tr>
    </w:tbl>
    <w:p>
      <w:pPr>
        <w:pStyle w:val="BodyText"/>
        <w:widowControl/>
      </w:pPr>
      <w:r>
        <w:rPr>
          <w:rFonts w:ascii="Times New Roman" w:hAnsi="Times New Roman" w:eastAsia="Times New Roman" w:cs="Times New Roman"/>
          <w:b/>
          <w:bCs/>
          <w:sz w:val="21"/>
        </w:rPr>
        <w:t xml:space="preserve">Table note.</w:t>
      </w:r>
      <w:r>
        <w:rPr>
          <w:rFonts w:ascii="Times New Roman" w:hAnsi="Times New Roman" w:eastAsia="Times New Roman" w:cs="Times New Roman"/>
          <w:sz w:val="21"/>
        </w:rPr>
        <w:t xml:space="preserve"> </w:t>
      </w:r>
      <m:oMath>
        <m:r>
          <m:t>n</m:t>
        </m:r>
      </m:oMath>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is the number of paired observations.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Confidence intervals use day, municipality, or station blocks as shown;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AC closure is deterministic.</w:t>
      </w:r>
    </w:p>
    <w:bookmarkEnd w:id="69"/>
    <w:bookmarkEnd w:id="70"/>
    <w:bookmarkStart w:id="74" w:name="Xdf888b7ddb85cba43fe512cdb83621541356905"/>
    <w:p>
      <w:pPr>
        <w:pStyle w:val="Heading2"/>
        <w:keepNext/>
        <w:keepLines/>
        <w:widowControl/>
      </w:pPr>
      <w:r>
        <w:rPr>
          <w:rFonts w:ascii="Times New Roman" w:hAnsi="Times New Roman" w:eastAsia="Times New Roman" w:cs="Times New Roman"/>
          <w:sz w:val="24"/>
        </w:rPr>
        <w:t xml:space="preserve">Generation scope and quantified dependence on spatial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proxies</w:t>
      </w:r>
    </w:p>
    <w:p>
      <w:pPr>
        <w:pStyle w:val="FirstParagraph"/>
        <w:widowControl/>
      </w:pPr>
      <w:r>
        <w:rPr>
          <w:rFonts w:ascii="Times New Roman" w:hAnsi="Times New Roman" w:eastAsia="Times New Roman" w:cs="Times New Roman"/>
          <w:sz w:val="21"/>
        </w:rPr>
        <w:t xml:space="preserve">Directly observed load accounts for 67.93–74.93% of monthly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consumption; the remaining 25.07–32.07% is allocated with PDIRT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reference profiles. National generation proxies account for only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0.010–0.063% of monthly generation, but this national average hides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small technology classes. In May 2025, proxy shares reach 90.58% for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batteries and 11.07% for other thermal generation. Aggregate balance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therefore does not establish reliable local asset location.</w:t>
      </w:r>
    </w:p>
    <w:p>
      <w:pPr>
        <w:pStyle w:val="BodyText"/>
        <w:widowControl/>
      </w:pPr>
      <w:r>
        <w:rPr>
          <w:rFonts w:ascii="Times New Roman" w:hAnsi="Times New Roman" w:eastAsia="Times New Roman" w:cs="Times New Roman"/>
          <w:sz w:val="21"/>
        </w:rPr>
        <w:t xml:space="preserve">All non-rounding generation proxies are injected at one 400 kV receiving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bus, which represents a model balancing location only. Figure 7 shows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consumption residuals, technology-level generation proxies, and their</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spatial distribution by latitude band. Monthly values for eight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technologies, interval flags, and bus-level details are released as CSV.</w:t>
      </w:r>
    </w:p>
    <w:p>
      <w:pPr>
        <w:pStyle w:val="BodyText"/>
        <w:widowControl/>
      </w:pPr>
      <w:r>
        <w:rPr>
          <w:rFonts w:ascii="Times New Roman" w:hAnsi="Times New Roman" w:eastAsia="Times New Roman" w:cs="Times New Roman"/>
          <w:sz w:val="21"/>
        </w:rPr>
        <w:drawing>
          <wp:inline>
            <wp:extent cx="5623560" cy="6636020"/>
            <wp:effectExtent b="0" l="0" r="0" t="0"/>
            <wp:docPr descr="Figure 7—Temporal and spatial distribution of observed and proxy power. (a) Observed consumption and the PDIRT-allocated residual; (b) technology-level proxy shares for batteries and other thermal generation; and (c) load-residual share by latitude band of receiving buses. Panels use different denominators. Regions denote allocation locations in the model, not the true locations of missing assets." title="Figure 7" id="72" name="Picture"/>
            <a:graphic>
              <a:graphicData uri="http://schemas.openxmlformats.org/drawingml/2006/picture">
                <pic:pic>
                  <pic:nvPicPr>
                    <pic:cNvPr descr="figures_final/fig07_proxy_provenance.png" id="73" name="Picture"/>
                    <pic:cNvPicPr>
                      <a:picLocks noChangeArrowheads="1" noChangeAspect="1"/>
                    </pic:cNvPicPr>
                  </pic:nvPicPr>
                  <pic:blipFill>
                    <a:blip r:embed="rId71"/>
                    <a:stretch>
                      <a:fillRect/>
                    </a:stretch>
                  </pic:blipFill>
                  <pic:spPr bwMode="auto">
                    <a:xfrm>
                      <a:off x="0" y="0"/>
                      <a:ext cx="5623560" cy="6636020"/>
                    </a:xfrm>
                    <a:prstGeom prst="rect">
                      <a:avLst/>
                    </a:prstGeom>
                    <a:noFill/>
                    <a:ln w="9525">
                      <a:noFill/>
                      <a:headEnd/>
                      <a:tailEnd/>
                    </a:ln>
                  </pic:spPr>
                </pic:pic>
              </a:graphicData>
            </a:graphic>
          </wp:inline>
        </w:drawing>
      </w:r>
    </w:p>
    <w:p>
      <w:pPr>
        <w:pStyle w:val="ImageCaption"/>
        <w:keepLines/>
        <w:widowControl/>
      </w:pPr>
      <w:r>
        <w:rPr>
          <w:rFonts w:ascii="Times New Roman" w:hAnsi="Times New Roman" w:eastAsia="Times New Roman" w:cs="Times New Roman"/>
          <w:b/>
          <w:bCs/>
          <w:sz w:val="18"/>
        </w:rPr>
        <w:t xml:space="preserve">Figure 7—Temporal and spatial distribution of observed and</w:t>
      </w:r>
      <w:r>
        <w:rPr>
          <w:rFonts w:ascii="Times New Roman" w:hAnsi="Times New Roman" w:eastAsia="Times New Roman" w:cs="Times New Roman"/>
          <w:b/>
          <w:bCs/>
          <w:sz w:val="18"/>
        </w:rPr>
        <w:t xml:space="preserve"> </w:t>
      </w:r>
      <w:r>
        <w:rPr>
          <w:rFonts w:ascii="Times New Roman" w:hAnsi="Times New Roman" w:eastAsia="Times New Roman" w:cs="Times New Roman"/>
          <w:b/>
          <w:bCs/>
          <w:sz w:val="18"/>
        </w:rPr>
        <w:t xml:space="preserve">proxy power.</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(a) Observed consumption and the PDIRT-allocated residual;</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(b) technology-level proxy shares for batteries and other thermal</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generation; and (c) load-residual share by latitude band of receiving</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buses. Panels use different denominators. Regions denote allocation</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locations in the model, not the true locations of missing assets.</w:t>
      </w:r>
    </w:p>
    <w:bookmarkEnd w:id="74"/>
    <w:bookmarkStart w:id="75" w:name="limitations"/>
    <w:p>
      <w:pPr>
        <w:pStyle w:val="Heading2"/>
        <w:keepNext/>
        <w:keepLines/>
        <w:widowControl/>
      </w:pPr>
      <w:r>
        <w:rPr>
          <w:rFonts w:ascii="Times New Roman" w:hAnsi="Times New Roman" w:eastAsia="Times New Roman" w:cs="Times New Roman"/>
          <w:sz w:val="24"/>
        </w:rPr>
        <w:t xml:space="preserve">Limitations</w:t>
      </w:r>
    </w:p>
    <w:p>
      <w:pPr>
        <w:pStyle w:val="FirstParagraph"/>
        <w:widowControl/>
      </w:pPr>
      <w:r>
        <w:rPr>
          <w:rFonts w:ascii="Times New Roman" w:hAnsi="Times New Roman" w:eastAsia="Times New Roman" w:cs="Times New Roman"/>
          <w:sz w:val="21"/>
        </w:rPr>
        <w:t xml:space="preserve">Validation supports aggregate temporal agreement, plausible spatial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ranking, and numerical self-consistency. Parameter and allocation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perturbations also show that system-wide trends are generally stable.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Public information remains insufficient to validate device-by-device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topology, branch flows, switching status, or generator capability.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Correlation, convergence, and screening counts must therefore not be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interpreted as equipment-level accuracy of an operator network. SimPT60</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is intended for reproducible research cases, relative-risk comparison,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method testing. Real-time dispatch, protection settings, and formal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compliance assessment require contemporaneous operator-approved models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operating records.</w:t>
      </w:r>
    </w:p>
    <w:bookmarkEnd w:id="75"/>
    <w:bookmarkEnd w:id="76"/>
    <w:bookmarkStart w:id="77" w:name="usage-notes"/>
    <w:p>
      <w:pPr>
        <w:pStyle w:val="Heading1"/>
        <w:keepNext/>
        <w:keepLines/>
        <w:widowControl/>
      </w:pPr>
      <w:r>
        <w:rPr>
          <w:rFonts w:ascii="Times New Roman" w:hAnsi="Times New Roman" w:eastAsia="Times New Roman" w:cs="Times New Roman"/>
          <w:sz w:val="28"/>
        </w:rPr>
        <w:t xml:space="preserve">Usage Notes</w:t>
      </w:r>
    </w:p>
    <w:p>
      <w:pPr>
        <w:pStyle w:val="FirstParagraph"/>
        <w:widowControl/>
        <w:jc w:val="left"/>
      </w:pPr>
      <w:r>
        <w:rPr>
          <w:rFonts w:ascii="Times New Roman" w:hAnsi="Times New Roman" w:eastAsia="Times New Roman" w:cs="Times New Roman"/>
          <w:sz w:val="21"/>
        </w:rPr>
        <w:t xml:space="preserve">The release is designed for reproducible time-series power-flow studies,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relative scenario comparison, and method testing. Users should select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the model variant explicitly: CORE-3783 is the static network used by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the 31,492 archived operating cases and their validation products,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whereas N1-3787 is restricted to the sampled contingency panel. The main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 monthly DuckDB files join through stable model, equipment, case,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UTC timestamp identifiers. Principal evidence and mapping fields include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source_id</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bus_id</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bus_assignment_rule</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available_from_utc</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source_status</w:t>
      </w:r>
      <w:r>
        <w:rPr>
          <w:rFonts w:ascii="Times New Roman" w:hAnsi="Times New Roman" w:eastAsia="Times New Roman" w:cs="Times New Roman"/>
          <w:sz w:val="21"/>
        </w:rPr>
        <w:t xml:space="preserve">, and field-level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parameter status; case-level inputs and results join through</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case_id</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timestamp_utc</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bus_order</w:t>
      </w:r>
      <w:r>
        <w:rPr>
          <w:rFonts w:ascii="Times New Roman" w:hAnsi="Times New Roman" w:eastAsia="Times New Roman" w:cs="Times New Roman"/>
          <w:sz w:val="21"/>
        </w:rPr>
        <w:t xml:space="preserve">, 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line_order</w:t>
      </w:r>
      <w:r>
        <w:rPr>
          <w:rFonts w:ascii="Times New Roman" w:hAnsi="Times New Roman" w:eastAsia="Times New Roman" w:cs="Times New Roman"/>
          <w:sz w:val="21"/>
        </w:rPr>
        <w:t xml:space="preserve">.</w:t>
      </w:r>
    </w:p>
    <w:p>
      <w:pPr>
        <w:pStyle w:val="BodyText"/>
        <w:widowControl/>
        <w:jc w:val="left"/>
      </w:pPr>
      <w:r>
        <w:rPr>
          <w:rFonts w:ascii="Times New Roman" w:hAnsi="Times New Roman" w:eastAsia="Times New Roman" w:cs="Times New Roman"/>
          <w:sz w:val="21"/>
        </w:rPr>
        <w:t xml:space="preserve">The released power-flow states are simulations derived from public data.</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Branch loading, bus voltage, and contingency results should be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interpreted comparatively and together with</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parameter_status</w:t>
      </w:r>
      <w:r>
        <w:rPr>
          <w:rFonts w:ascii="Times New Roman" w:hAnsi="Times New Roman" w:eastAsia="Times New Roman" w:cs="Times New Roman"/>
          <w:sz w:val="21"/>
        </w:rPr>
        <w:t xml:space="preserv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source_status</w:t>
      </w:r>
      <w:r>
        <w:rPr>
          <w:rFonts w:ascii="Times New Roman" w:hAnsi="Times New Roman" w:eastAsia="Times New Roman" w:cs="Times New Roman"/>
          <w:sz w:val="21"/>
        </w:rPr>
        <w:t xml:space="preserve">, allocation-audit fields, and the stated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screening thresholds. In the contingency panel, the incremental flag</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requires principal-solution convergence, no material island, and no new</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voltage or thermal violation relative to the corresponding N−0 state. It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does not identify every worsening of a pre-existing violation, so</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absolute post-contingency voltage and loading values must remain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primary screening outputs.</w:t>
      </w:r>
    </w:p>
    <w:p>
      <w:pPr>
        <w:pStyle w:val="BodyText"/>
        <w:widowControl/>
      </w:pPr>
      <w:r>
        <w:rPr>
          <w:rFonts w:ascii="Times New Roman" w:hAnsi="Times New Roman" w:eastAsia="Times New Roman" w:cs="Times New Roman"/>
          <w:sz w:val="21"/>
        </w:rPr>
        <w:t xml:space="preserve">Together, the linked records address the data gap identified in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Background &amp; Summary by joining a traceable 60–400 kV network,</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continuous operating inputs, and reproducible solved states in one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versioned resource. External comparisons support aggregate temporal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agreement and spatial ranking; held-out tests show the additional but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limited value of reconstructed network proximity; the sensitivity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results identify which branch-loading and voltage conclusions depend 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engineering assumptions; and the sampled N−1 records provide transparent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risk-screening cases. These findings support comparative research and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method evaluation while defining the boundary beyond which operator data</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are required.</w:t>
      </w:r>
    </w:p>
    <w:bookmarkEnd w:id="77"/>
    <w:bookmarkStart w:id="79" w:name="data-availability"/>
    <w:p>
      <w:pPr>
        <w:pStyle w:val="Heading1"/>
        <w:keepNext/>
        <w:keepLines/>
        <w:widowControl/>
      </w:pPr>
      <w:r>
        <w:rPr>
          <w:rFonts w:ascii="Times New Roman" w:hAnsi="Times New Roman" w:eastAsia="Times New Roman" w:cs="Times New Roman"/>
          <w:sz w:val="28"/>
        </w:rPr>
        <w:t xml:space="preserve">Data Availability</w:t>
      </w:r>
    </w:p>
    <w:p>
      <w:pPr>
        <w:pStyle w:val="FirstParagraph"/>
        <w:widowControl/>
      </w:pPr>
      <w:r>
        <w:rPr>
          <w:rFonts w:ascii="Times New Roman" w:hAnsi="Times New Roman" w:eastAsia="Times New Roman" w:cs="Times New Roman"/>
          <w:sz w:val="21"/>
        </w:rPr>
        <w:t xml:space="preserve">The frozen</w:t>
      </w:r>
      <w:r>
        <w:rPr>
          <w:rFonts w:ascii="Times New Roman" w:hAnsi="Times New Roman" w:eastAsia="Times New Roman" w:cs="Times New Roman"/>
          <w:sz w:val="21"/>
        </w:rPr>
        <w:t xml:space="preserve"> </w:t>
      </w:r>
      <w:r>
        <w:rPr>
          <w:rFonts w:ascii="Times New Roman" w:hAnsi="Times New Roman" w:eastAsia="Times New Roman" w:cs="Times New Roman"/>
          <w:b/>
          <w:bCs/>
          <w:sz w:val="21"/>
        </w:rPr>
        <w:t xml:space="preserve">SimPT60-2026.09.21-r1</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dataset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release</w:t>
      </w:r>
      <w:r>
        <w:rPr>
          <w:rFonts w:ascii="Times New Roman" w:hAnsi="Times New Roman" w:eastAsia="Times New Roman" w:cs="Times New Roman"/>
          <w:sz w:val="21"/>
          <w:vertAlign w:val="superscript"/>
        </w:rPr>
        <w:t xml:space="preserve">27</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is available from the</w:t>
      </w:r>
      <w:r>
        <w:rPr>
          <w:rFonts w:ascii="Times New Roman" w:hAnsi="Times New Roman" w:eastAsia="Times New Roman" w:cs="Times New Roman"/>
          <w:sz w:val="21"/>
        </w:rPr>
        <w:t xml:space="preserve"> </w:t>
      </w:r>
      <w:hyperlink r:id="rId78">
        <w:r>
          <w:rPr>
            <w:rStyle w:val="Hyperlink"/>
          </w:rPr>
          <w:t xml:space="preserve">project’s</w:t>
        </w:r>
        <w:r>
          <w:rPr>
            <w:rStyle w:val="Hyperlink"/>
          </w:rPr>
          <w:t xml:space="preserve"> </w:t>
        </w:r>
        <w:r>
          <w:rPr>
            <w:rStyle w:val="Hyperlink"/>
          </w:rPr>
          <w:t xml:space="preserve">versioned GitHub release</w:t>
        </w:r>
      </w:hyperlink>
      <w:r>
        <w:rPr>
          <w:rFonts w:ascii="Times New Roman" w:hAnsi="Times New Roman" w:eastAsia="Times New Roman" w:cs="Times New Roman"/>
          <w:sz w:val="21"/>
        </w:rPr>
        <w:t xml:space="preserve">. It contains the reproducibility core, 11</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compressed monthly result databases, the monthly manifest,</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release.json</w:t>
      </w:r>
      <w:r>
        <w:rPr>
          <w:rFonts w:ascii="Times New Roman" w:hAnsi="Times New Roman" w:eastAsia="Times New Roman" w:cs="Times New Roman"/>
          <w:sz w:val="21"/>
        </w:rPr>
        <w:t xml:space="preserve">, 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SHA256SUMS</w:t>
      </w:r>
      <w:r>
        <w:rPr>
          <w:rFonts w:ascii="Times New Roman" w:hAnsi="Times New Roman" w:eastAsia="Times New Roman" w:cs="Times New Roman"/>
          <w:sz w:val="21"/>
        </w:rPr>
        <w:t xml:space="preserve">. Raw third-party files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are redistributed only when their licences permit; otherwise,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release retains source URLs, archived metadata, file sizes,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fingerprints, and retrieval instructions. The release manifest</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identifies the CORE-3783 and N1-3787 model variants and their permitted</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uses.</w:t>
      </w:r>
    </w:p>
    <w:bookmarkEnd w:id="79"/>
    <w:bookmarkStart w:id="80" w:name="code-availability"/>
    <w:p>
      <w:pPr>
        <w:pStyle w:val="Heading1"/>
        <w:keepNext/>
        <w:keepLines/>
        <w:widowControl/>
      </w:pPr>
      <w:r>
        <w:rPr>
          <w:rFonts w:ascii="Times New Roman" w:hAnsi="Times New Roman" w:eastAsia="Times New Roman" w:cs="Times New Roman"/>
          <w:sz w:val="28"/>
        </w:rPr>
        <w:t xml:space="preserve">Code Availability</w:t>
      </w:r>
    </w:p>
    <w:p>
      <w:pPr>
        <w:pStyle w:val="FirstParagraph"/>
        <w:widowControl/>
        <w:jc w:val="left"/>
      </w:pPr>
      <w:r>
        <w:rPr>
          <w:rFonts w:ascii="Times New Roman" w:hAnsi="Times New Roman" w:eastAsia="Times New Roman" w:cs="Times New Roman"/>
          <w:sz w:val="21"/>
        </w:rPr>
        <w:t xml:space="preserve">Reproduction code, the locked Python environment, and the minimal replay</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commands are included in the</w:t>
      </w:r>
      <w:r>
        <w:rPr>
          <w:rFonts w:ascii="Times New Roman" w:hAnsi="Times New Roman" w:eastAsia="Times New Roman" w:cs="Times New Roman"/>
          <w:sz w:val="21"/>
        </w:rPr>
        <w:t xml:space="preserve"> </w:t>
      </w:r>
      <w:hyperlink r:id="rId78">
        <w:r>
          <w:rPr>
            <w:rStyle w:val="Hyperlink"/>
          </w:rPr>
          <w:t xml:space="preserve">SimPT60-2026.09.21-r1</w:t>
        </w:r>
        <w:r>
          <w:rPr>
            <w:rStyle w:val="Hyperlink"/>
          </w:rPr>
          <w:t xml:space="preserve"> </w:t>
        </w:r>
        <w:r>
          <w:rPr>
            <w:rStyle w:val="Hyperlink"/>
          </w:rPr>
          <w:t xml:space="preserve">release</w:t>
        </w:r>
      </w:hyperlink>
      <w:r>
        <w:rPr>
          <w:rFonts w:ascii="Times New Roman" w:hAnsi="Times New Roman" w:eastAsia="Times New Roman" w:cs="Times New Roman"/>
          <w:sz w:val="21"/>
        </w:rPr>
        <w:t xml:space="preserve">. The immutable tag fixes the release state, while</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release.json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and</w:t>
      </w:r>
      <w:r>
        <w:rPr>
          <w:rFonts w:ascii="Times New Roman" w:hAnsi="Times New Roman" w:eastAsia="Times New Roman" w:cs="Times New Roman"/>
          <w:sz w:val="21"/>
        </w:rPr>
        <w:t xml:space="preserve"> </w:t>
      </w:r>
      <w:r>
        <w:rPr>
          <w:rStyle w:val="VerbatimChar"/>
          <w:rFonts w:ascii="Times New Roman" w:hAnsi="Times New Roman" w:eastAsia="Times New Roman" w:cs="Times New Roman"/>
          <w:sz w:val="21"/>
        </w:rPr>
        <w:t xml:space="preserve">CODE_VERSION.json</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record the</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implementation commit and the limitation that the original historical</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monthly runs did not store a code commit. The replay workflow verifies</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selected released cases at a tolerance of</w:t>
      </w:r>
      <w:r>
        <w:rPr>
          <w:rFonts w:ascii="Times New Roman" w:hAnsi="Times New Roman" w:eastAsia="Times New Roman" w:cs="Times New Roman"/>
          <w:sz w:val="21"/>
        </w:rPr>
        <w:t xml:space="preserve"> </w:t>
      </w:r>
      <m:oMath>
        <m:sSup>
          <m:e>
            <m:r>
              <m:t>10</m:t>
            </m:r>
          </m:e>
          <m:sup>
            <m:r>
              <m:rPr>
                <m:sty m:val="p"/>
              </m:rPr>
              <m:t>−</m:t>
            </m:r>
            <m:r>
              <m:t>5</m:t>
            </m:r>
          </m:sup>
        </m:sSup>
      </m:oMath>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in the units of</w:t>
      </w:r>
      <w:r>
        <w:rPr>
          <w:rFonts w:ascii="Times New Roman" w:hAnsi="Times New Roman" w:eastAsia="Times New Roman" w:cs="Times New Roman"/>
          <w:sz w:val="21"/>
        </w:rPr>
        <w:t xml:space="preserve"> </w:t>
      </w:r>
      <w:r>
        <w:rPr>
          <w:rFonts w:ascii="Times New Roman" w:hAnsi="Times New Roman" w:eastAsia="Times New Roman" w:cs="Times New Roman"/>
          <w:sz w:val="21"/>
        </w:rPr>
        <w:t xml:space="preserve">each compared field.</w:t>
      </w:r>
    </w:p>
    <w:bookmarkEnd w:id="80"/>
    <w:bookmarkStart w:id="108" w:name="bibliography"/>
    <w:p>
      <w:pPr>
        <w:pStyle w:val="Heading1"/>
        <w:keepNext/>
        <w:keepLines/>
        <w:widowControl/>
      </w:pPr>
      <w:r>
        <w:rPr>
          <w:rFonts w:ascii="Times New Roman" w:hAnsi="Times New Roman" w:eastAsia="Times New Roman" w:cs="Times New Roman"/>
          <w:sz w:val="28"/>
        </w:rPr>
        <w:t xml:space="preserve">References</w:t>
      </w:r>
    </w:p>
    <w:p>
      <w:pPr>
        <w:pStyle w:val="Bibliography"/>
        <w:widowControl/>
      </w:pPr>
      <w:bookmarkStart w:id="81" w:name="refs"/>
      <w:bookmarkEnd w:id="81"/>
    </w:p>
    <w:p>
      <w:pPr>
        <w:pStyle w:val="Bibliography"/>
        <w:widowControl/>
      </w:pPr>
      <w:r>
        <w:rPr>
          <w:rFonts w:ascii="Times New Roman" w:hAnsi="Times New Roman" w:eastAsia="Times New Roman" w:cs="Times New Roman"/>
          <w:sz w:val="16"/>
        </w:rPr>
        <w:t xml:space="preserve"> </w:t>
      </w:r>
    </w:p>
    <w:p>
      <w:pPr>
        <w:pStyle w:val="Bibliography"/>
        <w:widowControl/>
      </w:pPr>
      <w:r>
        <w:rPr>
          <w:rFonts w:ascii="Times New Roman" w:hAnsi="Times New Roman" w:eastAsia="Times New Roman" w:cs="Times New Roman"/>
          <w:sz w:val="16"/>
        </w:rPr>
        <w:t xml:space="preserve">1.</w:t>
      </w:r>
    </w:p>
    <w:p>
      <w:pPr>
        <w:pStyle w:val="Bibliography"/>
        <w:widowControl/>
      </w:pPr>
      <w:r>
        <w:rPr>
          <w:rFonts w:ascii="Times New Roman" w:hAnsi="Times New Roman" w:eastAsia="Times New Roman" w:cs="Times New Roman"/>
          <w:sz w:val="16"/>
        </w:rPr>
        <w:t xml:space="preserve">Thurner, L.</w:t>
      </w:r>
      <w:r>
        <w:rPr>
          <w:rFonts w:ascii="Times New Roman" w:hAnsi="Times New Roman" w:eastAsia="Times New Roman" w:cs="Times New Roman"/>
          <w:sz w:val="16"/>
        </w:rPr>
        <w:t xml:space="preserve"> </w:t>
      </w:r>
      <w:r>
        <w:rPr>
          <w:rFonts w:ascii="Times New Roman" w:hAnsi="Times New Roman" w:eastAsia="Times New Roman" w:cs="Times New Roman"/>
          <w:i/>
          <w:iCs/>
          <w:sz w:val="16"/>
        </w:rPr>
        <w:t xml:space="preserve">et al.</w:t>
      </w:r>
      <w:r>
        <w:rPr>
          <w:rFonts w:ascii="Times New Roman" w:hAnsi="Times New Roman" w:eastAsia="Times New Roman" w:cs="Times New Roman"/>
          <w:sz w:val="16"/>
        </w:rPr>
        <w:t xml:space="preserve"> </w:t>
      </w:r>
      <w:hyperlink r:id="rId82">
        <w:r>
          <w:rPr>
            <w:rStyle w:val="Hyperlink"/>
          </w:rPr>
          <w:t xml:space="preserve">Pandapower—an</w:t>
        </w:r>
        <w:r>
          <w:rPr>
            <w:rStyle w:val="Hyperlink"/>
          </w:rPr>
          <w:t xml:space="preserve"> </w:t>
        </w:r>
        <w:r>
          <w:rPr>
            <w:rStyle w:val="Hyperlink"/>
          </w:rPr>
          <w:t xml:space="preserve">Open-Source</w:t>
        </w:r>
        <w:r>
          <w:rPr>
            <w:rStyle w:val="Hyperlink"/>
          </w:rPr>
          <w:t xml:space="preserve"> </w:t>
        </w:r>
        <w:r>
          <w:rPr>
            <w:rStyle w:val="Hyperlink"/>
          </w:rPr>
          <w:t xml:space="preserve">Python</w:t>
        </w:r>
        <w:r>
          <w:rPr>
            <w:rStyle w:val="Hyperlink"/>
          </w:rPr>
          <w:t xml:space="preserve"> </w:t>
        </w:r>
        <w:r>
          <w:rPr>
            <w:rStyle w:val="Hyperlink"/>
          </w:rPr>
          <w:t xml:space="preserve">Tool</w:t>
        </w:r>
        <w:r>
          <w:rPr>
            <w:rStyle w:val="Hyperlink"/>
          </w:rPr>
          <w:t xml:space="preserve"> </w:t>
        </w:r>
        <w:r>
          <w:rPr>
            <w:rStyle w:val="Hyperlink"/>
          </w:rPr>
          <w:t xml:space="preserve">for</w:t>
        </w:r>
        <w:r>
          <w:rPr>
            <w:rStyle w:val="Hyperlink"/>
          </w:rPr>
          <w:t xml:space="preserve"> </w:t>
        </w:r>
        <w:r>
          <w:rPr>
            <w:rStyle w:val="Hyperlink"/>
          </w:rPr>
          <w:t xml:space="preserve">Convenient</w:t>
        </w:r>
        <w:r>
          <w:rPr>
            <w:rStyle w:val="Hyperlink"/>
          </w:rPr>
          <w:t xml:space="preserve"> </w:t>
        </w:r>
        <w:r>
          <w:rPr>
            <w:rStyle w:val="Hyperlink"/>
          </w:rPr>
          <w:t xml:space="preserve">Modeling,</w:t>
        </w:r>
        <w:r>
          <w:rPr>
            <w:rStyle w:val="Hyperlink"/>
          </w:rPr>
          <w:t xml:space="preserve"> </w:t>
        </w:r>
        <w:r>
          <w:rPr>
            <w:rStyle w:val="Hyperlink"/>
          </w:rPr>
          <w:t xml:space="preserve">Analysis,</w:t>
        </w:r>
        <w:r>
          <w:rPr>
            <w:rStyle w:val="Hyperlink"/>
          </w:rPr>
          <w:t xml:space="preserve"> </w:t>
        </w:r>
        <w:r>
          <w:rPr>
            <w:rStyle w:val="Hyperlink"/>
          </w:rPr>
          <w:t xml:space="preserve">and</w:t>
        </w:r>
        <w:r>
          <w:rPr>
            <w:rStyle w:val="Hyperlink"/>
          </w:rPr>
          <w:t xml:space="preserve"> </w:t>
        </w:r>
        <w:r>
          <w:rPr>
            <w:rStyle w:val="Hyperlink"/>
          </w:rPr>
          <w:t xml:space="preserve">Optimization</w:t>
        </w:r>
        <w:r>
          <w:rPr>
            <w:rStyle w:val="Hyperlink"/>
          </w:rPr>
          <w:t xml:space="preserve"> </w:t>
        </w:r>
        <w:r>
          <w:rPr>
            <w:rStyle w:val="Hyperlink"/>
          </w:rPr>
          <w:t xml:space="preserve">of</w:t>
        </w:r>
        <w:r>
          <w:rPr>
            <w:rStyle w:val="Hyperlink"/>
          </w:rPr>
          <w:t xml:space="preserve"> </w:t>
        </w:r>
        <w:r>
          <w:rPr>
            <w:rStyle w:val="Hyperlink"/>
          </w:rPr>
          <w:t xml:space="preserve">Electric</w:t>
        </w:r>
        <w:r>
          <w:rPr>
            <w:rStyle w:val="Hyperlink"/>
          </w:rPr>
          <w:t xml:space="preserve"> </w:t>
        </w:r>
        <w:r>
          <w:rPr>
            <w:rStyle w:val="Hyperlink"/>
          </w:rPr>
          <w:t xml:space="preserve">Power</w:t>
        </w:r>
        <w:r>
          <w:rPr>
            <w:rStyle w:val="Hyperlink"/>
          </w:rPr>
          <w:t xml:space="preserve"> </w:t>
        </w:r>
        <w:r>
          <w:rPr>
            <w:rStyle w:val="Hyperlink"/>
          </w:rPr>
          <w:t xml:space="preserve">Systems</w:t>
        </w:r>
      </w:hyperlink>
      <w:r>
        <w:rPr>
          <w:rFonts w:ascii="Times New Roman" w:hAnsi="Times New Roman" w:eastAsia="Times New Roman" w:cs="Times New Roman"/>
          <w:sz w:val="16"/>
        </w:rPr>
        <w:t xml:space="preserve">.</w:t>
      </w:r>
      <w:r>
        <w:rPr>
          <w:rFonts w:ascii="Times New Roman" w:hAnsi="Times New Roman" w:eastAsia="Times New Roman" w:cs="Times New Roman"/>
          <w:sz w:val="16"/>
        </w:rPr>
        <w:t xml:space="preserve"> </w:t>
      </w:r>
      <w:r>
        <w:rPr>
          <w:rFonts w:ascii="Times New Roman" w:hAnsi="Times New Roman" w:eastAsia="Times New Roman" w:cs="Times New Roman"/>
          <w:i/>
          <w:iCs/>
          <w:sz w:val="16"/>
        </w:rPr>
        <w:t xml:space="preserve">IEEE</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Transactions on Power Systems</w:t>
      </w:r>
      <w:r>
        <w:rPr>
          <w:rFonts w:ascii="Times New Roman" w:hAnsi="Times New Roman" w:eastAsia="Times New Roman" w:cs="Times New Roman"/>
          <w:sz w:val="16"/>
        </w:rPr>
        <w:t xml:space="preserve"> </w:t>
      </w:r>
      <w:r>
        <w:rPr>
          <w:rFonts w:ascii="Times New Roman" w:hAnsi="Times New Roman" w:eastAsia="Times New Roman" w:cs="Times New Roman"/>
          <w:b/>
          <w:bCs/>
          <w:sz w:val="16"/>
        </w:rPr>
        <w:t xml:space="preserve">33</w:t>
      </w:r>
      <w:r>
        <w:rPr>
          <w:rFonts w:ascii="Times New Roman" w:hAnsi="Times New Roman" w:eastAsia="Times New Roman" w:cs="Times New Roman"/>
          <w:sz w:val="16"/>
        </w:rPr>
        <w:t xml:space="preserve">, 6510–6521 (2018).</w:t>
      </w:r>
    </w:p>
    <w:p>
      <w:pPr>
        <w:pStyle w:val="Bibliography"/>
        <w:widowControl/>
      </w:pPr>
      <w:r>
        <w:rPr>
          <w:rFonts w:ascii="Times New Roman" w:hAnsi="Times New Roman" w:eastAsia="Times New Roman" w:cs="Times New Roman"/>
          <w:sz w:val="16"/>
        </w:rPr>
        <w:t xml:space="preserve">2.</w:t>
      </w:r>
    </w:p>
    <w:p>
      <w:pPr>
        <w:pStyle w:val="Bibliography"/>
        <w:widowControl/>
      </w:pPr>
      <w:r>
        <w:rPr>
          <w:rFonts w:ascii="Times New Roman" w:hAnsi="Times New Roman" w:eastAsia="Times New Roman" w:cs="Times New Roman"/>
          <w:sz w:val="16"/>
        </w:rPr>
        <w:t xml:space="preserve">Hörsch, J., Hofmann, F., Schlachtberger, D. &amp; Brown, T.</w:t>
      </w:r>
      <w:r>
        <w:rPr>
          <w:rFonts w:ascii="Times New Roman" w:hAnsi="Times New Roman" w:eastAsia="Times New Roman" w:cs="Times New Roman"/>
          <w:sz w:val="16"/>
        </w:rPr>
        <w:t xml:space="preserve"> </w:t>
      </w:r>
      <w:hyperlink r:id="rId83">
        <w:r>
          <w:rPr>
            <w:rStyle w:val="Hyperlink"/>
          </w:rPr>
          <w:t xml:space="preserve">PyPSA-eur:</w:t>
        </w:r>
        <w:r>
          <w:rPr>
            <w:rStyle w:val="Hyperlink"/>
          </w:rPr>
          <w:t xml:space="preserve"> </w:t>
        </w:r>
        <w:r>
          <w:rPr>
            <w:rStyle w:val="Hyperlink"/>
          </w:rPr>
          <w:t xml:space="preserve">An</w:t>
        </w:r>
        <w:r>
          <w:rPr>
            <w:rStyle w:val="Hyperlink"/>
          </w:rPr>
          <w:t xml:space="preserve"> </w:t>
        </w:r>
        <w:r>
          <w:rPr>
            <w:rStyle w:val="Hyperlink"/>
          </w:rPr>
          <w:t xml:space="preserve">Open</w:t>
        </w:r>
        <w:r>
          <w:rPr>
            <w:rStyle w:val="Hyperlink"/>
          </w:rPr>
          <w:t xml:space="preserve"> </w:t>
        </w:r>
        <w:r>
          <w:rPr>
            <w:rStyle w:val="Hyperlink"/>
          </w:rPr>
          <w:t xml:space="preserve">Optimisation</w:t>
        </w:r>
        <w:r>
          <w:rPr>
            <w:rStyle w:val="Hyperlink"/>
          </w:rPr>
          <w:t xml:space="preserve"> </w:t>
        </w:r>
        <w:r>
          <w:rPr>
            <w:rStyle w:val="Hyperlink"/>
          </w:rPr>
          <w:t xml:space="preserve">Model</w:t>
        </w:r>
        <w:r>
          <w:rPr>
            <w:rStyle w:val="Hyperlink"/>
          </w:rPr>
          <w:t xml:space="preserve"> </w:t>
        </w:r>
        <w:r>
          <w:rPr>
            <w:rStyle w:val="Hyperlink"/>
          </w:rPr>
          <w:t xml:space="preserve">of the</w:t>
        </w:r>
        <w:r>
          <w:rPr>
            <w:rStyle w:val="Hyperlink"/>
          </w:rPr>
          <w:t xml:space="preserve"> </w:t>
        </w:r>
        <w:r>
          <w:rPr>
            <w:rStyle w:val="Hyperlink"/>
          </w:rPr>
          <w:t xml:space="preserve">European</w:t>
        </w:r>
        <w:r>
          <w:rPr>
            <w:rStyle w:val="Hyperlink"/>
          </w:rPr>
          <w:t xml:space="preserve"> </w:t>
        </w:r>
        <w:r>
          <w:rPr>
            <w:rStyle w:val="Hyperlink"/>
          </w:rPr>
          <w:t xml:space="preserve">Transmission</w:t>
        </w:r>
        <w:r>
          <w:rPr>
            <w:rStyle w:val="Hyperlink"/>
          </w:rPr>
          <w:t xml:space="preserve"> </w:t>
        </w:r>
        <w:r>
          <w:rPr>
            <w:rStyle w:val="Hyperlink"/>
          </w:rPr>
          <w:t xml:space="preserve">System</w:t>
        </w:r>
      </w:hyperlink>
      <w:r>
        <w:rPr>
          <w:rFonts w:ascii="Times New Roman" w:hAnsi="Times New Roman" w:eastAsia="Times New Roman" w:cs="Times New Roman"/>
          <w:sz w:val="16"/>
        </w:rPr>
        <w:t xml:space="preserve">.</w:t>
      </w:r>
      <w:r>
        <w:rPr>
          <w:rFonts w:ascii="Times New Roman" w:hAnsi="Times New Roman" w:eastAsia="Times New Roman" w:cs="Times New Roman"/>
          <w:sz w:val="16"/>
        </w:rPr>
        <w:t xml:space="preserve"> </w:t>
      </w:r>
      <w:r>
        <w:rPr>
          <w:rFonts w:ascii="Times New Roman" w:hAnsi="Times New Roman" w:eastAsia="Times New Roman" w:cs="Times New Roman"/>
          <w:i/>
          <w:iCs/>
          <w:sz w:val="16"/>
        </w:rPr>
        <w:t xml:space="preserve">Energy Strategy Reviews</w:t>
      </w:r>
      <w:r>
        <w:rPr>
          <w:rFonts w:ascii="Times New Roman" w:hAnsi="Times New Roman" w:eastAsia="Times New Roman" w:cs="Times New Roman"/>
          <w:sz w:val="16"/>
        </w:rPr>
        <w:t xml:space="preserve"> </w:t>
      </w:r>
      <w:r>
        <w:rPr>
          <w:rFonts w:ascii="Times New Roman" w:hAnsi="Times New Roman" w:eastAsia="Times New Roman" w:cs="Times New Roman"/>
          <w:b/>
          <w:bCs/>
          <w:sz w:val="16"/>
        </w:rPr>
        <w:t xml:space="preserve">22</w:t>
      </w:r>
      <w:r>
        <w:rPr>
          <w:rFonts w:ascii="Times New Roman" w:hAnsi="Times New Roman" w:eastAsia="Times New Roman" w:cs="Times New Roman"/>
          <w:sz w:val="16"/>
        </w:rPr>
        <w:t xml:space="preserve">, 207–215 (2018).</w:t>
      </w:r>
    </w:p>
    <w:p>
      <w:pPr>
        <w:pStyle w:val="Bibliography"/>
        <w:widowControl/>
      </w:pPr>
      <w:r>
        <w:rPr>
          <w:rFonts w:ascii="Times New Roman" w:hAnsi="Times New Roman" w:eastAsia="Times New Roman" w:cs="Times New Roman"/>
          <w:sz w:val="16"/>
        </w:rPr>
        <w:t xml:space="preserve">3.</w:t>
      </w:r>
    </w:p>
    <w:p>
      <w:pPr>
        <w:pStyle w:val="Bibliography"/>
        <w:widowControl/>
      </w:pPr>
      <w:r>
        <w:rPr>
          <w:rFonts w:ascii="Times New Roman" w:hAnsi="Times New Roman" w:eastAsia="Times New Roman" w:cs="Times New Roman"/>
          <w:sz w:val="16"/>
        </w:rPr>
        <w:t xml:space="preserve">Meinecke, S.</w:t>
      </w:r>
      <w:r>
        <w:rPr>
          <w:rFonts w:ascii="Times New Roman" w:hAnsi="Times New Roman" w:eastAsia="Times New Roman" w:cs="Times New Roman"/>
          <w:sz w:val="16"/>
        </w:rPr>
        <w:t xml:space="preserve"> </w:t>
      </w:r>
      <w:r>
        <w:rPr>
          <w:rFonts w:ascii="Times New Roman" w:hAnsi="Times New Roman" w:eastAsia="Times New Roman" w:cs="Times New Roman"/>
          <w:i/>
          <w:iCs/>
          <w:sz w:val="16"/>
        </w:rPr>
        <w:t xml:space="preserve">et al.</w:t>
      </w:r>
      <w:r>
        <w:rPr>
          <w:rFonts w:ascii="Times New Roman" w:hAnsi="Times New Roman" w:eastAsia="Times New Roman" w:cs="Times New Roman"/>
          <w:sz w:val="16"/>
        </w:rPr>
        <w:t xml:space="preserve"> </w:t>
      </w:r>
      <w:hyperlink r:id="rId84">
        <w:r>
          <w:rPr>
            <w:rStyle w:val="Hyperlink"/>
          </w:rPr>
          <w:t xml:space="preserve">SimBench—a</w:t>
        </w:r>
        <w:r>
          <w:rPr>
            <w:rStyle w:val="Hyperlink"/>
          </w:rPr>
          <w:t xml:space="preserve"> </w:t>
        </w:r>
        <w:r>
          <w:rPr>
            <w:rStyle w:val="Hyperlink"/>
          </w:rPr>
          <w:t xml:space="preserve">Benchmark</w:t>
        </w:r>
        <w:r>
          <w:rPr>
            <w:rStyle w:val="Hyperlink"/>
          </w:rPr>
          <w:t xml:space="preserve"> </w:t>
        </w:r>
        <w:r>
          <w:rPr>
            <w:rStyle w:val="Hyperlink"/>
          </w:rPr>
          <w:t xml:space="preserve">Dataset</w:t>
        </w:r>
        <w:r>
          <w:rPr>
            <w:rStyle w:val="Hyperlink"/>
          </w:rPr>
          <w:t xml:space="preserve"> </w:t>
        </w:r>
        <w:r>
          <w:rPr>
            <w:rStyle w:val="Hyperlink"/>
          </w:rPr>
          <w:t xml:space="preserve">of</w:t>
        </w:r>
        <w:r>
          <w:rPr>
            <w:rStyle w:val="Hyperlink"/>
          </w:rPr>
          <w:t xml:space="preserve"> </w:t>
        </w:r>
        <w:r>
          <w:rPr>
            <w:rStyle w:val="Hyperlink"/>
          </w:rPr>
          <w:t xml:space="preserve">Electric</w:t>
        </w:r>
        <w:r>
          <w:rPr>
            <w:rStyle w:val="Hyperlink"/>
          </w:rPr>
          <w:t xml:space="preserve"> </w:t>
        </w:r>
        <w:r>
          <w:rPr>
            <w:rStyle w:val="Hyperlink"/>
          </w:rPr>
          <w:t xml:space="preserve">Power</w:t>
        </w:r>
        <w:r>
          <w:rPr>
            <w:rStyle w:val="Hyperlink"/>
          </w:rPr>
          <w:t xml:space="preserve"> </w:t>
        </w:r>
        <w:r>
          <w:rPr>
            <w:rStyle w:val="Hyperlink"/>
          </w:rPr>
          <w:t xml:space="preserve">Systems</w:t>
        </w:r>
        <w:r>
          <w:rPr>
            <w:rStyle w:val="Hyperlink"/>
          </w:rPr>
          <w:t xml:space="preserve"> </w:t>
        </w:r>
        <w:r>
          <w:rPr>
            <w:rStyle w:val="Hyperlink"/>
          </w:rPr>
          <w:t xml:space="preserve">to</w:t>
        </w:r>
        <w:r>
          <w:rPr>
            <w:rStyle w:val="Hyperlink"/>
          </w:rPr>
          <w:t xml:space="preserve"> </w:t>
        </w:r>
        <w:r>
          <w:rPr>
            <w:rStyle w:val="Hyperlink"/>
          </w:rPr>
          <w:t xml:space="preserve">Compare</w:t>
        </w:r>
        <w:r>
          <w:rPr>
            <w:rStyle w:val="Hyperlink"/>
          </w:rPr>
          <w:t xml:space="preserve"> </w:t>
        </w:r>
        <w:r>
          <w:rPr>
            <w:rStyle w:val="Hyperlink"/>
          </w:rPr>
          <w:t xml:space="preserve">Innovative</w:t>
        </w:r>
        <w:r>
          <w:rPr>
            <w:rStyle w:val="Hyperlink"/>
          </w:rPr>
          <w:t xml:space="preserve"> </w:t>
        </w:r>
        <w:r>
          <w:rPr>
            <w:rStyle w:val="Hyperlink"/>
          </w:rPr>
          <w:t xml:space="preserve">Solutions</w:t>
        </w:r>
        <w:r>
          <w:rPr>
            <w:rStyle w:val="Hyperlink"/>
          </w:rPr>
          <w:t xml:space="preserve"> </w:t>
        </w:r>
        <w:r>
          <w:rPr>
            <w:rStyle w:val="Hyperlink"/>
          </w:rPr>
          <w:t xml:space="preserve">Based</w:t>
        </w:r>
        <w:r>
          <w:rPr>
            <w:rStyle w:val="Hyperlink"/>
          </w:rPr>
          <w:t xml:space="preserve"> </w:t>
        </w:r>
        <w:r>
          <w:rPr>
            <w:rStyle w:val="Hyperlink"/>
          </w:rPr>
          <w:t xml:space="preserve">on</w:t>
        </w:r>
        <w:r>
          <w:rPr>
            <w:rStyle w:val="Hyperlink"/>
          </w:rPr>
          <w:t xml:space="preserve"> </w:t>
        </w:r>
        <w:r>
          <w:rPr>
            <w:rStyle w:val="Hyperlink"/>
          </w:rPr>
          <w:t xml:space="preserve">Power</w:t>
        </w:r>
        <w:r>
          <w:rPr>
            <w:rStyle w:val="Hyperlink"/>
          </w:rPr>
          <w:t xml:space="preserve"> </w:t>
        </w:r>
        <w:r>
          <w:rPr>
            <w:rStyle w:val="Hyperlink"/>
          </w:rPr>
          <w:t xml:space="preserve">Flow</w:t>
        </w:r>
        <w:r>
          <w:rPr>
            <w:rStyle w:val="Hyperlink"/>
          </w:rPr>
          <w:t xml:space="preserve"> </w:t>
        </w:r>
        <w:r>
          <w:rPr>
            <w:rStyle w:val="Hyperlink"/>
          </w:rPr>
          <w:t xml:space="preserve">Analysis</w:t>
        </w:r>
      </w:hyperlink>
      <w:r>
        <w:rPr>
          <w:rFonts w:ascii="Times New Roman" w:hAnsi="Times New Roman" w:eastAsia="Times New Roman" w:cs="Times New Roman"/>
          <w:sz w:val="16"/>
        </w:rPr>
        <w:t xml:space="preserve">.</w:t>
      </w:r>
      <w:r>
        <w:rPr>
          <w:rFonts w:ascii="Times New Roman" w:hAnsi="Times New Roman" w:eastAsia="Times New Roman" w:cs="Times New Roman"/>
          <w:sz w:val="16"/>
        </w:rPr>
        <w:t xml:space="preserve"> </w:t>
      </w:r>
      <w:r>
        <w:rPr>
          <w:rFonts w:ascii="Times New Roman" w:hAnsi="Times New Roman" w:eastAsia="Times New Roman" w:cs="Times New Roman"/>
          <w:i/>
          <w:iCs/>
          <w:sz w:val="16"/>
        </w:rPr>
        <w:t xml:space="preserve">Energies</w:t>
      </w:r>
      <w:r>
        <w:rPr>
          <w:rFonts w:ascii="Times New Roman" w:hAnsi="Times New Roman" w:eastAsia="Times New Roman" w:cs="Times New Roman"/>
          <w:sz w:val="16"/>
        </w:rPr>
        <w:t xml:space="preserve"> </w:t>
      </w:r>
      <w:r>
        <w:rPr>
          <w:rFonts w:ascii="Times New Roman" w:hAnsi="Times New Roman" w:eastAsia="Times New Roman" w:cs="Times New Roman"/>
          <w:b/>
          <w:bCs/>
          <w:sz w:val="16"/>
        </w:rPr>
        <w:t xml:space="preserve">13</w:t>
      </w:r>
      <w:r>
        <w:rPr>
          <w:rFonts w:ascii="Times New Roman" w:hAnsi="Times New Roman" w:eastAsia="Times New Roman" w:cs="Times New Roman"/>
          <w:sz w:val="16"/>
        </w:rPr>
        <w:t xml:space="preserve">, 3290 (2020).</w:t>
      </w:r>
    </w:p>
    <w:p>
      <w:pPr>
        <w:pStyle w:val="Bibliography"/>
        <w:widowControl/>
      </w:pPr>
      <w:r>
        <w:rPr>
          <w:rFonts w:ascii="Times New Roman" w:hAnsi="Times New Roman" w:eastAsia="Times New Roman" w:cs="Times New Roman"/>
          <w:sz w:val="16"/>
        </w:rPr>
        <w:t xml:space="preserve">4.</w:t>
      </w:r>
    </w:p>
    <w:p>
      <w:pPr>
        <w:pStyle w:val="Bibliography"/>
        <w:widowControl/>
      </w:pPr>
      <w:r>
        <w:rPr>
          <w:rFonts w:ascii="Times New Roman" w:hAnsi="Times New Roman" w:eastAsia="Times New Roman" w:cs="Times New Roman"/>
          <w:sz w:val="16"/>
        </w:rPr>
        <w:t xml:space="preserve">Xiong, B., Fioriti, D., Neumann, F., Riepin, I. &amp;</w:t>
      </w:r>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Brown, T.</w:t>
      </w:r>
      <w:r>
        <w:rPr>
          <w:rFonts w:ascii="Times New Roman" w:hAnsi="Times New Roman" w:eastAsia="Times New Roman" w:cs="Times New Roman"/>
          <w:sz w:val="16"/>
        </w:rPr>
        <w:t xml:space="preserve"> </w:t>
      </w:r>
      <w:hyperlink r:id="rId85">
        <w:r>
          <w:rPr>
            <w:rStyle w:val="Hyperlink"/>
          </w:rPr>
          <w:t xml:space="preserve">Modelling</w:t>
        </w:r>
        <w:r>
          <w:rPr>
            <w:rStyle w:val="Hyperlink"/>
          </w:rPr>
          <w:t xml:space="preserve"> </w:t>
        </w:r>
        <w:r>
          <w:rPr>
            <w:rStyle w:val="Hyperlink"/>
          </w:rPr>
          <w:t xml:space="preserve">the</w:t>
        </w:r>
        <w:r>
          <w:rPr>
            <w:rStyle w:val="Hyperlink"/>
          </w:rPr>
          <w:t xml:space="preserve"> </w:t>
        </w:r>
        <w:r>
          <w:rPr>
            <w:rStyle w:val="Hyperlink"/>
          </w:rPr>
          <w:t xml:space="preserve">High-Voltage</w:t>
        </w:r>
        <w:r>
          <w:rPr>
            <w:rStyle w:val="Hyperlink"/>
          </w:rPr>
          <w:t xml:space="preserve"> </w:t>
        </w:r>
        <w:r>
          <w:rPr>
            <w:rStyle w:val="Hyperlink"/>
          </w:rPr>
          <w:t xml:space="preserve">Grid</w:t>
        </w:r>
        <w:r>
          <w:rPr>
            <w:rStyle w:val="Hyperlink"/>
          </w:rPr>
          <w:t xml:space="preserve"> </w:t>
        </w:r>
        <w:r>
          <w:rPr>
            <w:rStyle w:val="Hyperlink"/>
          </w:rPr>
          <w:t xml:space="preserve">Using</w:t>
        </w:r>
        <w:r>
          <w:rPr>
            <w:rStyle w:val="Hyperlink"/>
          </w:rPr>
          <w:t xml:space="preserve"> </w:t>
        </w:r>
        <w:r>
          <w:rPr>
            <w:rStyle w:val="Hyperlink"/>
          </w:rPr>
          <w:t xml:space="preserve">Open</w:t>
        </w:r>
        <w:r>
          <w:rPr>
            <w:rStyle w:val="Hyperlink"/>
          </w:rPr>
          <w:t xml:space="preserve"> </w:t>
        </w:r>
        <w:r>
          <w:rPr>
            <w:rStyle w:val="Hyperlink"/>
          </w:rPr>
          <w:t xml:space="preserve">Data</w:t>
        </w:r>
        <w:r>
          <w:rPr>
            <w:rStyle w:val="Hyperlink"/>
          </w:rPr>
          <w:t xml:space="preserve"> </w:t>
        </w:r>
        <w:r>
          <w:rPr>
            <w:rStyle w:val="Hyperlink"/>
          </w:rPr>
          <w:t xml:space="preserve">for</w:t>
        </w:r>
        <w:r>
          <w:rPr>
            <w:rStyle w:val="Hyperlink"/>
          </w:rPr>
          <w:t xml:space="preserve"> </w:t>
        </w:r>
        <w:r>
          <w:rPr>
            <w:rStyle w:val="Hyperlink"/>
          </w:rPr>
          <w:t xml:space="preserve">Europe</w:t>
        </w:r>
        <w:r>
          <w:rPr>
            <w:rStyle w:val="Hyperlink"/>
          </w:rPr>
          <w:t xml:space="preserve"> </w:t>
        </w:r>
        <w:r>
          <w:rPr>
            <w:rStyle w:val="Hyperlink"/>
          </w:rPr>
          <w:t xml:space="preserve">and</w:t>
        </w:r>
        <w:r>
          <w:rPr>
            <w:rStyle w:val="Hyperlink"/>
          </w:rPr>
          <w:t xml:space="preserve"> </w:t>
        </w:r>
        <w:r>
          <w:rPr>
            <w:rStyle w:val="Hyperlink"/>
          </w:rPr>
          <w:t xml:space="preserve">Beyond</w:t>
        </w:r>
      </w:hyperlink>
      <w:r>
        <w:rPr>
          <w:rFonts w:ascii="Times New Roman" w:hAnsi="Times New Roman" w:eastAsia="Times New Roman" w:cs="Times New Roman"/>
          <w:sz w:val="16"/>
        </w:rPr>
        <w:t xml:space="preserve">.</w:t>
      </w:r>
      <w:r>
        <w:rPr>
          <w:rFonts w:ascii="Times New Roman" w:hAnsi="Times New Roman" w:eastAsia="Times New Roman" w:cs="Times New Roman"/>
          <w:sz w:val="16"/>
        </w:rPr>
        <w:t xml:space="preserve"> </w:t>
      </w:r>
      <w:r>
        <w:rPr>
          <w:rFonts w:ascii="Times New Roman" w:hAnsi="Times New Roman" w:eastAsia="Times New Roman" w:cs="Times New Roman"/>
          <w:i/>
          <w:iCs/>
          <w:sz w:val="16"/>
        </w:rPr>
        <w:t xml:space="preserve">Scientific Data</w:t>
      </w:r>
      <w:r>
        <w:rPr>
          <w:rFonts w:ascii="Times New Roman" w:hAnsi="Times New Roman" w:eastAsia="Times New Roman" w:cs="Times New Roman"/>
          <w:sz w:val="16"/>
        </w:rPr>
        <w:t xml:space="preserve"> </w:t>
      </w:r>
      <w:r>
        <w:rPr>
          <w:rFonts w:ascii="Times New Roman" w:hAnsi="Times New Roman" w:eastAsia="Times New Roman" w:cs="Times New Roman"/>
          <w:b/>
          <w:bCs/>
          <w:sz w:val="16"/>
        </w:rPr>
        <w:t xml:space="preserve">12</w:t>
      </w:r>
      <w:r>
        <w:rPr>
          <w:rFonts w:ascii="Times New Roman" w:hAnsi="Times New Roman" w:eastAsia="Times New Roman" w:cs="Times New Roman"/>
          <w:sz w:val="16"/>
        </w:rPr>
        <w:t xml:space="preserve">, 277 (2025).</w:t>
      </w:r>
    </w:p>
    <w:p>
      <w:pPr>
        <w:pStyle w:val="Bibliography"/>
        <w:widowControl/>
      </w:pPr>
      <w:r>
        <w:rPr>
          <w:rFonts w:ascii="Times New Roman" w:hAnsi="Times New Roman" w:eastAsia="Times New Roman" w:cs="Times New Roman"/>
          <w:sz w:val="16"/>
        </w:rPr>
        <w:t xml:space="preserve">5.</w:t>
      </w:r>
    </w:p>
    <w:p>
      <w:pPr>
        <w:pStyle w:val="Bibliography"/>
        <w:widowControl/>
      </w:pPr>
      <w:r>
        <w:rPr>
          <w:rFonts w:ascii="Times New Roman" w:hAnsi="Times New Roman" w:eastAsia="Times New Roman" w:cs="Times New Roman"/>
          <w:sz w:val="16"/>
        </w:rPr>
        <w:t xml:space="preserve">DGEG.</w:t>
      </w:r>
      <w:r>
        <w:rPr>
          <w:rFonts w:ascii="Times New Roman" w:hAnsi="Times New Roman" w:eastAsia="Times New Roman" w:cs="Times New Roman"/>
          <w:sz w:val="16"/>
        </w:rPr>
        <w:t xml:space="preserve"> </w:t>
      </w:r>
      <w:r>
        <w:rPr>
          <w:rFonts w:ascii="Times New Roman" w:hAnsi="Times New Roman" w:eastAsia="Times New Roman" w:cs="Times New Roman"/>
          <w:i/>
          <w:iCs/>
          <w:sz w:val="16"/>
        </w:rPr>
        <w:t xml:space="preserve">Portugal:</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Plano</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Nacional</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Energia</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e</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Clima</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2021–2030, Atualização/Revisão</w:t>
      </w:r>
      <w:r>
        <w:rPr>
          <w:rFonts w:ascii="Times New Roman" w:hAnsi="Times New Roman" w:eastAsia="Times New Roman" w:cs="Times New Roman"/>
          <w:sz w:val="16"/>
        </w:rPr>
        <w:t xml:space="preserve">.</w:t>
      </w:r>
      <w:r>
        <w:rPr>
          <w:rFonts w:ascii="Times New Roman" w:hAnsi="Times New Roman" w:eastAsia="Times New Roman" w:cs="Times New Roman"/>
          <w:sz w:val="16"/>
        </w:rPr>
        <w:t xml:space="preserve"> </w:t>
      </w:r>
      <w:hyperlink r:id="rId86">
        <w:r>
          <w:rPr>
            <w:rStyle w:val="Hyperlink"/>
          </w:rPr>
          <w:t xml:space="preserve">https://www.dgeg.gov.pt/media/54fldci3/pnec2030_para_aprov_ar.pdf</w:t>
        </w:r>
      </w:hyperlink>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(2024).</w:t>
      </w:r>
    </w:p>
    <w:p>
      <w:pPr>
        <w:pStyle w:val="Bibliography"/>
        <w:widowControl/>
      </w:pPr>
      <w:r>
        <w:rPr>
          <w:rFonts w:ascii="Times New Roman" w:hAnsi="Times New Roman" w:eastAsia="Times New Roman" w:cs="Times New Roman"/>
          <w:sz w:val="16"/>
        </w:rPr>
        <w:t xml:space="preserve">6.</w:t>
      </w:r>
    </w:p>
    <w:p>
      <w:pPr>
        <w:pStyle w:val="Bibliography"/>
        <w:widowControl/>
      </w:pPr>
      <w:r>
        <w:rPr>
          <w:rFonts w:ascii="Times New Roman" w:hAnsi="Times New Roman" w:eastAsia="Times New Roman" w:cs="Times New Roman"/>
          <w:sz w:val="16"/>
        </w:rPr>
        <w:t xml:space="preserve">E-REDES.</w:t>
      </w:r>
      <w:r>
        <w:rPr>
          <w:rFonts w:ascii="Times New Roman" w:hAnsi="Times New Roman" w:eastAsia="Times New Roman" w:cs="Times New Roman"/>
          <w:sz w:val="16"/>
        </w:rPr>
        <w:t xml:space="preserve"> </w:t>
      </w:r>
      <w:hyperlink r:id="rId87">
        <w:r>
          <w:rPr>
            <w:rStyle w:val="Hyperlink"/>
          </w:rPr>
          <w:t xml:space="preserve">Rede</w:t>
        </w:r>
        <w:r>
          <w:rPr>
            <w:rStyle w:val="Hyperlink"/>
          </w:rPr>
          <w:t xml:space="preserve"> </w:t>
        </w:r>
        <w:r>
          <w:rPr>
            <w:rStyle w:val="Hyperlink"/>
          </w:rPr>
          <w:t xml:space="preserve">Nacional</w:t>
        </w:r>
        <w:r>
          <w:rPr>
            <w:rStyle w:val="Hyperlink"/>
          </w:rPr>
          <w:t xml:space="preserve"> </w:t>
        </w:r>
        <w:r>
          <w:rPr>
            <w:rStyle w:val="Hyperlink"/>
          </w:rPr>
          <w:t xml:space="preserve">de</w:t>
        </w:r>
        <w:r>
          <w:rPr>
            <w:rStyle w:val="Hyperlink"/>
          </w:rPr>
          <w:t xml:space="preserve"> </w:t>
        </w:r>
        <w:r>
          <w:rPr>
            <w:rStyle w:val="Hyperlink"/>
          </w:rPr>
          <w:t xml:space="preserve">Distribuição:</w:t>
        </w:r>
        <w:r>
          <w:rPr>
            <w:rStyle w:val="Hyperlink"/>
          </w:rPr>
          <w:t xml:space="preserve"> </w:t>
        </w:r>
        <w:r>
          <w:rPr>
            <w:rStyle w:val="Hyperlink"/>
          </w:rPr>
          <w:t xml:space="preserve">Dados</w:t>
        </w:r>
        <w:r>
          <w:rPr>
            <w:rStyle w:val="Hyperlink"/>
          </w:rPr>
          <w:t xml:space="preserve"> </w:t>
        </w:r>
        <w:r>
          <w:rPr>
            <w:rStyle w:val="Hyperlink"/>
          </w:rPr>
          <w:t xml:space="preserve">da</w:t>
        </w:r>
        <w:r>
          <w:rPr>
            <w:rStyle w:val="Hyperlink"/>
          </w:rPr>
          <w:t xml:space="preserve"> </w:t>
        </w:r>
        <w:r>
          <w:rPr>
            <w:rStyle w:val="Hyperlink"/>
          </w:rPr>
          <w:t xml:space="preserve">Rede</w:t>
        </w:r>
        <w:r>
          <w:rPr>
            <w:rStyle w:val="Hyperlink"/>
          </w:rPr>
          <w:t xml:space="preserve"> </w:t>
        </w:r>
        <w:r>
          <w:rPr>
            <w:rStyle w:val="Hyperlink"/>
          </w:rPr>
          <w:t xml:space="preserve">AT</w:t>
        </w:r>
        <w:r>
          <w:rPr>
            <w:rStyle w:val="Hyperlink"/>
          </w:rPr>
          <w:t xml:space="preserve"> </w:t>
        </w:r>
        <w:r>
          <w:rPr>
            <w:rStyle w:val="Hyperlink"/>
          </w:rPr>
          <w:t xml:space="preserve">e</w:t>
        </w:r>
        <w:r>
          <w:rPr>
            <w:rStyle w:val="Hyperlink"/>
          </w:rPr>
          <w:t xml:space="preserve"> </w:t>
        </w:r>
        <w:r>
          <w:rPr>
            <w:rStyle w:val="Hyperlink"/>
          </w:rPr>
          <w:t xml:space="preserve">Cargas</w:t>
        </w:r>
        <w:r>
          <w:rPr>
            <w:rStyle w:val="Hyperlink"/>
          </w:rPr>
          <w:t xml:space="preserve"> </w:t>
        </w:r>
        <w:r>
          <w:rPr>
            <w:rStyle w:val="Hyperlink"/>
          </w:rPr>
          <w:t xml:space="preserve">de</w:t>
        </w:r>
        <w:r>
          <w:rPr>
            <w:rStyle w:val="Hyperlink"/>
          </w:rPr>
          <w:t xml:space="preserve"> </w:t>
        </w:r>
        <w:r>
          <w:rPr>
            <w:rStyle w:val="Hyperlink"/>
          </w:rPr>
          <w:t xml:space="preserve">Subestação</w:t>
        </w:r>
      </w:hyperlink>
      <w:r>
        <w:rPr>
          <w:rFonts w:ascii="Times New Roman" w:hAnsi="Times New Roman" w:eastAsia="Times New Roman" w:cs="Times New Roman"/>
          <w:sz w:val="16"/>
        </w:rPr>
        <w:t xml:space="preserve">.</w:t>
      </w:r>
    </w:p>
    <w:p>
      <w:pPr>
        <w:pStyle w:val="Bibliography"/>
        <w:widowControl/>
      </w:pPr>
      <w:r>
        <w:rPr>
          <w:rFonts w:ascii="Times New Roman" w:hAnsi="Times New Roman" w:eastAsia="Times New Roman" w:cs="Times New Roman"/>
          <w:sz w:val="16"/>
        </w:rPr>
        <w:t xml:space="preserve">7.</w:t>
      </w:r>
    </w:p>
    <w:p>
      <w:pPr>
        <w:pStyle w:val="Bibliography"/>
        <w:widowControl/>
      </w:pPr>
      <w:r>
        <w:rPr>
          <w:rFonts w:ascii="Times New Roman" w:hAnsi="Times New Roman" w:eastAsia="Times New Roman" w:cs="Times New Roman"/>
          <w:sz w:val="16"/>
        </w:rPr>
        <w:t xml:space="preserve">REN.</w:t>
      </w:r>
      <w:r>
        <w:rPr>
          <w:rFonts w:ascii="Times New Roman" w:hAnsi="Times New Roman" w:eastAsia="Times New Roman" w:cs="Times New Roman"/>
          <w:sz w:val="16"/>
        </w:rPr>
        <w:t xml:space="preserve"> </w:t>
      </w:r>
      <w:hyperlink r:id="rId88">
        <w:r>
          <w:rPr>
            <w:rStyle w:val="Hyperlink"/>
          </w:rPr>
          <w:t xml:space="preserve">Electrical</w:t>
        </w:r>
        <w:r>
          <w:rPr>
            <w:rStyle w:val="Hyperlink"/>
          </w:rPr>
          <w:t xml:space="preserve"> </w:t>
        </w:r>
        <w:r>
          <w:rPr>
            <w:rStyle w:val="Hyperlink"/>
          </w:rPr>
          <w:t xml:space="preserve">Grid</w:t>
        </w:r>
        <w:r>
          <w:rPr>
            <w:rStyle w:val="Hyperlink"/>
          </w:rPr>
          <w:t xml:space="preserve"> </w:t>
        </w:r>
        <w:r>
          <w:rPr>
            <w:rStyle w:val="Hyperlink"/>
          </w:rPr>
          <w:t xml:space="preserve">Data</w:t>
        </w:r>
        <w:r>
          <w:rPr>
            <w:rStyle w:val="Hyperlink"/>
          </w:rPr>
          <w:t xml:space="preserve"> </w:t>
        </w:r>
        <w:r>
          <w:rPr>
            <w:rStyle w:val="Hyperlink"/>
          </w:rPr>
          <w:t xml:space="preserve">Hub</w:t>
        </w:r>
      </w:hyperlink>
      <w:r>
        <w:rPr>
          <w:rFonts w:ascii="Times New Roman" w:hAnsi="Times New Roman" w:eastAsia="Times New Roman" w:cs="Times New Roman"/>
          <w:sz w:val="16"/>
        </w:rPr>
        <w:t xml:space="preserve">.</w:t>
      </w:r>
    </w:p>
    <w:p>
      <w:pPr>
        <w:pStyle w:val="Bibliography"/>
        <w:widowControl/>
      </w:pPr>
      <w:r>
        <w:rPr>
          <w:rFonts w:ascii="Times New Roman" w:hAnsi="Times New Roman" w:eastAsia="Times New Roman" w:cs="Times New Roman"/>
          <w:sz w:val="16"/>
        </w:rPr>
        <w:t xml:space="preserve">8.</w:t>
      </w:r>
    </w:p>
    <w:p>
      <w:pPr>
        <w:pStyle w:val="Bibliography"/>
        <w:widowControl/>
      </w:pPr>
      <w:r>
        <w:rPr>
          <w:rFonts w:ascii="Times New Roman" w:hAnsi="Times New Roman" w:eastAsia="Times New Roman" w:cs="Times New Roman"/>
          <w:sz w:val="16"/>
        </w:rPr>
        <w:t xml:space="preserve">DGEG.</w:t>
      </w:r>
      <w:r>
        <w:rPr>
          <w:rFonts w:ascii="Times New Roman" w:hAnsi="Times New Roman" w:eastAsia="Times New Roman" w:cs="Times New Roman"/>
          <w:sz w:val="16"/>
        </w:rPr>
        <w:t xml:space="preserve"> </w:t>
      </w:r>
      <w:hyperlink r:id="rId89">
        <w:r>
          <w:rPr>
            <w:rStyle w:val="Hyperlink"/>
          </w:rPr>
          <w:t xml:space="preserve">Informação</w:t>
        </w:r>
        <w:r>
          <w:rPr>
            <w:rStyle w:val="Hyperlink"/>
          </w:rPr>
          <w:t xml:space="preserve"> </w:t>
        </w:r>
        <w:r>
          <w:rPr>
            <w:rStyle w:val="Hyperlink"/>
          </w:rPr>
          <w:t xml:space="preserve">Geográfica</w:t>
        </w:r>
        <w:r>
          <w:rPr>
            <w:rStyle w:val="Hyperlink"/>
          </w:rPr>
          <w:t xml:space="preserve"> </w:t>
        </w:r>
        <w:r>
          <w:rPr>
            <w:rStyle w:val="Hyperlink"/>
          </w:rPr>
          <w:t xml:space="preserve">de</w:t>
        </w:r>
        <w:r>
          <w:rPr>
            <w:rStyle w:val="Hyperlink"/>
          </w:rPr>
          <w:t xml:space="preserve"> </w:t>
        </w:r>
        <w:r>
          <w:rPr>
            <w:rStyle w:val="Hyperlink"/>
          </w:rPr>
          <w:t xml:space="preserve">Energia</w:t>
        </w:r>
        <w:r>
          <w:rPr>
            <w:rStyle w:val="Hyperlink"/>
          </w:rPr>
          <w:t xml:space="preserve"> </w:t>
        </w:r>
        <w:r>
          <w:rPr>
            <w:rStyle w:val="Hyperlink"/>
          </w:rPr>
          <w:t xml:space="preserve">Elétrica</w:t>
        </w:r>
      </w:hyperlink>
      <w:r>
        <w:rPr>
          <w:rFonts w:ascii="Times New Roman" w:hAnsi="Times New Roman" w:eastAsia="Times New Roman" w:cs="Times New Roman"/>
          <w:sz w:val="16"/>
        </w:rPr>
        <w:t xml:space="preserve">.</w:t>
      </w:r>
    </w:p>
    <w:p>
      <w:pPr>
        <w:pStyle w:val="Bibliography"/>
        <w:widowControl/>
      </w:pPr>
      <w:r>
        <w:rPr>
          <w:rFonts w:ascii="Times New Roman" w:hAnsi="Times New Roman" w:eastAsia="Times New Roman" w:cs="Times New Roman"/>
          <w:sz w:val="16"/>
        </w:rPr>
        <w:t xml:space="preserve">9.</w:t>
      </w:r>
    </w:p>
    <w:p>
      <w:pPr>
        <w:pStyle w:val="Bibliography"/>
        <w:widowControl/>
      </w:pPr>
      <w:r>
        <w:rPr>
          <w:rFonts w:ascii="Times New Roman" w:hAnsi="Times New Roman" w:eastAsia="Times New Roman" w:cs="Times New Roman"/>
          <w:sz w:val="16"/>
        </w:rPr>
        <w:t xml:space="preserve">REN.</w:t>
      </w:r>
      <w:r>
        <w:rPr>
          <w:rFonts w:ascii="Times New Roman" w:hAnsi="Times New Roman" w:eastAsia="Times New Roman" w:cs="Times New Roman"/>
          <w:sz w:val="16"/>
        </w:rPr>
        <w:t xml:space="preserve"> </w:t>
      </w:r>
      <w:r>
        <w:rPr>
          <w:rFonts w:ascii="Times New Roman" w:hAnsi="Times New Roman" w:eastAsia="Times New Roman" w:cs="Times New Roman"/>
          <w:i/>
          <w:iCs/>
          <w:sz w:val="16"/>
        </w:rPr>
        <w:t xml:space="preserve">PDIRT 2025–2034,</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Proposta</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Inicial,</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Volume</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I,</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Anexos</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1 a 16</w:t>
      </w:r>
      <w:r>
        <w:rPr>
          <w:rFonts w:ascii="Times New Roman" w:hAnsi="Times New Roman" w:eastAsia="Times New Roman" w:cs="Times New Roman"/>
          <w:sz w:val="16"/>
        </w:rPr>
        <w:t xml:space="preserve">.</w:t>
      </w:r>
      <w:r>
        <w:rPr>
          <w:rFonts w:ascii="Times New Roman" w:hAnsi="Times New Roman" w:eastAsia="Times New Roman" w:cs="Times New Roman"/>
          <w:sz w:val="16"/>
        </w:rPr>
        <w:t xml:space="preserve"> </w:t>
      </w:r>
      <w:hyperlink r:id="rId90">
        <w:r>
          <w:rPr>
            <w:rStyle w:val="Hyperlink"/>
          </w:rPr>
          <w:t xml:space="preserve">https://www.erse.pt/media/lx5n5kao/pdirt-2025-2034-proposta-inicial-vol-i-anexos-1-a-16.pdf</w:t>
        </w:r>
      </w:hyperlink>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(2024).</w:t>
      </w:r>
    </w:p>
    <w:p>
      <w:pPr>
        <w:pStyle w:val="Bibliography"/>
        <w:widowControl/>
      </w:pPr>
      <w:r>
        <w:rPr>
          <w:rFonts w:ascii="Times New Roman" w:hAnsi="Times New Roman" w:eastAsia="Times New Roman" w:cs="Times New Roman"/>
          <w:sz w:val="16"/>
        </w:rPr>
        <w:t xml:space="preserve">10.</w:t>
      </w:r>
    </w:p>
    <w:p>
      <w:pPr>
        <w:pStyle w:val="Bibliography"/>
        <w:widowControl/>
      </w:pPr>
      <w:r>
        <w:rPr>
          <w:rFonts w:ascii="Times New Roman" w:hAnsi="Times New Roman" w:eastAsia="Times New Roman" w:cs="Times New Roman"/>
          <w:sz w:val="16"/>
        </w:rPr>
        <w:t xml:space="preserve">OpenStreetMap contributors.</w:t>
      </w:r>
      <w:r>
        <w:rPr>
          <w:rFonts w:ascii="Times New Roman" w:hAnsi="Times New Roman" w:eastAsia="Times New Roman" w:cs="Times New Roman"/>
          <w:sz w:val="16"/>
        </w:rPr>
        <w:t xml:space="preserve"> </w:t>
      </w:r>
      <w:hyperlink r:id="rId91">
        <w:r>
          <w:rPr>
            <w:rStyle w:val="Hyperlink"/>
          </w:rPr>
          <w:t xml:space="preserve">OpenStreetMap</w:t>
        </w:r>
      </w:hyperlink>
      <w:r>
        <w:rPr>
          <w:rFonts w:ascii="Times New Roman" w:hAnsi="Times New Roman" w:eastAsia="Times New Roman" w:cs="Times New Roman"/>
          <w:sz w:val="16"/>
        </w:rPr>
        <w:t xml:space="preserve">.</w:t>
      </w:r>
    </w:p>
    <w:p>
      <w:pPr>
        <w:pStyle w:val="Bibliography"/>
        <w:widowControl/>
      </w:pPr>
      <w:r>
        <w:rPr>
          <w:rFonts w:ascii="Times New Roman" w:hAnsi="Times New Roman" w:eastAsia="Times New Roman" w:cs="Times New Roman"/>
          <w:sz w:val="16"/>
        </w:rPr>
        <w:t xml:space="preserve">11.</w:t>
      </w:r>
    </w:p>
    <w:p>
      <w:pPr>
        <w:pStyle w:val="Bibliography"/>
        <w:widowControl/>
      </w:pPr>
      <w:r>
        <w:rPr>
          <w:rFonts w:ascii="Times New Roman" w:hAnsi="Times New Roman" w:eastAsia="Times New Roman" w:cs="Times New Roman"/>
          <w:sz w:val="16"/>
        </w:rPr>
        <w:t xml:space="preserve">Geofabrik GmbH.</w:t>
      </w:r>
      <w:r>
        <w:rPr>
          <w:rFonts w:ascii="Times New Roman" w:hAnsi="Times New Roman" w:eastAsia="Times New Roman" w:cs="Times New Roman"/>
          <w:sz w:val="16"/>
        </w:rPr>
        <w:t xml:space="preserve"> </w:t>
      </w:r>
      <w:hyperlink r:id="rId92">
        <w:r>
          <w:rPr>
            <w:rStyle w:val="Hyperlink"/>
          </w:rPr>
          <w:t xml:space="preserve">OpenStreetMap</w:t>
        </w:r>
        <w:r>
          <w:rPr>
            <w:rStyle w:val="Hyperlink"/>
          </w:rPr>
          <w:t xml:space="preserve"> </w:t>
        </w:r>
        <w:r>
          <w:rPr>
            <w:rStyle w:val="Hyperlink"/>
          </w:rPr>
          <w:t xml:space="preserve">Data</w:t>
        </w:r>
        <w:r>
          <w:rPr>
            <w:rStyle w:val="Hyperlink"/>
          </w:rPr>
          <w:t xml:space="preserve"> </w:t>
        </w:r>
        <w:r>
          <w:rPr>
            <w:rStyle w:val="Hyperlink"/>
          </w:rPr>
          <w:t xml:space="preserve">Extract</w:t>
        </w:r>
        <w:r>
          <w:rPr>
            <w:rStyle w:val="Hyperlink"/>
          </w:rPr>
          <w:t xml:space="preserve"> </w:t>
        </w:r>
        <w:r>
          <w:rPr>
            <w:rStyle w:val="Hyperlink"/>
          </w:rPr>
          <w:t xml:space="preserve">for</w:t>
        </w:r>
        <w:r>
          <w:rPr>
            <w:rStyle w:val="Hyperlink"/>
          </w:rPr>
          <w:t xml:space="preserve"> </w:t>
        </w:r>
        <w:r>
          <w:rPr>
            <w:rStyle w:val="Hyperlink"/>
          </w:rPr>
          <w:t xml:space="preserve">Portugal</w:t>
        </w:r>
      </w:hyperlink>
      <w:r>
        <w:rPr>
          <w:rFonts w:ascii="Times New Roman" w:hAnsi="Times New Roman" w:eastAsia="Times New Roman" w:cs="Times New Roman"/>
          <w:sz w:val="16"/>
        </w:rPr>
        <w:t xml:space="preserve">.</w:t>
      </w:r>
    </w:p>
    <w:p>
      <w:pPr>
        <w:pStyle w:val="Bibliography"/>
        <w:widowControl/>
      </w:pPr>
      <w:r>
        <w:rPr>
          <w:rFonts w:ascii="Times New Roman" w:hAnsi="Times New Roman" w:eastAsia="Times New Roman" w:cs="Times New Roman"/>
          <w:sz w:val="16"/>
        </w:rPr>
        <w:t xml:space="preserve">12.</w:t>
      </w:r>
    </w:p>
    <w:p>
      <w:pPr>
        <w:pStyle w:val="Bibliography"/>
        <w:widowControl/>
      </w:pPr>
      <w:r>
        <w:rPr>
          <w:rFonts w:ascii="Times New Roman" w:hAnsi="Times New Roman" w:eastAsia="Times New Roman" w:cs="Times New Roman"/>
          <w:sz w:val="16"/>
        </w:rPr>
        <w:t xml:space="preserve">APA.</w:t>
      </w:r>
      <w:r>
        <w:rPr>
          <w:rFonts w:ascii="Times New Roman" w:hAnsi="Times New Roman" w:eastAsia="Times New Roman" w:cs="Times New Roman"/>
          <w:sz w:val="16"/>
        </w:rPr>
        <w:t xml:space="preserve"> </w:t>
      </w:r>
      <w:hyperlink r:id="rId93">
        <w:r>
          <w:rPr>
            <w:rStyle w:val="Hyperlink"/>
          </w:rPr>
          <w:t xml:space="preserve">Sobreequipamento</w:t>
        </w:r>
        <w:r>
          <w:rPr>
            <w:rStyle w:val="Hyperlink"/>
          </w:rPr>
          <w:t xml:space="preserve"> </w:t>
        </w:r>
        <w:r>
          <w:rPr>
            <w:rStyle w:val="Hyperlink"/>
          </w:rPr>
          <w:t xml:space="preserve">do parque eólico de trancoso: Parecer da comissão de avaliação, AIA</w:t>
        </w:r>
        <w:r>
          <w:rPr>
            <w:rStyle w:val="Hyperlink"/>
          </w:rPr>
          <w:t xml:space="preserve"> </w:t>
        </w:r>
        <w:r>
          <w:rPr>
            <w:rStyle w:val="Hyperlink"/>
          </w:rPr>
          <w:t xml:space="preserve">3403</w:t>
        </w:r>
      </w:hyperlink>
      <w:r>
        <w:rPr>
          <w:rFonts w:ascii="Times New Roman" w:hAnsi="Times New Roman" w:eastAsia="Times New Roman" w:cs="Times New Roman"/>
          <w:sz w:val="16"/>
        </w:rPr>
        <w:t xml:space="preserve">. (2021).</w:t>
      </w:r>
    </w:p>
    <w:p>
      <w:pPr>
        <w:pStyle w:val="Bibliography"/>
        <w:widowControl/>
      </w:pPr>
      <w:r>
        <w:rPr>
          <w:rFonts w:ascii="Times New Roman" w:hAnsi="Times New Roman" w:eastAsia="Times New Roman" w:cs="Times New Roman"/>
          <w:sz w:val="16"/>
        </w:rPr>
        <w:t xml:space="preserve">13.</w:t>
      </w:r>
    </w:p>
    <w:p>
      <w:pPr>
        <w:pStyle w:val="Bibliography"/>
        <w:widowControl/>
      </w:pPr>
      <w:r>
        <w:rPr>
          <w:rFonts w:ascii="Times New Roman" w:hAnsi="Times New Roman" w:eastAsia="Times New Roman" w:cs="Times New Roman"/>
          <w:sz w:val="16"/>
        </w:rPr>
        <w:t xml:space="preserve">APA.</w:t>
      </w:r>
      <w:r>
        <w:rPr>
          <w:rFonts w:ascii="Times New Roman" w:hAnsi="Times New Roman" w:eastAsia="Times New Roman" w:cs="Times New Roman"/>
          <w:sz w:val="16"/>
        </w:rPr>
        <w:t xml:space="preserve"> </w:t>
      </w:r>
      <w:hyperlink r:id="rId94">
        <w:r>
          <w:rPr>
            <w:rStyle w:val="Hyperlink"/>
          </w:rPr>
          <w:t xml:space="preserve">PPA</w:t>
        </w:r>
        <w:r>
          <w:rPr>
            <w:rStyle w:val="Hyperlink"/>
          </w:rPr>
          <w:t xml:space="preserve"> </w:t>
        </w:r>
        <w:r>
          <w:rPr>
            <w:rStyle w:val="Hyperlink"/>
          </w:rPr>
          <w:t xml:space="preserve">421: Sub-parque eólico de sernancelhe e ligação a moimenta</w:t>
        </w:r>
      </w:hyperlink>
      <w:r>
        <w:rPr>
          <w:rFonts w:ascii="Times New Roman" w:hAnsi="Times New Roman" w:eastAsia="Times New Roman" w:cs="Times New Roman"/>
          <w:sz w:val="16"/>
        </w:rPr>
        <w:t xml:space="preserve">.</w:t>
      </w:r>
    </w:p>
    <w:p>
      <w:pPr>
        <w:pStyle w:val="Bibliography"/>
        <w:widowControl/>
      </w:pPr>
      <w:r>
        <w:rPr>
          <w:rFonts w:ascii="Times New Roman" w:hAnsi="Times New Roman" w:eastAsia="Times New Roman" w:cs="Times New Roman"/>
          <w:sz w:val="16"/>
        </w:rPr>
        <w:t xml:space="preserve">14.</w:t>
      </w:r>
    </w:p>
    <w:p>
      <w:pPr>
        <w:pStyle w:val="Bibliography"/>
        <w:widowControl/>
      </w:pPr>
      <w:r>
        <w:rPr>
          <w:rFonts w:ascii="Times New Roman" w:hAnsi="Times New Roman" w:eastAsia="Times New Roman" w:cs="Times New Roman"/>
          <w:sz w:val="16"/>
        </w:rPr>
        <w:t xml:space="preserve">APA.</w:t>
      </w:r>
      <w:r>
        <w:rPr>
          <w:rFonts w:ascii="Times New Roman" w:hAnsi="Times New Roman" w:eastAsia="Times New Roman" w:cs="Times New Roman"/>
          <w:sz w:val="16"/>
        </w:rPr>
        <w:t xml:space="preserve"> </w:t>
      </w:r>
      <w:hyperlink r:id="rId95">
        <w:r>
          <w:rPr>
            <w:rStyle w:val="Hyperlink"/>
          </w:rPr>
          <w:t xml:space="preserve">PPA</w:t>
        </w:r>
        <w:r>
          <w:rPr>
            <w:rStyle w:val="Hyperlink"/>
          </w:rPr>
          <w:t xml:space="preserve"> </w:t>
        </w:r>
        <w:r>
          <w:rPr>
            <w:rStyle w:val="Hyperlink"/>
          </w:rPr>
          <w:t xml:space="preserve">407: Ligação do douro sul à subestação de armamar e subestação de</w:t>
        </w:r>
        <w:r>
          <w:rPr>
            <w:rStyle w:val="Hyperlink"/>
          </w:rPr>
          <w:t xml:space="preserve"> </w:t>
        </w:r>
        <w:r>
          <w:rPr>
            <w:rStyle w:val="Hyperlink"/>
          </w:rPr>
          <w:t xml:space="preserve">moimenta</w:t>
        </w:r>
      </w:hyperlink>
      <w:r>
        <w:rPr>
          <w:rFonts w:ascii="Times New Roman" w:hAnsi="Times New Roman" w:eastAsia="Times New Roman" w:cs="Times New Roman"/>
          <w:sz w:val="16"/>
        </w:rPr>
        <w:t xml:space="preserve">.</w:t>
      </w:r>
    </w:p>
    <w:p>
      <w:pPr>
        <w:pStyle w:val="Bibliography"/>
        <w:widowControl/>
      </w:pPr>
      <w:r>
        <w:rPr>
          <w:rFonts w:ascii="Times New Roman" w:hAnsi="Times New Roman" w:eastAsia="Times New Roman" w:cs="Times New Roman"/>
          <w:sz w:val="16"/>
        </w:rPr>
        <w:t xml:space="preserve">15.</w:t>
      </w:r>
    </w:p>
    <w:p>
      <w:pPr>
        <w:pStyle w:val="Bibliography"/>
        <w:widowControl/>
      </w:pPr>
      <w:r>
        <w:rPr>
          <w:rFonts w:ascii="Times New Roman" w:hAnsi="Times New Roman" w:eastAsia="Times New Roman" w:cs="Times New Roman"/>
          <w:sz w:val="16"/>
        </w:rPr>
        <w:t xml:space="preserve">Eurostat GISCO.</w:t>
      </w:r>
      <w:r>
        <w:rPr>
          <w:rFonts w:ascii="Times New Roman" w:hAnsi="Times New Roman" w:eastAsia="Times New Roman" w:cs="Times New Roman"/>
          <w:sz w:val="16"/>
        </w:rPr>
        <w:t xml:space="preserve"> </w:t>
      </w:r>
      <w:hyperlink r:id="rId96">
        <w:r>
          <w:rPr>
            <w:rStyle w:val="Hyperlink"/>
          </w:rPr>
          <w:t xml:space="preserve">Countries</w:t>
        </w:r>
        <w:r>
          <w:rPr>
            <w:rStyle w:val="Hyperlink"/>
          </w:rPr>
          <w:t xml:space="preserve"> </w:t>
        </w:r>
        <w:r>
          <w:rPr>
            <w:rStyle w:val="Hyperlink"/>
          </w:rPr>
          <w:t xml:space="preserve">2024:</w:t>
        </w:r>
        <w:r>
          <w:rPr>
            <w:rStyle w:val="Hyperlink"/>
          </w:rPr>
          <w:t xml:space="preserve"> </w:t>
        </w:r>
        <w:r>
          <w:rPr>
            <w:rStyle w:val="Hyperlink"/>
          </w:rPr>
          <w:t xml:space="preserve">Portugal</w:t>
        </w:r>
        <w:r>
          <w:rPr>
            <w:rStyle w:val="Hyperlink"/>
          </w:rPr>
          <w:t xml:space="preserve"> </w:t>
        </w:r>
        <w:r>
          <w:rPr>
            <w:rStyle w:val="Hyperlink"/>
          </w:rPr>
          <w:t xml:space="preserve">Boundary,</w:t>
        </w:r>
        <w:r>
          <w:rPr>
            <w:rStyle w:val="Hyperlink"/>
          </w:rPr>
          <w:t xml:space="preserve"> </w:t>
        </w:r>
        <w:r>
          <w:rPr>
            <w:rStyle w:val="Hyperlink"/>
          </w:rPr>
          <w:t xml:space="preserve">1:1</w:t>
        </w:r>
        <w:r>
          <w:rPr>
            <w:rStyle w:val="Hyperlink"/>
          </w:rPr>
          <w:t xml:space="preserve"> </w:t>
        </w:r>
        <w:r>
          <w:rPr>
            <w:rStyle w:val="Hyperlink"/>
          </w:rPr>
          <w:t xml:space="preserve">Million,</w:t>
        </w:r>
        <w:r>
          <w:rPr>
            <w:rStyle w:val="Hyperlink"/>
          </w:rPr>
          <w:t xml:space="preserve"> </w:t>
        </w:r>
        <w:r>
          <w:rPr>
            <w:rStyle w:val="Hyperlink"/>
          </w:rPr>
          <w:t xml:space="preserve">EPSG:4326</w:t>
        </w:r>
      </w:hyperlink>
      <w:r>
        <w:rPr>
          <w:rFonts w:ascii="Times New Roman" w:hAnsi="Times New Roman" w:eastAsia="Times New Roman" w:cs="Times New Roman"/>
          <w:sz w:val="16"/>
        </w:rPr>
        <w:t xml:space="preserve">. (2024).</w:t>
      </w:r>
    </w:p>
    <w:p>
      <w:pPr>
        <w:pStyle w:val="Bibliography"/>
        <w:widowControl/>
      </w:pPr>
      <w:r>
        <w:rPr>
          <w:rFonts w:ascii="Times New Roman" w:hAnsi="Times New Roman" w:eastAsia="Times New Roman" w:cs="Times New Roman"/>
          <w:sz w:val="16"/>
        </w:rPr>
        <w:t xml:space="preserve">16.</w:t>
      </w:r>
    </w:p>
    <w:p>
      <w:pPr>
        <w:pStyle w:val="Bibliography"/>
        <w:widowControl/>
      </w:pPr>
      <w:r>
        <w:rPr>
          <w:rFonts w:ascii="Times New Roman" w:hAnsi="Times New Roman" w:eastAsia="Times New Roman" w:cs="Times New Roman"/>
          <w:sz w:val="16"/>
        </w:rPr>
        <w:t xml:space="preserve">Red Eléctrica de España (REE).</w:t>
      </w:r>
      <w:r>
        <w:rPr>
          <w:rFonts w:ascii="Times New Roman" w:hAnsi="Times New Roman" w:eastAsia="Times New Roman" w:cs="Times New Roman"/>
          <w:sz w:val="16"/>
        </w:rPr>
        <w:t xml:space="preserve"> </w:t>
      </w:r>
      <w:hyperlink r:id="rId97">
        <w:r>
          <w:rPr>
            <w:rStyle w:val="Hyperlink"/>
          </w:rPr>
          <w:t xml:space="preserve">Interconexiones</w:t>
        </w:r>
        <w:r>
          <w:rPr>
            <w:rStyle w:val="Hyperlink"/>
          </w:rPr>
          <w:t xml:space="preserve"> </w:t>
        </w:r>
        <w:r>
          <w:rPr>
            <w:rStyle w:val="Hyperlink"/>
          </w:rPr>
          <w:t xml:space="preserve">eléctricas: Un paso para el mercado único de la energía en europa</w:t>
        </w:r>
      </w:hyperlink>
      <w:r>
        <w:rPr>
          <w:rFonts w:ascii="Times New Roman" w:hAnsi="Times New Roman" w:eastAsia="Times New Roman" w:cs="Times New Roman"/>
          <w:sz w:val="16"/>
        </w:rPr>
        <w:t xml:space="preserve">.</w:t>
      </w:r>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(2012).</w:t>
      </w:r>
    </w:p>
    <w:p>
      <w:pPr>
        <w:pStyle w:val="Bibliography"/>
        <w:widowControl/>
      </w:pPr>
      <w:r>
        <w:rPr>
          <w:rFonts w:ascii="Times New Roman" w:hAnsi="Times New Roman" w:eastAsia="Times New Roman" w:cs="Times New Roman"/>
          <w:sz w:val="16"/>
        </w:rPr>
        <w:t xml:space="preserve">17.</w:t>
      </w:r>
    </w:p>
    <w:p>
      <w:pPr>
        <w:pStyle w:val="Bibliography"/>
        <w:widowControl/>
      </w:pPr>
      <w:r>
        <w:rPr>
          <w:rFonts w:ascii="Times New Roman" w:hAnsi="Times New Roman" w:eastAsia="Times New Roman" w:cs="Times New Roman"/>
          <w:sz w:val="16"/>
        </w:rPr>
        <w:t xml:space="preserve">OpenInfraMap contributors.</w:t>
      </w:r>
      <w:r>
        <w:rPr>
          <w:rFonts w:ascii="Times New Roman" w:hAnsi="Times New Roman" w:eastAsia="Times New Roman" w:cs="Times New Roman"/>
          <w:sz w:val="16"/>
        </w:rPr>
        <w:t xml:space="preserve"> </w:t>
      </w:r>
      <w:hyperlink r:id="rId98">
        <w:r>
          <w:rPr>
            <w:rStyle w:val="Hyperlink"/>
          </w:rPr>
          <w:t xml:space="preserve">OpenInfraMap</w:t>
        </w:r>
      </w:hyperlink>
      <w:r>
        <w:rPr>
          <w:rFonts w:ascii="Times New Roman" w:hAnsi="Times New Roman" w:eastAsia="Times New Roman" w:cs="Times New Roman"/>
          <w:sz w:val="16"/>
        </w:rPr>
        <w:t xml:space="preserve">.</w:t>
      </w:r>
    </w:p>
    <w:p>
      <w:pPr>
        <w:pStyle w:val="Bibliography"/>
        <w:widowControl/>
      </w:pPr>
      <w:r>
        <w:rPr>
          <w:rFonts w:ascii="Times New Roman" w:hAnsi="Times New Roman" w:eastAsia="Times New Roman" w:cs="Times New Roman"/>
          <w:sz w:val="16"/>
        </w:rPr>
        <w:t xml:space="preserve">18.</w:t>
      </w:r>
    </w:p>
    <w:p>
      <w:pPr>
        <w:pStyle w:val="Bibliography"/>
        <w:widowControl/>
      </w:pPr>
      <w:r>
        <w:rPr>
          <w:rFonts w:ascii="Times New Roman" w:hAnsi="Times New Roman" w:eastAsia="Times New Roman" w:cs="Times New Roman"/>
          <w:sz w:val="16"/>
        </w:rPr>
        <w:t xml:space="preserve">REN.</w:t>
      </w:r>
      <w:r>
        <w:rPr>
          <w:rFonts w:ascii="Times New Roman" w:hAnsi="Times New Roman" w:eastAsia="Times New Roman" w:cs="Times New Roman"/>
          <w:sz w:val="16"/>
        </w:rPr>
        <w:t xml:space="preserve"> </w:t>
      </w:r>
      <w:hyperlink r:id="rId99">
        <w:r>
          <w:rPr>
            <w:rStyle w:val="Hyperlink"/>
          </w:rPr>
          <w:t xml:space="preserve">PDIRT</w:t>
        </w:r>
        <w:r>
          <w:rPr>
            <w:rStyle w:val="Hyperlink"/>
          </w:rPr>
          <w:t xml:space="preserve"> </w:t>
        </w:r>
        <w:r>
          <w:rPr>
            <w:rStyle w:val="Hyperlink"/>
          </w:rPr>
          <w:t xml:space="preserve">2016–2025, anexo 6: Equipamento em serviço previsto em finais de 2016,</w:t>
        </w:r>
        <w:r>
          <w:rPr>
            <w:rStyle w:val="Hyperlink"/>
          </w:rPr>
          <w:t xml:space="preserve"> </w:t>
        </w:r>
        <w:r>
          <w:rPr>
            <w:rStyle w:val="Hyperlink"/>
          </w:rPr>
          <w:t xml:space="preserve">2018, 2020 e 2025</w:t>
        </w:r>
      </w:hyperlink>
      <w:r>
        <w:rPr>
          <w:rFonts w:ascii="Times New Roman" w:hAnsi="Times New Roman" w:eastAsia="Times New Roman" w:cs="Times New Roman"/>
          <w:sz w:val="16"/>
        </w:rPr>
        <w:t xml:space="preserve">. (2015).</w:t>
      </w:r>
    </w:p>
    <w:p>
      <w:pPr>
        <w:pStyle w:val="Bibliography"/>
        <w:widowControl/>
      </w:pPr>
      <w:r>
        <w:rPr>
          <w:rFonts w:ascii="Times New Roman" w:hAnsi="Times New Roman" w:eastAsia="Times New Roman" w:cs="Times New Roman"/>
          <w:sz w:val="16"/>
        </w:rPr>
        <w:t xml:space="preserve">19.</w:t>
      </w:r>
    </w:p>
    <w:p>
      <w:pPr>
        <w:pStyle w:val="Bibliography"/>
        <w:widowControl/>
      </w:pPr>
      <w:r>
        <w:rPr>
          <w:rFonts w:ascii="Times New Roman" w:hAnsi="Times New Roman" w:eastAsia="Times New Roman" w:cs="Times New Roman"/>
          <w:sz w:val="16"/>
        </w:rPr>
        <w:t xml:space="preserve">E-REDES &amp; Entidade Reguladora dos Serviços Energéticos.</w:t>
      </w:r>
      <w:r>
        <w:rPr>
          <w:rFonts w:ascii="Times New Roman" w:hAnsi="Times New Roman" w:eastAsia="Times New Roman" w:cs="Times New Roman"/>
          <w:sz w:val="16"/>
        </w:rPr>
        <w:t xml:space="preserve"> </w:t>
      </w:r>
      <w:r>
        <w:rPr>
          <w:rFonts w:ascii="Times New Roman" w:hAnsi="Times New Roman" w:eastAsia="Times New Roman" w:cs="Times New Roman"/>
          <w:i/>
          <w:iCs/>
          <w:sz w:val="16"/>
        </w:rPr>
        <w:t xml:space="preserve">PDIRD-e 2020,</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Anexo</w:t>
      </w:r>
      <w:r>
        <w:rPr>
          <w:rFonts w:ascii="Times New Roman" w:hAnsi="Times New Roman" w:eastAsia="Times New Roman" w:cs="Times New Roman"/>
          <w:i/>
          <w:iCs/>
          <w:sz w:val="16"/>
        </w:rPr>
        <w:t xml:space="preserve"> </w:t>
      </w:r>
      <w:r>
        <w:rPr>
          <w:rFonts w:ascii="Times New Roman" w:hAnsi="Times New Roman" w:eastAsia="Times New Roman" w:cs="Times New Roman"/>
          <w:i/>
          <w:iCs/>
          <w:sz w:val="16"/>
        </w:rPr>
        <w:t xml:space="preserve">B</w:t>
      </w:r>
      <w:r>
        <w:rPr>
          <w:rFonts w:ascii="Times New Roman" w:hAnsi="Times New Roman" w:eastAsia="Times New Roman" w:cs="Times New Roman"/>
          <w:sz w:val="16"/>
        </w:rPr>
        <w:t xml:space="preserve">.</w:t>
      </w:r>
      <w:r>
        <w:rPr>
          <w:rFonts w:ascii="Times New Roman" w:hAnsi="Times New Roman" w:eastAsia="Times New Roman" w:cs="Times New Roman"/>
          <w:sz w:val="16"/>
        </w:rPr>
        <w:t xml:space="preserve"> </w:t>
      </w:r>
      <w:hyperlink r:id="rId100">
        <w:r>
          <w:rPr>
            <w:rStyle w:val="Hyperlink"/>
          </w:rPr>
          <w:t xml:space="preserve">https://www.erse.pt/media/340hrot0/proposta-pdird-e-2020_anexo_b.pdf</w:t>
        </w:r>
      </w:hyperlink>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(2020).</w:t>
      </w:r>
    </w:p>
    <w:p>
      <w:pPr>
        <w:pStyle w:val="Bibliography"/>
        <w:widowControl/>
      </w:pPr>
      <w:r>
        <w:rPr>
          <w:rFonts w:ascii="Times New Roman" w:hAnsi="Times New Roman" w:eastAsia="Times New Roman" w:cs="Times New Roman"/>
          <w:sz w:val="16"/>
        </w:rPr>
        <w:t xml:space="preserve">20.</w:t>
      </w:r>
    </w:p>
    <w:p>
      <w:pPr>
        <w:pStyle w:val="Bibliography"/>
        <w:widowControl/>
      </w:pPr>
      <w:r>
        <w:rPr>
          <w:rFonts w:ascii="Times New Roman" w:hAnsi="Times New Roman" w:eastAsia="Times New Roman" w:cs="Times New Roman"/>
          <w:sz w:val="16"/>
        </w:rPr>
        <w:t xml:space="preserve">EDP Distribuição.</w:t>
      </w:r>
      <w:r>
        <w:rPr>
          <w:rFonts w:ascii="Times New Roman" w:hAnsi="Times New Roman" w:eastAsia="Times New Roman" w:cs="Times New Roman"/>
          <w:sz w:val="16"/>
        </w:rPr>
        <w:t xml:space="preserve"> </w:t>
      </w:r>
      <w:hyperlink r:id="rId101">
        <w:r>
          <w:rPr>
            <w:rStyle w:val="Hyperlink"/>
          </w:rPr>
          <w:t xml:space="preserve">Memória</w:t>
        </w:r>
        <w:r>
          <w:rPr>
            <w:rStyle w:val="Hyperlink"/>
          </w:rPr>
          <w:t xml:space="preserve"> </w:t>
        </w:r>
        <w:r>
          <w:rPr>
            <w:rStyle w:val="Hyperlink"/>
          </w:rPr>
          <w:t xml:space="preserve">descritiva e justificativa: Linha a 60 kV PE tocha II–tocha</w:t>
        </w:r>
      </w:hyperlink>
      <w:r>
        <w:rPr>
          <w:rFonts w:ascii="Times New Roman" w:hAnsi="Times New Roman" w:eastAsia="Times New Roman" w:cs="Times New Roman"/>
          <w:sz w:val="16"/>
        </w:rPr>
        <w:t xml:space="preserve">. (2019).</w:t>
      </w:r>
    </w:p>
    <w:p>
      <w:pPr>
        <w:pStyle w:val="Bibliography"/>
        <w:widowControl/>
      </w:pPr>
      <w:r>
        <w:rPr>
          <w:rFonts w:ascii="Times New Roman" w:hAnsi="Times New Roman" w:eastAsia="Times New Roman" w:cs="Times New Roman"/>
          <w:sz w:val="16"/>
        </w:rPr>
        <w:t xml:space="preserve">21.</w:t>
      </w:r>
    </w:p>
    <w:p>
      <w:pPr>
        <w:pStyle w:val="Bibliography"/>
        <w:widowControl/>
      </w:pPr>
      <w:r>
        <w:rPr>
          <w:rFonts w:ascii="Times New Roman" w:hAnsi="Times New Roman" w:eastAsia="Times New Roman" w:cs="Times New Roman"/>
          <w:sz w:val="16"/>
        </w:rPr>
        <w:t xml:space="preserve">Fleischmann, M.</w:t>
      </w:r>
      <w:r>
        <w:rPr>
          <w:rFonts w:ascii="Times New Roman" w:hAnsi="Times New Roman" w:eastAsia="Times New Roman" w:cs="Times New Roman"/>
          <w:sz w:val="16"/>
        </w:rPr>
        <w:t xml:space="preserve"> </w:t>
      </w:r>
      <w:r>
        <w:rPr>
          <w:rFonts w:ascii="Times New Roman" w:hAnsi="Times New Roman" w:eastAsia="Times New Roman" w:cs="Times New Roman"/>
          <w:i/>
          <w:iCs/>
          <w:sz w:val="16"/>
        </w:rPr>
        <w:t xml:space="preserve">et al.</w:t>
      </w:r>
      <w:r>
        <w:rPr>
          <w:rFonts w:ascii="Times New Roman" w:hAnsi="Times New Roman" w:eastAsia="Times New Roman" w:cs="Times New Roman"/>
          <w:sz w:val="16"/>
        </w:rPr>
        <w:t xml:space="preserve"> </w:t>
      </w:r>
      <w:hyperlink r:id="rId102">
        <w:r>
          <w:rPr>
            <w:rStyle w:val="Hyperlink"/>
          </w:rPr>
          <w:t xml:space="preserve">GeoPandas:</w:t>
        </w:r>
        <w:r>
          <w:rPr>
            <w:rStyle w:val="Hyperlink"/>
          </w:rPr>
          <w:t xml:space="preserve"> </w:t>
        </w:r>
        <w:r>
          <w:rPr>
            <w:rStyle w:val="Hyperlink"/>
          </w:rPr>
          <w:t xml:space="preserve">Fundamental</w:t>
        </w:r>
        <w:r>
          <w:rPr>
            <w:rStyle w:val="Hyperlink"/>
          </w:rPr>
          <w:t xml:space="preserve"> </w:t>
        </w:r>
        <w:r>
          <w:rPr>
            <w:rStyle w:val="Hyperlink"/>
          </w:rPr>
          <w:t xml:space="preserve">Data</w:t>
        </w:r>
        <w:r>
          <w:rPr>
            <w:rStyle w:val="Hyperlink"/>
          </w:rPr>
          <w:t xml:space="preserve"> </w:t>
        </w:r>
        <w:r>
          <w:rPr>
            <w:rStyle w:val="Hyperlink"/>
          </w:rPr>
          <w:t xml:space="preserve">Structures</w:t>
        </w:r>
        <w:r>
          <w:rPr>
            <w:rStyle w:val="Hyperlink"/>
          </w:rPr>
          <w:t xml:space="preserve"> </w:t>
        </w:r>
        <w:r>
          <w:rPr>
            <w:rStyle w:val="Hyperlink"/>
          </w:rPr>
          <w:t xml:space="preserve">for</w:t>
        </w:r>
        <w:r>
          <w:rPr>
            <w:rStyle w:val="Hyperlink"/>
          </w:rPr>
          <w:t xml:space="preserve"> </w:t>
        </w:r>
        <w:r>
          <w:rPr>
            <w:rStyle w:val="Hyperlink"/>
          </w:rPr>
          <w:t xml:space="preserve">Vector</w:t>
        </w:r>
        <w:r>
          <w:rPr>
            <w:rStyle w:val="Hyperlink"/>
          </w:rPr>
          <w:t xml:space="preserve"> </w:t>
        </w:r>
        <w:r>
          <w:rPr>
            <w:rStyle w:val="Hyperlink"/>
          </w:rPr>
          <w:t xml:space="preserve">Spatial</w:t>
        </w:r>
        <w:r>
          <w:rPr>
            <w:rStyle w:val="Hyperlink"/>
          </w:rPr>
          <w:t xml:space="preserve"> </w:t>
        </w:r>
        <w:r>
          <w:rPr>
            <w:rStyle w:val="Hyperlink"/>
          </w:rPr>
          <w:t xml:space="preserve">Data</w:t>
        </w:r>
        <w:r>
          <w:rPr>
            <w:rStyle w:val="Hyperlink"/>
          </w:rPr>
          <w:t xml:space="preserve"> </w:t>
        </w:r>
        <w:r>
          <w:rPr>
            <w:rStyle w:val="Hyperlink"/>
          </w:rPr>
          <w:t xml:space="preserve">in</w:t>
        </w:r>
        <w:r>
          <w:rPr>
            <w:rStyle w:val="Hyperlink"/>
          </w:rPr>
          <w:t xml:space="preserve"> </w:t>
        </w:r>
        <w:r>
          <w:rPr>
            <w:rStyle w:val="Hyperlink"/>
          </w:rPr>
          <w:t xml:space="preserve">Python</w:t>
        </w:r>
      </w:hyperlink>
      <w:r>
        <w:rPr>
          <w:rFonts w:ascii="Times New Roman" w:hAnsi="Times New Roman" w:eastAsia="Times New Roman" w:cs="Times New Roman"/>
          <w:sz w:val="16"/>
        </w:rPr>
        <w:t xml:space="preserve">.</w:t>
      </w:r>
      <w:r>
        <w:rPr>
          <w:rFonts w:ascii="Times New Roman" w:hAnsi="Times New Roman" w:eastAsia="Times New Roman" w:cs="Times New Roman"/>
          <w:sz w:val="16"/>
        </w:rPr>
        <w:t xml:space="preserve"> </w:t>
      </w:r>
      <w:r>
        <w:rPr>
          <w:rFonts w:ascii="Times New Roman" w:hAnsi="Times New Roman" w:eastAsia="Times New Roman" w:cs="Times New Roman"/>
          <w:i/>
          <w:iCs/>
          <w:sz w:val="16"/>
        </w:rPr>
        <w:t xml:space="preserve">Computers, Environment and Urban Systems</w:t>
      </w:r>
      <w:r>
        <w:rPr>
          <w:rFonts w:ascii="Times New Roman" w:hAnsi="Times New Roman" w:eastAsia="Times New Roman" w:cs="Times New Roman"/>
          <w:sz w:val="16"/>
        </w:rPr>
        <w:t xml:space="preserve"> </w:t>
      </w:r>
      <w:r>
        <w:rPr>
          <w:rFonts w:ascii="Times New Roman" w:hAnsi="Times New Roman" w:eastAsia="Times New Roman" w:cs="Times New Roman"/>
          <w:b/>
          <w:bCs/>
          <w:sz w:val="16"/>
        </w:rPr>
        <w:t xml:space="preserve">130</w:t>
      </w:r>
      <w:r>
        <w:rPr>
          <w:rFonts w:ascii="Times New Roman" w:hAnsi="Times New Roman" w:eastAsia="Times New Roman" w:cs="Times New Roman"/>
          <w:sz w:val="16"/>
        </w:rPr>
        <w:t xml:space="preserve">,</w:t>
      </w:r>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102495 (2026).</w:t>
      </w:r>
    </w:p>
    <w:p>
      <w:pPr>
        <w:pStyle w:val="Bibliography"/>
        <w:widowControl/>
      </w:pPr>
      <w:r>
        <w:rPr>
          <w:rFonts w:ascii="Times New Roman" w:hAnsi="Times New Roman" w:eastAsia="Times New Roman" w:cs="Times New Roman"/>
          <w:sz w:val="16"/>
        </w:rPr>
        <w:t xml:space="preserve">22.</w:t>
      </w:r>
    </w:p>
    <w:p>
      <w:pPr>
        <w:pStyle w:val="Bibliography"/>
        <w:widowControl/>
      </w:pPr>
      <w:r>
        <w:rPr>
          <w:rFonts w:ascii="Times New Roman" w:hAnsi="Times New Roman" w:eastAsia="Times New Roman" w:cs="Times New Roman"/>
          <w:sz w:val="16"/>
        </w:rPr>
        <w:t xml:space="preserve">E-REDES.</w:t>
      </w:r>
      <w:r>
        <w:rPr>
          <w:rFonts w:ascii="Times New Roman" w:hAnsi="Times New Roman" w:eastAsia="Times New Roman" w:cs="Times New Roman"/>
          <w:sz w:val="16"/>
        </w:rPr>
        <w:t xml:space="preserve"> </w:t>
      </w:r>
      <w:hyperlink r:id="rId103">
        <w:r>
          <w:rPr>
            <w:rStyle w:val="Hyperlink"/>
          </w:rPr>
          <w:t xml:space="preserve">Consumo</w:t>
        </w:r>
        <w:r>
          <w:rPr>
            <w:rStyle w:val="Hyperlink"/>
          </w:rPr>
          <w:t xml:space="preserve"> </w:t>
        </w:r>
        <w:r>
          <w:rPr>
            <w:rStyle w:val="Hyperlink"/>
          </w:rPr>
          <w:t xml:space="preserve">total nacional</w:t>
        </w:r>
      </w:hyperlink>
      <w:r>
        <w:rPr>
          <w:rFonts w:ascii="Times New Roman" w:hAnsi="Times New Roman" w:eastAsia="Times New Roman" w:cs="Times New Roman"/>
          <w:sz w:val="16"/>
        </w:rPr>
        <w:t xml:space="preserve">. E-REDES Open Data Portal.</w:t>
      </w:r>
    </w:p>
    <w:p>
      <w:pPr>
        <w:pStyle w:val="Bibliography"/>
        <w:widowControl/>
      </w:pPr>
      <w:r>
        <w:rPr>
          <w:rFonts w:ascii="Times New Roman" w:hAnsi="Times New Roman" w:eastAsia="Times New Roman" w:cs="Times New Roman"/>
          <w:sz w:val="16"/>
        </w:rPr>
        <w:t xml:space="preserve">23.</w:t>
      </w:r>
    </w:p>
    <w:p>
      <w:pPr>
        <w:pStyle w:val="Bibliography"/>
        <w:widowControl/>
      </w:pPr>
      <w:r>
        <w:rPr>
          <w:rFonts w:ascii="Times New Roman" w:hAnsi="Times New Roman" w:eastAsia="Times New Roman" w:cs="Times New Roman"/>
          <w:sz w:val="16"/>
        </w:rPr>
        <w:t xml:space="preserve">E-REDES.</w:t>
      </w:r>
      <w:r>
        <w:rPr>
          <w:rFonts w:ascii="Times New Roman" w:hAnsi="Times New Roman" w:eastAsia="Times New Roman" w:cs="Times New Roman"/>
          <w:sz w:val="16"/>
        </w:rPr>
        <w:t xml:space="preserve"> </w:t>
      </w:r>
      <w:hyperlink r:id="rId104">
        <w:r>
          <w:rPr>
            <w:rStyle w:val="Hyperlink"/>
          </w:rPr>
          <w:t xml:space="preserve">Energia</w:t>
        </w:r>
        <w:r>
          <w:rPr>
            <w:rStyle w:val="Hyperlink"/>
          </w:rPr>
          <w:t xml:space="preserve"> </w:t>
        </w:r>
        <w:r>
          <w:rPr>
            <w:rStyle w:val="Hyperlink"/>
          </w:rPr>
          <w:t xml:space="preserve">injetada na rede de distribuição</w:t>
        </w:r>
      </w:hyperlink>
      <w:r>
        <w:rPr>
          <w:rFonts w:ascii="Times New Roman" w:hAnsi="Times New Roman" w:eastAsia="Times New Roman" w:cs="Times New Roman"/>
          <w:sz w:val="16"/>
        </w:rPr>
        <w:t xml:space="preserve">. E-REDES Open Data Portal.</w:t>
      </w:r>
    </w:p>
    <w:p>
      <w:pPr>
        <w:pStyle w:val="Bibliography"/>
        <w:widowControl/>
      </w:pPr>
      <w:r>
        <w:rPr>
          <w:rFonts w:ascii="Times New Roman" w:hAnsi="Times New Roman" w:eastAsia="Times New Roman" w:cs="Times New Roman"/>
          <w:sz w:val="16"/>
        </w:rPr>
        <w:t xml:space="preserve">24.</w:t>
      </w:r>
    </w:p>
    <w:p>
      <w:pPr>
        <w:pStyle w:val="Bibliography"/>
        <w:widowControl/>
      </w:pPr>
      <w:r>
        <w:rPr>
          <w:rFonts w:ascii="Times New Roman" w:hAnsi="Times New Roman" w:eastAsia="Times New Roman" w:cs="Times New Roman"/>
          <w:sz w:val="16"/>
        </w:rPr>
        <w:t xml:space="preserve">E-REDES.</w:t>
      </w:r>
      <w:r>
        <w:rPr>
          <w:rFonts w:ascii="Times New Roman" w:hAnsi="Times New Roman" w:eastAsia="Times New Roman" w:cs="Times New Roman"/>
          <w:sz w:val="16"/>
        </w:rPr>
        <w:t xml:space="preserve"> </w:t>
      </w:r>
      <w:hyperlink r:id="rId105">
        <w:r>
          <w:rPr>
            <w:rStyle w:val="Hyperlink"/>
          </w:rPr>
          <w:t xml:space="preserve">Energia</w:t>
        </w:r>
        <w:r>
          <w:rPr>
            <w:rStyle w:val="Hyperlink"/>
          </w:rPr>
          <w:t xml:space="preserve"> </w:t>
        </w:r>
        <w:r>
          <w:rPr>
            <w:rStyle w:val="Hyperlink"/>
          </w:rPr>
          <w:t xml:space="preserve">produzida total nacional</w:t>
        </w:r>
      </w:hyperlink>
      <w:r>
        <w:rPr>
          <w:rFonts w:ascii="Times New Roman" w:hAnsi="Times New Roman" w:eastAsia="Times New Roman" w:cs="Times New Roman"/>
          <w:sz w:val="16"/>
        </w:rPr>
        <w:t xml:space="preserve">. E-REDES Open Data Portal.</w:t>
      </w:r>
    </w:p>
    <w:p>
      <w:pPr>
        <w:pStyle w:val="Bibliography"/>
        <w:widowControl/>
      </w:pPr>
      <w:r>
        <w:rPr>
          <w:rFonts w:ascii="Times New Roman" w:hAnsi="Times New Roman" w:eastAsia="Times New Roman" w:cs="Times New Roman"/>
          <w:sz w:val="16"/>
        </w:rPr>
        <w:t xml:space="preserve">25.</w:t>
      </w:r>
    </w:p>
    <w:p>
      <w:pPr>
        <w:pStyle w:val="Bibliography"/>
        <w:widowControl/>
      </w:pPr>
      <w:r>
        <w:rPr>
          <w:rFonts w:ascii="Times New Roman" w:hAnsi="Times New Roman" w:eastAsia="Times New Roman" w:cs="Times New Roman"/>
          <w:sz w:val="16"/>
        </w:rPr>
        <w:t xml:space="preserve">E-REDES.</w:t>
      </w:r>
      <w:r>
        <w:rPr>
          <w:rFonts w:ascii="Times New Roman" w:hAnsi="Times New Roman" w:eastAsia="Times New Roman" w:cs="Times New Roman"/>
          <w:sz w:val="16"/>
        </w:rPr>
        <w:t xml:space="preserve"> </w:t>
      </w:r>
      <w:hyperlink r:id="rId106">
        <w:r>
          <w:rPr>
            <w:rStyle w:val="Hyperlink"/>
          </w:rPr>
          <w:t xml:space="preserve">Monthly</w:t>
        </w:r>
        <w:r>
          <w:rPr>
            <w:rStyle w:val="Hyperlink"/>
          </w:rPr>
          <w:t xml:space="preserve"> </w:t>
        </w:r>
        <w:r>
          <w:rPr>
            <w:rStyle w:val="Hyperlink"/>
          </w:rPr>
          <w:t xml:space="preserve">consumption by municipality</w:t>
        </w:r>
      </w:hyperlink>
      <w:r>
        <w:rPr>
          <w:rFonts w:ascii="Times New Roman" w:hAnsi="Times New Roman" w:eastAsia="Times New Roman" w:cs="Times New Roman"/>
          <w:sz w:val="16"/>
        </w:rPr>
        <w:t xml:space="preserve">. E-REDES Open Data Portal.</w:t>
      </w:r>
    </w:p>
    <w:p>
      <w:pPr>
        <w:pStyle w:val="Bibliography"/>
        <w:widowControl/>
      </w:pPr>
      <w:r>
        <w:rPr>
          <w:rFonts w:ascii="Times New Roman" w:hAnsi="Times New Roman" w:eastAsia="Times New Roman" w:cs="Times New Roman"/>
          <w:sz w:val="16"/>
        </w:rPr>
        <w:t xml:space="preserve">26.</w:t>
      </w:r>
    </w:p>
    <w:p>
      <w:pPr>
        <w:pStyle w:val="Bibliography"/>
        <w:widowControl/>
      </w:pPr>
      <w:r>
        <w:rPr>
          <w:rFonts w:ascii="Times New Roman" w:hAnsi="Times New Roman" w:eastAsia="Times New Roman" w:cs="Times New Roman"/>
          <w:sz w:val="16"/>
        </w:rPr>
        <w:t xml:space="preserve">E-REDES.</w:t>
      </w:r>
      <w:r>
        <w:rPr>
          <w:rFonts w:ascii="Times New Roman" w:hAnsi="Times New Roman" w:eastAsia="Times New Roman" w:cs="Times New Roman"/>
          <w:sz w:val="16"/>
        </w:rPr>
        <w:t xml:space="preserve"> </w:t>
      </w:r>
      <w:hyperlink r:id="rId107">
        <w:r>
          <w:rPr>
            <w:rStyle w:val="Hyperlink"/>
          </w:rPr>
          <w:t xml:space="preserve">Carga</w:t>
        </w:r>
        <w:r>
          <w:rPr>
            <w:rStyle w:val="Hyperlink"/>
          </w:rPr>
          <w:t xml:space="preserve"> </w:t>
        </w:r>
        <w:r>
          <w:rPr>
            <w:rStyle w:val="Hyperlink"/>
          </w:rPr>
          <w:t xml:space="preserve">na subestação</w:t>
        </w:r>
      </w:hyperlink>
      <w:r>
        <w:rPr>
          <w:rFonts w:ascii="Times New Roman" w:hAnsi="Times New Roman" w:eastAsia="Times New Roman" w:cs="Times New Roman"/>
          <w:sz w:val="16"/>
        </w:rPr>
        <w:t xml:space="preserve">. E-REDES Open Data Portal.</w:t>
      </w:r>
    </w:p>
    <w:p>
      <w:pPr>
        <w:pStyle w:val="Bibliography"/>
        <w:widowControl/>
      </w:pPr>
      <w:r>
        <w:rPr>
          <w:rFonts w:ascii="Times New Roman" w:hAnsi="Times New Roman" w:eastAsia="Times New Roman" w:cs="Times New Roman"/>
          <w:sz w:val="16"/>
        </w:rPr>
        <w:t xml:space="preserve">27.</w:t>
      </w:r>
    </w:p>
    <w:p>
      <w:pPr>
        <w:pStyle w:val="Bibliography"/>
        <w:widowControl/>
      </w:pPr>
      <w:hyperlink r:id="rId78">
        <w:r>
          <w:rPr>
            <w:rStyle w:val="Hyperlink"/>
          </w:rPr>
          <w:t xml:space="preserve">SimPT60</w:t>
        </w:r>
        <w:r>
          <w:rPr>
            <w:rStyle w:val="Hyperlink"/>
          </w:rPr>
          <w:t xml:space="preserve"> </w:t>
        </w:r>
        <w:r>
          <w:rPr>
            <w:rStyle w:val="Hyperlink"/>
          </w:rPr>
          <w:t xml:space="preserve">2026.09.21 r1: Portuguese high-voltage network and time-series</w:t>
        </w:r>
        <w:r>
          <w:rPr>
            <w:rStyle w:val="Hyperlink"/>
          </w:rPr>
          <w:t xml:space="preserve"> </w:t>
        </w:r>
        <w:r>
          <w:rPr>
            <w:rStyle w:val="Hyperlink"/>
          </w:rPr>
          <w:t xml:space="preserve">power-flow data</w:t>
        </w:r>
      </w:hyperlink>
      <w:r>
        <w:rPr>
          <w:rFonts w:ascii="Times New Roman" w:hAnsi="Times New Roman" w:eastAsia="Times New Roman" w:cs="Times New Roman"/>
          <w:sz w:val="16"/>
        </w:rPr>
        <w:t xml:space="preserve">. GitHub (2026).</w:t>
      </w:r>
    </w:p>
    <w:bookmarkEnd w:id="108"/>
    <w:sectPr>
      <w:footerReference w:type="default" r:id="rId9"/>
      <w:pgSz w:w="12240" w:h="15840"/>
      <w:pgMar w:top="1440" w:bottom="1440" w:left="1440" w:right="1440" w:header="720" w:footer="720"/>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view w:val="print"/>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before="0" w:after="100" w:line="269" w:lineRule="auto"/>
      <w:jc w:val="both"/>
    </w:pPr>
    <w:rPr>
      <w:rFonts w:ascii="Times New Roman" w:hAnsi="Times New Roman" w:eastAsia="Times New Roman" w:cs="Times New Roman"/>
      <w:b w:val="0"/>
      <w:i w:val="0"/>
      <w:color w:val="000000"/>
      <w:sz w:val="21"/>
    </w:rPr>
  </w:style>
  <w:style w:styleId="BodyText" w:type="paragraph">
    <w:name w:val="Body Text"/>
    <w:basedOn w:val="Normal"/>
    <w:link w:val="BodyTextChar"/>
    <w:qFormat/>
    <w:pPr>
      <w:keepNext w:val="0"/>
      <w:widowControl/>
      <w:spacing w:after="100" w:before="0" w:line="269" w:lineRule="auto"/>
      <w:jc w:val="both"/>
    </w:pPr>
    <w:rPr>
      <w:rFonts w:ascii="Times New Roman" w:hAnsi="Times New Roman" w:eastAsia="Times New Roman" w:cs="Times New Roman"/>
      <w:b w:val="0"/>
      <w:i w:val="0"/>
      <w:color w:val="000000"/>
      <w:sz w:val="21"/>
    </w:rPr>
  </w:style>
  <w:style w:customStyle="1" w:styleId="FirstParagraph" w:type="paragraph">
    <w:name w:val="First Paragraph"/>
    <w:basedOn w:val="BodyText"/>
    <w:next w:val="BodyText"/>
    <w:qFormat/>
    <w:pPr>
      <w:keepNext w:val="0"/>
      <w:widowControl/>
      <w:spacing w:before="0" w:after="100" w:line="269" w:lineRule="auto"/>
      <w:jc w:val="both"/>
    </w:pPr>
    <w:rPr>
      <w:rFonts w:ascii="Times New Roman" w:hAnsi="Times New Roman" w:eastAsia="Times New Roman" w:cs="Times New Roman"/>
      <w:b w:val="0"/>
      <w:i w:val="0"/>
      <w:color w:val="000000"/>
      <w:sz w:val="21"/>
    </w:rPr>
  </w:style>
  <w:style w:customStyle="1" w:styleId="Compact" w:type="paragraph">
    <w:name w:val="Compact"/>
    <w:basedOn w:val="BodyText"/>
    <w:qFormat/>
    <w:pPr>
      <w:keepNext w:val="0"/>
      <w:widowControl/>
      <w:spacing w:after="100" w:before="0" w:line="269" w:lineRule="auto"/>
      <w:jc w:val="both"/>
    </w:pPr>
    <w:rPr>
      <w:rFonts w:ascii="Times New Roman" w:hAnsi="Times New Roman" w:eastAsia="Times New Roman" w:cs="Times New Roman"/>
      <w:b w:val="0"/>
      <w:i w:val="0"/>
      <w:color w:val="000000"/>
      <w:sz w:val="21"/>
    </w:rPr>
  </w:style>
  <w:style w:styleId="Title" w:type="paragraph">
    <w:name w:val="Title"/>
    <w:basedOn w:val="Normal"/>
    <w:next w:val="BodyText"/>
    <w:link w:val="TitleChar"/>
    <w:uiPriority w:val="10"/>
    <w:qFormat/>
    <w:rsid w:val="00A10FD9"/>
    <w:pPr>
      <w:keepNext/>
      <w:widowControl/>
      <w:spacing w:after="200" w:line="240" w:lineRule="auto" w:before="0"/>
      <w:contextualSpacing/>
      <w:jc w:val="center"/>
    </w:pPr>
    <w:rPr>
      <w:rFonts w:asciiTheme="majorHAnsi" w:cstheme="majorBidi" w:eastAsiaTheme="majorEastAsia" w:hAnsiTheme="majorHAnsi" w:ascii="Times New Roman" w:hAnsi="Times New Roman" w:eastAsia="Times New Roman" w:cs="Times New Roman"/>
      <w:b/>
      <w:i w:val="0"/>
      <w:color w:val="000000"/>
      <w:spacing w:val="-10"/>
      <w:kern w:val="28"/>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widowControl/>
      <w:spacing w:before="0" w:after="60" w:line="240" w:lineRule="auto"/>
      <w:jc w:val="center"/>
    </w:pPr>
    <w:rPr>
      <w:rFonts w:ascii="Times New Roman" w:hAnsi="Times New Roman" w:eastAsia="Times New Roman" w:cs="Times New Roman"/>
      <w:b w:val="0"/>
      <w:i w:val="0"/>
      <w:color w:val="000000"/>
      <w:sz w:val="22"/>
    </w:rPr>
  </w:style>
  <w:style w:styleId="Date" w:type="paragraph">
    <w:name w:val="Date"/>
    <w:next w:val="BodyText"/>
    <w:qFormat/>
    <w:pPr>
      <w:keepNext/>
      <w:keepLines/>
      <w:widowControl/>
      <w:spacing w:before="0" w:after="180" w:line="240" w:lineRule="auto"/>
      <w:jc w:val="center"/>
    </w:pPr>
    <w:rPr>
      <w:rFonts w:ascii="Times New Roman" w:hAnsi="Times New Roman" w:eastAsia="Times New Roman" w:cs="Times New Roman"/>
      <w:b w:val="0"/>
      <w:i w:val="0"/>
      <w:color w:val="000000"/>
      <w:sz w:val="20"/>
    </w:rPr>
  </w:style>
  <w:style w:customStyle="1" w:styleId="AbstractTitle" w:type="paragraph">
    <w:name w:val="Abstract Title"/>
    <w:basedOn w:val="Normal"/>
    <w:next w:val="Abstract"/>
    <w:qFormat/>
    <w:pPr>
      <w:keepNext/>
      <w:keepLines/>
      <w:widowControl/>
      <w:spacing w:after="80" w:before="60" w:line="240" w:lineRule="auto"/>
      <w:jc w:val="center"/>
    </w:pPr>
    <w:rPr>
      <w:rFonts w:ascii="Times New Roman" w:hAnsi="Times New Roman" w:eastAsia="Times New Roman" w:cs="Times New Roman"/>
      <w:b/>
      <w:i w:val="0"/>
      <w:color w:val="000000"/>
      <w:sz w:val="22"/>
      <w:szCs w:val="20"/>
    </w:rPr>
  </w:style>
  <w:style w:customStyle="1" w:styleId="Abstract" w:type="paragraph">
    <w:name w:val="Abstract"/>
    <w:basedOn w:val="Normal"/>
    <w:next w:val="BodyText"/>
    <w:qFormat/>
    <w:pPr>
      <w:keepNext w:val="0"/>
      <w:keepLines/>
      <w:widowControl/>
      <w:spacing w:after="140" w:before="0" w:line="259" w:lineRule="auto"/>
      <w:jc w:val="both"/>
    </w:pPr>
    <w:rPr>
      <w:rFonts w:ascii="Times New Roman" w:hAnsi="Times New Roman" w:eastAsia="Times New Roman" w:cs="Times New Roman"/>
      <w:b w:val="0"/>
      <w:i w:val="0"/>
      <w:color w:val="000000"/>
      <w:sz w:val="20"/>
      <w:szCs w:val="20"/>
    </w:rPr>
  </w:style>
  <w:style w:styleId="Bibliography" w:type="paragraph">
    <w:name w:val="Bibliography"/>
    <w:basedOn w:val="Normal"/>
    <w:next w:val="Bibliography"/>
    <w:qFormat/>
    <w:pPr>
      <w:keepNext w:val="0"/>
      <w:widowControl/>
      <w:spacing w:before="0" w:after="20" w:line="228" w:lineRule="auto"/>
      <w:ind w:left="360" w:hanging="360"/>
      <w:jc w:val="left"/>
    </w:pPr>
    <w:rPr>
      <w:rFonts w:ascii="Times New Roman" w:hAnsi="Times New Roman" w:eastAsia="Times New Roman" w:cs="Times New Roman"/>
      <w:b w:val="0"/>
      <w:i w:val="0"/>
      <w:color w:val="000000"/>
      <w:sz w:val="16"/>
    </w:rPr>
  </w:style>
  <w:style w:styleId="Heading1" w:type="paragraph">
    <w:name w:val="heading 1"/>
    <w:basedOn w:val="Normal"/>
    <w:next w:val="BodyText"/>
    <w:link w:val="Heading1Char"/>
    <w:uiPriority w:val="9"/>
    <w:qFormat/>
    <w:rsid w:val="00A10FD9"/>
    <w:pPr>
      <w:keepNext/>
      <w:keepLines/>
      <w:widowControl/>
      <w:spacing w:after="120" w:before="280" w:line="240" w:lineRule="auto"/>
      <w:outlineLvl w:val="0"/>
    </w:pPr>
    <w:rPr>
      <w:rFonts w:asciiTheme="majorHAnsi" w:cstheme="majorBidi" w:eastAsiaTheme="majorEastAsia" w:hAnsiTheme="majorHAnsi" w:ascii="Times New Roman" w:hAnsi="Times New Roman" w:eastAsia="Times New Roman" w:cs="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widowControl/>
      <w:spacing w:after="80" w:before="200" w:line="240" w:lineRule="auto"/>
      <w:outlineLvl w:val="1"/>
    </w:pPr>
    <w:rPr>
      <w:rFonts w:asciiTheme="majorHAnsi" w:cstheme="majorBidi" w:eastAsiaTheme="majorEastAsia" w:hAnsiTheme="majorHAnsi" w:ascii="Times New Roman" w:hAnsi="Times New Roman" w:eastAsia="Times New Roman" w:cs="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widowControl/>
      <w:spacing w:after="60" w:before="160" w:line="240" w:lineRule="auto"/>
      <w:outlineLvl w:val="2"/>
    </w:pPr>
    <w:rPr>
      <w:rFonts w:cstheme="majorBidi" w:eastAsiaTheme="majorEastAsia" w:ascii="Times New Roman" w:hAnsi="Times New Roman" w:eastAsia="Times New Roman" w:cs="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widowControl/>
      <w:spacing w:after="80" w:before="120" w:line="240" w:lineRule="auto"/>
      <w:jc w:val="left"/>
    </w:pPr>
    <w:rPr>
      <w:rFonts w:ascii="Times New Roman" w:hAnsi="Times New Roman" w:eastAsia="Times New Roman" w:cs="Times New Roman"/>
      <w:b w:val="0"/>
      <w:i/>
      <w:color w:val="000000"/>
      <w:sz w:val="18"/>
    </w:rPr>
  </w:style>
  <w:style w:customStyle="1" w:styleId="TableCaption" w:type="paragraph">
    <w:name w:val="Table Caption"/>
    <w:basedOn w:val="Caption"/>
    <w:pPr>
      <w:keepNext/>
      <w:widowControl/>
      <w:spacing w:before="120" w:after="80" w:line="240" w:lineRule="auto"/>
      <w:jc w:val="left"/>
    </w:pPr>
    <w:rPr>
      <w:rFonts w:ascii="Times New Roman" w:hAnsi="Times New Roman" w:eastAsia="Times New Roman" w:cs="Times New Roman"/>
      <w:b w:val="0"/>
      <w:i/>
      <w:color w:val="000000"/>
      <w:sz w:val="18"/>
    </w:rPr>
  </w:style>
  <w:style w:customStyle="1" w:styleId="ImageCaption" w:type="paragraph">
    <w:name w:val="Image Caption"/>
    <w:basedOn w:val="Caption"/>
    <w:pPr>
      <w:keepNext w:val="0"/>
      <w:widowControl/>
      <w:spacing w:before="60" w:after="160" w:line="240" w:lineRule="auto"/>
      <w:jc w:val="both"/>
    </w:pPr>
    <w:rPr>
      <w:rFonts w:ascii="Times New Roman" w:hAnsi="Times New Roman" w:eastAsia="Times New Roman" w:cs="Times New Roman"/>
      <w:b w:val="0"/>
      <w:i/>
      <w:color w:val="000000"/>
      <w:sz w:val="18"/>
    </w:rPr>
  </w:style>
  <w:style w:customStyle="1" w:styleId="Figure" w:type="paragraph">
    <w:name w:val="Figure"/>
    <w:basedOn w:val="Normal"/>
  </w:style>
  <w:style w:customStyle="1" w:styleId="CaptionedFigure" w:type="paragraph">
    <w:name w:val="Captioned Figure"/>
    <w:basedOn w:val="Figure"/>
    <w:pPr>
      <w:keepNext/>
      <w:widowControl/>
      <w:spacing w:before="0" w:after="0" w:line="240" w:lineRule="auto"/>
      <w:jc w:val="center"/>
    </w:pPr>
    <w:rPr>
      <w:rFonts w:ascii="Times New Roman" w:hAnsi="Times New Roman" w:eastAsia="Times New Roman" w:cs="Times New Roman"/>
      <w:b w:val="0"/>
      <w:i w:val="0"/>
      <w:color w:val="000000"/>
      <w:sz w:val="18"/>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Next w:val="0"/>
      <w:widowControl/>
      <w:wordWrap w:val="off"/>
      <w:spacing w:before="0" w:after="60" w:line="240" w:lineRule="auto"/>
    </w:pPr>
    <w:rPr>
      <w:rFonts w:ascii="Courier New" w:hAnsi="Courier New" w:eastAsia="Times New Roman" w:cs="Times New Roman"/>
      <w:b w:val="0"/>
      <w:i w:val="0"/>
      <w:color w:val="000000"/>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40" Type="http://schemas.openxmlformats.org/officeDocument/2006/relationships/image" Target="media/rId40.png"/><Relationship Id="rId49" Type="http://schemas.openxmlformats.org/officeDocument/2006/relationships/image" Target="media/rId49.png"/><Relationship Id="rId54" Type="http://schemas.openxmlformats.org/officeDocument/2006/relationships/image" Target="media/rId54.png"/><Relationship Id="rId58" Type="http://schemas.openxmlformats.org/officeDocument/2006/relationships/image" Target="media/rId58.png"/><Relationship Id="rId62" Type="http://schemas.openxmlformats.org/officeDocument/2006/relationships/image" Target="media/rId62.png"/><Relationship Id="rId66" Type="http://schemas.openxmlformats.org/officeDocument/2006/relationships/image" Target="media/rId66.png"/><Relationship Id="rId71" Type="http://schemas.openxmlformats.org/officeDocument/2006/relationships/image" Target="media/rId71.png"/><Relationship Id="rId88" Type="http://schemas.openxmlformats.org/officeDocument/2006/relationships/hyperlink" Target="https://datahub.ren.pt/en/networks/electrical-grid/" TargetMode="External"/><Relationship Id="rId102" Type="http://schemas.openxmlformats.org/officeDocument/2006/relationships/hyperlink" Target="https://doi.org/10.1016/j.compenvurbsys.2026.102495" TargetMode="External"/><Relationship Id="rId83" Type="http://schemas.openxmlformats.org/officeDocument/2006/relationships/hyperlink" Target="https://doi.org/10.1016/j.esr.2018.08.012" TargetMode="External"/><Relationship Id="rId85" Type="http://schemas.openxmlformats.org/officeDocument/2006/relationships/hyperlink" Target="https://doi.org/10.1038/s41597-025-04550-7" TargetMode="External"/><Relationship Id="rId82" Type="http://schemas.openxmlformats.org/officeDocument/2006/relationships/hyperlink" Target="https://doi.org/10.1109/TPWRS.2018.2829021" TargetMode="External"/><Relationship Id="rId84" Type="http://schemas.openxmlformats.org/officeDocument/2006/relationships/hyperlink" Target="https://doi.org/10.3390/en13123290" TargetMode="External"/><Relationship Id="rId92" Type="http://schemas.openxmlformats.org/officeDocument/2006/relationships/hyperlink" Target="https://download.geofabrik.de/europe/portugal.html" TargetMode="External"/><Relationship Id="rId106" Type="http://schemas.openxmlformats.org/officeDocument/2006/relationships/hyperlink" Target="https://e-redes.opendatasoft.com/explore/dataset/3-consumos-faturados-por-municipio-ultimos-10-anos/" TargetMode="External"/><Relationship Id="rId107" Type="http://schemas.openxmlformats.org/officeDocument/2006/relationships/hyperlink" Target="https://e-redes.opendatasoft.com/explore/dataset/carga-na-subestacao/" TargetMode="External"/><Relationship Id="rId103" Type="http://schemas.openxmlformats.org/officeDocument/2006/relationships/hyperlink" Target="https://e-redes.opendatasoft.com/explore/dataset/consumo-total-nacional/" TargetMode="External"/><Relationship Id="rId104" Type="http://schemas.openxmlformats.org/officeDocument/2006/relationships/hyperlink" Target="https://e-redes.opendatasoft.com/explore/dataset/energia-injetada-na-rede-de-distribuicao/" TargetMode="External"/><Relationship Id="rId105" Type="http://schemas.openxmlformats.org/officeDocument/2006/relationships/hyperlink" Target="https://e-redes.opendatasoft.com/explore/dataset/energia-produzida-total-nacional/" TargetMode="External"/><Relationship Id="rId87" Type="http://schemas.openxmlformats.org/officeDocument/2006/relationships/hyperlink" Target="https://e-redes.opendatasoft.com/pages/rnd/" TargetMode="External"/><Relationship Id="rId96" Type="http://schemas.openxmlformats.org/officeDocument/2006/relationships/hyperlink" Target="https://gisco-services.ec.europa.eu/distribution/v2/countries/" TargetMode="External"/><Relationship Id="rId78" Type="http://schemas.openxmlformats.org/officeDocument/2006/relationships/hyperlink" Target="https://github.com/MingLeiZhou/PortugueseOPD/releases/tag/SimPT60-2026.09.21-r1" TargetMode="External"/><Relationship Id="rId98" Type="http://schemas.openxmlformats.org/officeDocument/2006/relationships/hyperlink" Target="https://openinframap.org/about" TargetMode="External"/><Relationship Id="rId101" Type="http://schemas.openxmlformats.org/officeDocument/2006/relationships/hyperlink" Target="https://siaia.apambiente.pt/AIADOC/AIA3274/projeto%20linha%20eletrica%20pe%20tocha%20ii2019729153214.pdf" TargetMode="External"/><Relationship Id="rId93" Type="http://schemas.openxmlformats.org/officeDocument/2006/relationships/hyperlink" Target="https://siaia.apambiente.pt/AIADOC/AIA3403/parecerca_3403202192134944.pdf" TargetMode="External"/><Relationship Id="rId95" Type="http://schemas.openxmlformats.org/officeDocument/2006/relationships/hyperlink" Target="https://siaia.apambiente.pt/PosAvaliacao/DetalhesPosAvaliacao/407" TargetMode="External"/><Relationship Id="rId94" Type="http://schemas.openxmlformats.org/officeDocument/2006/relationships/hyperlink" Target="https://siaia.apambiente.pt/PosAvaliacao/DetalhesPosAvaliacao/421" TargetMode="External"/><Relationship Id="rId86" Type="http://schemas.openxmlformats.org/officeDocument/2006/relationships/hyperlink" Target="https://www.dgeg.gov.pt/media/54fldci3/pnec2030_para_aprov_ar.pdf" TargetMode="External"/><Relationship Id="rId89" Type="http://schemas.openxmlformats.org/officeDocument/2006/relationships/hyperlink" Target="https://www.dgeg.gov.pt/pt/servicos-online/setor-energetico/" TargetMode="External"/><Relationship Id="rId100" Type="http://schemas.openxmlformats.org/officeDocument/2006/relationships/hyperlink" Target="https://www.erse.pt/media/340hrot0/proposta-pdird-e-2020_anexo_b.pdf" TargetMode="External"/><Relationship Id="rId99" Type="http://schemas.openxmlformats.org/officeDocument/2006/relationships/hyperlink" Target="https://www.erse.pt/media/b1edmm30/proposta_pdirt_e_2015_anexos.pdf" TargetMode="External"/><Relationship Id="rId90" Type="http://schemas.openxmlformats.org/officeDocument/2006/relationships/hyperlink" Target="https://www.erse.pt/media/lx5n5kao/pdirt-2025-2034-proposta-inicial-vol-i-anexos-1-a-16.pdf" TargetMode="External"/><Relationship Id="rId91" Type="http://schemas.openxmlformats.org/officeDocument/2006/relationships/hyperlink" Target="https://www.openstreetmap.org/copyright" TargetMode="External"/><Relationship Id="rId97" Type="http://schemas.openxmlformats.org/officeDocument/2006/relationships/hyperlink" Target="https://www.ree.es/sites/default/files/jgk4byy3ukct.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8" Type="http://schemas.openxmlformats.org/officeDocument/2006/relationships/hyperlink" Target="https://datahub.ren.pt/en/networks/electrical-grid/" TargetMode="External"/><Relationship Id="rId102" Type="http://schemas.openxmlformats.org/officeDocument/2006/relationships/hyperlink" Target="https://doi.org/10.1016/j.compenvurbsys.2026.102495" TargetMode="External"/><Relationship Id="rId83" Type="http://schemas.openxmlformats.org/officeDocument/2006/relationships/hyperlink" Target="https://doi.org/10.1016/j.esr.2018.08.012" TargetMode="External"/><Relationship Id="rId85" Type="http://schemas.openxmlformats.org/officeDocument/2006/relationships/hyperlink" Target="https://doi.org/10.1038/s41597-025-04550-7" TargetMode="External"/><Relationship Id="rId82" Type="http://schemas.openxmlformats.org/officeDocument/2006/relationships/hyperlink" Target="https://doi.org/10.1109/TPWRS.2018.2829021" TargetMode="External"/><Relationship Id="rId84" Type="http://schemas.openxmlformats.org/officeDocument/2006/relationships/hyperlink" Target="https://doi.org/10.3390/en13123290" TargetMode="External"/><Relationship Id="rId92" Type="http://schemas.openxmlformats.org/officeDocument/2006/relationships/hyperlink" Target="https://download.geofabrik.de/europe/portugal.html" TargetMode="External"/><Relationship Id="rId106" Type="http://schemas.openxmlformats.org/officeDocument/2006/relationships/hyperlink" Target="https://e-redes.opendatasoft.com/explore/dataset/3-consumos-faturados-por-municipio-ultimos-10-anos/" TargetMode="External"/><Relationship Id="rId107" Type="http://schemas.openxmlformats.org/officeDocument/2006/relationships/hyperlink" Target="https://e-redes.opendatasoft.com/explore/dataset/carga-na-subestacao/" TargetMode="External"/><Relationship Id="rId103" Type="http://schemas.openxmlformats.org/officeDocument/2006/relationships/hyperlink" Target="https://e-redes.opendatasoft.com/explore/dataset/consumo-total-nacional/" TargetMode="External"/><Relationship Id="rId104" Type="http://schemas.openxmlformats.org/officeDocument/2006/relationships/hyperlink" Target="https://e-redes.opendatasoft.com/explore/dataset/energia-injetada-na-rede-de-distribuicao/" TargetMode="External"/><Relationship Id="rId105" Type="http://schemas.openxmlformats.org/officeDocument/2006/relationships/hyperlink" Target="https://e-redes.opendatasoft.com/explore/dataset/energia-produzida-total-nacional/" TargetMode="External"/><Relationship Id="rId87" Type="http://schemas.openxmlformats.org/officeDocument/2006/relationships/hyperlink" Target="https://e-redes.opendatasoft.com/pages/rnd/" TargetMode="External"/><Relationship Id="rId96" Type="http://schemas.openxmlformats.org/officeDocument/2006/relationships/hyperlink" Target="https://gisco-services.ec.europa.eu/distribution/v2/countries/" TargetMode="External"/><Relationship Id="rId78" Type="http://schemas.openxmlformats.org/officeDocument/2006/relationships/hyperlink" Target="https://github.com/MingLeiZhou/PortugueseOPD/releases/tag/SimPT60-2026.09.21-r1" TargetMode="External"/><Relationship Id="rId98" Type="http://schemas.openxmlformats.org/officeDocument/2006/relationships/hyperlink" Target="https://openinframap.org/about" TargetMode="External"/><Relationship Id="rId101" Type="http://schemas.openxmlformats.org/officeDocument/2006/relationships/hyperlink" Target="https://siaia.apambiente.pt/AIADOC/AIA3274/projeto%20linha%20eletrica%20pe%20tocha%20ii2019729153214.pdf" TargetMode="External"/><Relationship Id="rId93" Type="http://schemas.openxmlformats.org/officeDocument/2006/relationships/hyperlink" Target="https://siaia.apambiente.pt/AIADOC/AIA3403/parecerca_3403202192134944.pdf" TargetMode="External"/><Relationship Id="rId95" Type="http://schemas.openxmlformats.org/officeDocument/2006/relationships/hyperlink" Target="https://siaia.apambiente.pt/PosAvaliacao/DetalhesPosAvaliacao/407" TargetMode="External"/><Relationship Id="rId94" Type="http://schemas.openxmlformats.org/officeDocument/2006/relationships/hyperlink" Target="https://siaia.apambiente.pt/PosAvaliacao/DetalhesPosAvaliacao/421" TargetMode="External"/><Relationship Id="rId86" Type="http://schemas.openxmlformats.org/officeDocument/2006/relationships/hyperlink" Target="https://www.dgeg.gov.pt/media/54fldci3/pnec2030_para_aprov_ar.pdf" TargetMode="External"/><Relationship Id="rId89" Type="http://schemas.openxmlformats.org/officeDocument/2006/relationships/hyperlink" Target="https://www.dgeg.gov.pt/pt/servicos-online/setor-energetico/" TargetMode="External"/><Relationship Id="rId100" Type="http://schemas.openxmlformats.org/officeDocument/2006/relationships/hyperlink" Target="https://www.erse.pt/media/340hrot0/proposta-pdird-e-2020_anexo_b.pdf" TargetMode="External"/><Relationship Id="rId99" Type="http://schemas.openxmlformats.org/officeDocument/2006/relationships/hyperlink" Target="https://www.erse.pt/media/b1edmm30/proposta_pdirt_e_2015_anexos.pdf" TargetMode="External"/><Relationship Id="rId90" Type="http://schemas.openxmlformats.org/officeDocument/2006/relationships/hyperlink" Target="https://www.erse.pt/media/lx5n5kao/pdirt-2025-2034-proposta-inicial-vol-i-anexos-1-a-16.pdf" TargetMode="External"/><Relationship Id="rId91" Type="http://schemas.openxmlformats.org/officeDocument/2006/relationships/hyperlink" Target="https://www.openstreetmap.org/copyright" TargetMode="External"/><Relationship Id="rId97" Type="http://schemas.openxmlformats.org/officeDocument/2006/relationships/hyperlink" Target="https://www.ree.es/sites/default/files/jgk4byy3ukc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traceable time-series power-flow dataset for Portugal's high-voltage grid</dc:title>
  <dc:creator/>
  <cp:keywords/>
  <dcterms:created xsi:type="dcterms:W3CDTF">2026-09-21T17:14:54Z</dcterms:created>
  <dcterms:modified xsi:type="dcterms:W3CDTF">2026-09-21T17:14:54Z</dcterms:modified>
  <cp:lastModifiedBy/>
  <dc:description>Editable submission manuscript export</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Publicly accessible power-system data are commonly fragmented across network structure, equipment attributes, and operating records, which limits their direct use in continuous power-flow analysis and method comparison. We present SimPT60, a research dataset reconstructed from multiple public sources for the continental Portuguese 60–400 kV grid and the Portugal–Spain interconnection boundary. SimPT60 organizes the static network, operating time series, and alternating-current (AC) power-flow results in a unified data framework. It provides continuous 15-minute operating cases, source-level provenance, and validation products for assessing model consistency. The dataset supports time-series power-flow studies, scenario comparison, relative-risk screening, and testing of grid-analysis algorithms. Its research utility is demonstrated using E-REDES public datasets that were withheld from nodal-power construction, parameter-sensitivity experiments, and single-element (N−1) contingency screening. SimPT60 is a public-data-derived research model and has not been validated as an operator network model at equipment level.</vt:lpwstr>
  </property>
  <property fmtid="{D5CDD505-2E9C-101B-9397-08002B2CF9AE}" pid="3" name="bibliography">
    <vt:lpwstr>references.bib</vt:lpwstr>
  </property>
  <property fmtid="{D5CDD505-2E9C-101B-9397-08002B2CF9AE}" pid="4" name="csl">
    <vt:lpwstr>../nature.csl</vt:lpwstr>
  </property>
  <property fmtid="{D5CDD505-2E9C-101B-9397-08002B2CF9AE}" pid="5" name="date">
    <vt:lpwstr>September 2026</vt:lpwstr>
  </property>
  <property fmtid="{D5CDD505-2E9C-101B-9397-08002B2CF9AE}" pid="6" name="reference-section-title">
    <vt:lpwstr>References</vt:lpwstr>
  </property>
</Properties>
</file>