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eastAsia="Times New Roman" w:cs="Times New Roman"/>
          <w:sz w:val="36"/>
        </w:rPr>
        <w:t xml:space="preserve">SimPT60: A Traceable Time-Series Power-Flow Dataset for Portugal's High-Voltage Grid</w:t>
      </w:r>
    </w:p>
    <w:p>
      <w:pPr>
        <w:pStyle w:val="Date"/>
        <w:widowControl/>
      </w:pPr>
      <w:r>
        <w:rPr>
          <w:rFonts w:ascii="Times New Roman" w:hAnsi="Times New Roman" w:eastAsia="Times New Roman" w:cs="Times New Roman"/>
          <w:sz w:val="20"/>
        </w:rPr>
        <w:t xml:space="preserve">September 2026</w:t>
      </w:r>
    </w:p>
    <w:p>
      <w:pPr>
        <w:pStyle w:val="AbstractTitle"/>
        <w:widowControl/>
      </w:pPr>
      <w:r>
        <w:rPr>
          <w:rFonts w:ascii="Times New Roman" w:hAnsi="Times New Roman" w:eastAsia="Times New Roman" w:cs="Times New Roman"/>
          <w:sz w:val="22"/>
        </w:rPr>
        <w:t xml:space="preserve">Abstract</w:t>
      </w:r>
    </w:p>
    <w:p>
      <w:pPr>
        <w:pStyle w:val="Abstract"/>
        <w:widowControl/>
      </w:pPr>
      <w:r>
        <w:rPr>
          <w:rFonts w:ascii="Times New Roman" w:hAnsi="Times New Roman" w:eastAsia="Times New Roman" w:cs="Times New Roman"/>
          <w:sz w:val="20"/>
        </w:rPr>
        <w:t xml:space="preserve">Publicly accessible power-system data are commonly fragmented across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network structure, equipment attributes, and operating records, which</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limits their direct use in continuous power-flow analysis and method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comparison. We present SimPT60, a research dataset reconstructed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multiple public sources for the continental Portuguese 60–400 kV grid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and the Portugal–Spain interconnection boundary. SimPT60 organizes the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static network, operating time series, and alternating-current</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power-flow results in a unified data framework. It provides continuous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15-minute operating cases, source-level provenance, and validation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products for assessing model consistency. The dataset supports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time-series power-flow studies, scenario comparison, relative-risk</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screening, and testing of grid-analysis algorithms. Its research utility</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is demonstrated using E-REDES public datasets that were withheld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nodal-power construction, parameter-sensitivity experiments, and N−1</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contingency screening. SimPT60 is a public-data-derived research model</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and has not been validated as an operator network model at equipment</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level.</w:t>
      </w:r>
    </w:p>
    <w:p>
      <w:pPr>
        <w:pStyle w:val="Abstract"/>
        <w:widowControl/>
      </w:pPr>
      <w:r>
        <w:rPr>
          <w:rFonts w:ascii="Times New Roman" w:hAnsi="Times New Roman" w:eastAsia="Times New Roman" w:cs="Times New Roman"/>
          <w:b/>
          <w:bCs/>
          <w:sz w:val="20"/>
        </w:rPr>
        <w:t xml:space="preserve">Keywords: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power-system dataset; Portugal; public data; grid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reconstruction; power flow; time series; provenance; cross-source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validation</w:t>
      </w:r>
    </w:p>
    <w:bookmarkStart w:id="22" w:name="introduction"/>
    <w:p>
      <w:pPr>
        <w:pStyle w:val="Heading1"/>
        <w:keepNext/>
        <w:keepLines/>
        <w:widowControl/>
      </w:pPr>
      <w:r>
        <w:rPr>
          <w:rFonts w:ascii="Times New Roman" w:hAnsi="Times New Roman" w:eastAsia="Times New Roman" w:cs="Times New Roman"/>
          <w:sz w:val="28"/>
        </w:rPr>
        <w:t xml:space="preserve">1. Introduction</w:t>
      </w:r>
    </w:p>
    <w:p>
      <w:pPr>
        <w:pStyle w:val="FirstParagraph"/>
        <w:widowControl/>
      </w:pPr>
      <w:r>
        <w:rPr>
          <w:rFonts w:ascii="Times New Roman" w:hAnsi="Times New Roman" w:eastAsia="Times New Roman" w:cs="Times New Roman"/>
          <w:sz w:val="21"/>
        </w:rPr>
        <w:t xml:space="preserve">Power-flow simulation underpins many studies of grid operation,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planning, and risk, and requires data that describe network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equipment attributes, and operating conditions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Thurner2018">
        <w:r>
          <w:rPr>
            <w:rStyle w:val="Hyperlink"/>
          </w:rPr>
          <w:t xml:space="preserve">Thurner et al., 2018</w:t>
        </w:r>
      </w:hyperlink>
      <w:r>
        <w:rPr>
          <w:rFonts w:ascii="Times New Roman" w:hAnsi="Times New Roman" w:eastAsia="Times New Roman" w:cs="Times New Roman"/>
          <w:sz w:val="21"/>
        </w:rPr>
        <w:t xml:space="preserve">). As research moves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individual snapshots to time-series analysis, a static network must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also be linked to continuous load, generation, and other operating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w:t>
      </w:r>
      <w:hyperlink w:anchor="ref-Horsch2018">
        <w:r>
          <w:rPr>
            <w:rStyle w:val="Hyperlink"/>
          </w:rPr>
          <w:t xml:space="preserve">Hörsch et al., 2018</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Meinecke2020">
        <w:r>
          <w:rPr>
            <w:rStyle w:val="Hyperlink"/>
          </w:rPr>
          <w:t xml:space="preserve">Meinecke et al., 2020</w:t>
        </w:r>
      </w:hyperlink>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Several public resources already provide reusable grid models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benchmark datasets. PyPSA-Eur supplies a transmission-network model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 energy-system optimization and operational studies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Horsch2018">
        <w:r>
          <w:rPr>
            <w:rStyle w:val="Hyperlink"/>
          </w:rPr>
          <w:t xml:space="preserve">Hörsch et al., 2018</w:t>
        </w:r>
      </w:hyperlink>
      <w:r>
        <w:rPr>
          <w:rFonts w:ascii="Times New Roman" w:hAnsi="Times New Roman" w:eastAsia="Times New Roman" w:cs="Times New Roman"/>
          <w:sz w:val="21"/>
        </w:rPr>
        <w:t xml:space="preserve">). Recent open-data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work has expanded the geographic representation of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 high-voltage grid (</w:t>
      </w:r>
      <w:hyperlink w:anchor="ref-Xiong2025">
        <w:r>
          <w:rPr>
            <w:rStyle w:val="Hyperlink"/>
          </w:rPr>
          <w:t xml:space="preserve">Xiong et al.,</w:t>
        </w:r>
        <w:r>
          <w:rPr>
            <w:rStyle w:val="Hyperlink"/>
          </w:rPr>
          <w:t xml:space="preserve"> </w:t>
        </w:r>
        <w:r>
          <w:rPr>
            <w:rStyle w:val="Hyperlink"/>
          </w:rPr>
          <w:t xml:space="preserve">2025</w:t>
        </w:r>
      </w:hyperlink>
      <w:r>
        <w:rPr>
          <w:rFonts w:ascii="Times New Roman" w:hAnsi="Times New Roman" w:eastAsia="Times New Roman" w:cs="Times New Roman"/>
          <w:sz w:val="21"/>
        </w:rPr>
        <w:t xml:space="preserve">). SimBench provides representative networks across several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levels together with annual load and generation profiles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Meinecke2020">
        <w:r>
          <w:rPr>
            <w:rStyle w:val="Hyperlink"/>
          </w:rPr>
          <w:t xml:space="preserve">Meinecke et al., 2020</w:t>
        </w:r>
      </w:hyperlink>
      <w:r>
        <w:rPr>
          <w:rFonts w:ascii="Times New Roman" w:hAnsi="Times New Roman" w:eastAsia="Times New Roman" w:cs="Times New Roman"/>
          <w:sz w:val="21"/>
        </w:rPr>
        <w:t xml:space="preserve">). These resources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system optimization, network reconstruction, and method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comparison, respectively, and provide an important basis for open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power-system research.</w:t>
      </w:r>
    </w:p>
    <w:bookmarkStart w:id="20" w:name="motivation"/>
    <w:p>
      <w:pPr>
        <w:pStyle w:val="Heading2"/>
        <w:keepNext/>
        <w:keepLines/>
        <w:widowControl/>
      </w:pPr>
      <w:r>
        <w:rPr>
          <w:rFonts w:ascii="Times New Roman" w:hAnsi="Times New Roman" w:eastAsia="Times New Roman" w:cs="Times New Roman"/>
          <w:sz w:val="24"/>
        </w:rPr>
        <w:t xml:space="preserve">1.1 Motivation</w:t>
      </w:r>
    </w:p>
    <w:p>
      <w:pPr>
        <w:pStyle w:val="FirstParagraph"/>
        <w:widowControl/>
      </w:pPr>
      <w:r>
        <w:rPr>
          <w:rFonts w:ascii="Times New Roman" w:hAnsi="Times New Roman" w:eastAsia="Times New Roman" w:cs="Times New Roman"/>
          <w:sz w:val="21"/>
        </w:rPr>
        <w:t xml:space="preserve">Portugal’s National Energy and Climate Plan identifies renewable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storage, electrification, and cross-border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central elements of the energy transition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DGEGPNEC2030Revision2024">
        <w:r>
          <w:rPr>
            <w:rStyle w:val="Hyperlink"/>
          </w:rPr>
          <w:t xml:space="preserve">DGEG, 2024</w:t>
        </w:r>
      </w:hyperlink>
      <w:r>
        <w:rPr>
          <w:rFonts w:ascii="Times New Roman" w:hAnsi="Times New Roman" w:eastAsia="Times New Roman" w:cs="Times New Roman"/>
          <w:sz w:val="21"/>
        </w:rPr>
        <w:t xml:space="preserve">). These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developments alter the scale and spatial distribution of generation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demand and therefore affect line flows, bus voltages, and system risk.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Studying the time-varying behavior of the Portuguese grid consequently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a data foundation that represents both network structure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conditions.</w:t>
      </w:r>
    </w:p>
    <w:p>
      <w:pPr>
        <w:pStyle w:val="BodyText"/>
        <w:widowControl/>
      </w:pPr>
      <w:r>
        <w:rPr>
          <w:rFonts w:ascii="Times New Roman" w:hAnsi="Times New Roman" w:eastAsia="Times New Roman" w:cs="Times New Roman"/>
          <w:sz w:val="21"/>
        </w:rPr>
        <w:t xml:space="preserve">The relevant public records are distributed across E-REDES, 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Energéticas Nacionais (REN), the Direção-Geral de Energia e Geologia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(DGEG), the Entidade Reguladora dos Serviços Energéticos (ERSE),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 geospatial platforms (</w:t>
      </w:r>
      <w:hyperlink w:anchor="ref-EREDESRND2026">
        <w:r>
          <w:rPr>
            <w:rStyle w:val="Hyperlink"/>
          </w:rPr>
          <w:t xml:space="preserve">E-REDES,</w:t>
        </w:r>
        <w:r>
          <w:rPr>
            <w:rStyle w:val="Hyperlink"/>
          </w:rPr>
          <w:t xml:space="preserve"> </w:t>
        </w:r>
        <w:r>
          <w:rPr>
            <w:rStyle w:val="Hyperlink"/>
          </w:rPr>
          <w:t xml:space="preserve">n.d.-f</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RENDataHub2026">
        <w:r>
          <w:rPr>
            <w:rStyle w:val="Hyperlink"/>
          </w:rPr>
          <w:t xml:space="preserve">REN, n.d.</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DGEGGeo2026">
        <w:r>
          <w:rPr>
            <w:rStyle w:val="Hyperlink"/>
          </w:rPr>
          <w:t xml:space="preserve">DGEG, n.d.</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ERSEPDIRT2024">
        <w:r>
          <w:rPr>
            <w:rStyle w:val="Hyperlink"/>
          </w:rPr>
          <w:t xml:space="preserve">REN, 2024</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OSM2026">
        <w:r>
          <w:rPr>
            <w:rStyle w:val="Hyperlink"/>
          </w:rPr>
          <w:t xml:space="preserve">OpenStreetMap contributors, n.d.</w:t>
        </w:r>
      </w:hyperlink>
      <w:r>
        <w:rPr>
          <w:rFonts w:ascii="Times New Roman" w:hAnsi="Times New Roman" w:eastAsia="Times New Roman" w:cs="Times New Roman"/>
          <w:sz w:val="21"/>
        </w:rPr>
        <w:t xml:space="preserve">). Their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coverage, temporal resolution, identifiers, and field definitions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differ. Using them in a common power-flow model requires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completion of electrical parameters, asset-to-bus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temporal alignment, and allocation of aggregate power to nodes.</w:t>
      </w:r>
    </w:p>
    <w:p>
      <w:pPr>
        <w:pStyle w:val="BodyText"/>
        <w:widowControl/>
      </w:pPr>
      <w:r>
        <w:rPr>
          <w:rFonts w:ascii="Times New Roman" w:hAnsi="Times New Roman" w:eastAsia="Times New Roman" w:cs="Times New Roman"/>
          <w:sz w:val="21"/>
        </w:rPr>
        <w:t xml:space="preserve">Existing resources also have different modelling objectives and scopes.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European-scale models primarily address cross-regional system studies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Horsch2018">
        <w:r>
          <w:rPr>
            <w:rStyle w:val="Hyperlink"/>
          </w:rPr>
          <w:t xml:space="preserve">Hörsch et al., 2018</w:t>
        </w:r>
      </w:hyperlink>
      <w:r>
        <w:rPr>
          <w:rFonts w:ascii="Times New Roman" w:hAnsi="Times New Roman" w:eastAsia="Times New Roman" w:cs="Times New Roman"/>
          <w:sz w:val="21"/>
        </w:rPr>
        <w:t xml:space="preserve">); open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reconstructions focus mainly on AC networks at 220 kV and above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Xiong2025">
        <w:r>
          <w:rPr>
            <w:rStyle w:val="Hyperlink"/>
          </w:rPr>
          <w:t xml:space="preserve">Xiong et al., 2025</w:t>
        </w:r>
      </w:hyperlink>
      <w:r>
        <w:rPr>
          <w:rFonts w:ascii="Times New Roman" w:hAnsi="Times New Roman" w:eastAsia="Times New Roman" w:cs="Times New Roman"/>
          <w:sz w:val="21"/>
        </w:rPr>
        <w:t xml:space="preserve">); and representative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benchmarks do not describe the geographic Portuguese 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Meinecke2020">
        <w:r>
          <w:rPr>
            <w:rStyle w:val="Hyperlink"/>
          </w:rPr>
          <w:t xml:space="preserve">Meinecke et al., 2020</w:t>
        </w:r>
      </w:hyperlink>
      <w:r>
        <w:rPr>
          <w:rFonts w:ascii="Times New Roman" w:hAnsi="Times New Roman" w:eastAsia="Times New Roman" w:cs="Times New Roman"/>
          <w:sz w:val="21"/>
        </w:rPr>
        <w:t xml:space="preserve">). A public research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resource that combines the continental Portuguese 60–400 kV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operating time series, solvable power-flow cases, and explicit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provenance has therefore remained unavailable.</w:t>
      </w:r>
    </w:p>
    <w:p>
      <w:pPr>
        <w:pStyle w:val="BodyText"/>
        <w:widowControl/>
      </w:pPr>
      <w:r>
        <w:rPr>
          <w:rFonts w:ascii="Times New Roman" w:hAnsi="Times New Roman" w:eastAsia="Times New Roman" w:cs="Times New Roman"/>
          <w:sz w:val="21"/>
        </w:rPr>
        <w:t xml:space="preserve">This study develops a traceable, computationally usable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high-voltage grid dataset with continuous time-indexed cases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analysis, grid-risk screening, scenario comparison,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testing.</w:t>
      </w:r>
    </w:p>
    <w:bookmarkEnd w:id="20"/>
    <w:bookmarkStart w:id="21" w:name="introducing-simpt60"/>
    <w:p>
      <w:pPr>
        <w:pStyle w:val="Heading2"/>
        <w:keepNext/>
        <w:keepLines/>
        <w:widowControl/>
      </w:pPr>
      <w:r>
        <w:rPr>
          <w:rFonts w:ascii="Times New Roman" w:hAnsi="Times New Roman" w:eastAsia="Times New Roman" w:cs="Times New Roman"/>
          <w:sz w:val="24"/>
        </w:rPr>
        <w:t xml:space="preserve">1.2 Introducing SimPT60</w:t>
      </w:r>
    </w:p>
    <w:p>
      <w:pPr>
        <w:pStyle w:val="FirstParagraph"/>
        <w:widowControl/>
      </w:pPr>
      <w:r>
        <w:rPr>
          <w:rFonts w:ascii="Times New Roman" w:hAnsi="Times New Roman" w:eastAsia="Times New Roman" w:cs="Times New Roman"/>
          <w:sz w:val="21"/>
        </w:rPr>
        <w:t xml:space="preserve">SimPT60 reconstructs the continental Portuguese high-voltage grid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multiple public sources. It covers the 60, 130, 150, 220, and 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networks and retains the boundary nodes required to represent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interconnections. Raw sources, the static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time-series inputs, power-flow results, and validation records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stored in linked layers so that users can trace key fields to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source and processing rule.</w:t>
      </w:r>
    </w:p>
    <w:p>
      <w:pPr>
        <w:pStyle w:val="BodyText"/>
        <w:widowControl/>
      </w:pPr>
      <w:r>
        <w:rPr>
          <w:rFonts w:ascii="Times New Roman" w:hAnsi="Times New Roman" w:eastAsia="Times New Roman" w:cs="Times New Roman"/>
          <w:sz w:val="21"/>
        </w:rPr>
        <w:t xml:space="preserve">The main contribution is a versioned data product that links a traceable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public-data reconstruction of the continental Portuguese 60–400 kV 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 31,492 consecutive and reproducible 15-minute AC power-flow states.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Raw records, derived objects, and validation results remain separate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connected. Table 1 summarizes the scope, principal products,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interpretation boundaries; Section 4.7 states the limitations.</w:t>
      </w:r>
    </w:p>
    <w:p>
      <w:pPr>
        <w:pStyle w:val="TableCaption"/>
        <w:keepNext/>
        <w:widowControl/>
      </w:pPr>
      <w:r>
        <w:rPr>
          <w:rFonts w:ascii="Times New Roman" w:hAnsi="Times New Roman" w:eastAsia="Times New Roman" w:cs="Times New Roman"/>
          <w:b/>
          <w:bCs/>
          <w:sz w:val="18"/>
        </w:rPr>
        <w:t xml:space="preserve">Table 1—Scope and data products of SimPT60.</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Dimension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Scope or product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Interpretation boundary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Geography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 and Portugal–Spain boundary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Excludes islands and distribution networks below 60 kV</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 130, 150, 220, and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Reconstructed from multiple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public sources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-05-01 to 2026-03-24;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Europe/Lisbon civil days;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aligned in Coordinated Universal Time (UTC)</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 network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 lines, transformers, assets, and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Public connection evidence and engineering proxies coexist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Operating cases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,492 steady-state AC power-flow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Computed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model states, not equipment telemetry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Distribution and provenance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Main database, 11 monthly databases,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raw-record locators, and source hashes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Source licensing and release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snapshots are managed separately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 and application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External temporal/spatial comparisons,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perturbation tests, stress scenarios, and 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Aggregate consistency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does not establish equipment-level truth</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Sections 1–3 define the scope, construction rules,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data products.</w:t>
      </w:r>
    </w:p>
    <w:p>
      <w:pPr>
        <w:pStyle w:val="BodyText"/>
        <w:widowControl/>
      </w:pPr>
      <w:r>
        <w:rPr>
          <w:rFonts w:ascii="Times New Roman" w:hAnsi="Times New Roman" w:eastAsia="Times New Roman" w:cs="Times New Roman"/>
          <w:sz w:val="21"/>
        </w:rPr>
        <w:t xml:space="preserve">The remainder of the paper is organized as follows. Section 2 describes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source data and construction method. Section 3 presents the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 time series, and power-flow cases. Section 4 reports validation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results, Section 5 provides application examples, and Section 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concludes the paper.</w:t>
      </w:r>
    </w:p>
    <w:bookmarkEnd w:id="21"/>
    <w:bookmarkEnd w:id="22"/>
    <w:bookmarkStart w:id="42" w:name="methodology"/>
    <w:p>
      <w:pPr>
        <w:pStyle w:val="Heading1"/>
        <w:keepNext/>
        <w:keepLines/>
        <w:widowControl/>
      </w:pPr>
      <w:r>
        <w:rPr>
          <w:rFonts w:ascii="Times New Roman" w:hAnsi="Times New Roman" w:eastAsia="Times New Roman" w:cs="Times New Roman"/>
          <w:sz w:val="28"/>
        </w:rPr>
        <w:t xml:space="preserve">2. Methodology</w:t>
      </w:r>
    </w:p>
    <w:p>
      <w:pPr>
        <w:pStyle w:val="FirstParagraph"/>
        <w:widowControl/>
      </w:pPr>
      <w:r>
        <w:rPr>
          <w:rFonts w:ascii="Times New Roman" w:hAnsi="Times New Roman" w:eastAsia="Times New Roman" w:cs="Times New Roman"/>
          <w:sz w:val="21"/>
        </w:rPr>
        <w:t xml:space="preserve">SimPT60 was constructed in five stages: archiving and standardizing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reconstructing the 60–400 kV static network; mapping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and operating records to a common 15-minute calendar; generating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solving one AC power-flow case per interval; and storing the results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linked layers with explicit quality controls.</w:t>
      </w:r>
    </w:p>
    <w:bookmarkStart w:id="25" w:name="public-data-scope-and-standardization"/>
    <w:p>
      <w:pPr>
        <w:pStyle w:val="Heading2"/>
        <w:keepNext/>
        <w:keepLines/>
        <w:widowControl/>
      </w:pPr>
      <w:r>
        <w:rPr>
          <w:rFonts w:ascii="Times New Roman" w:hAnsi="Times New Roman" w:eastAsia="Times New Roman" w:cs="Times New Roman"/>
          <w:sz w:val="24"/>
        </w:rPr>
        <w:t xml:space="preserve">2.1 Public Data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Standardization</w:t>
      </w:r>
    </w:p>
    <w:bookmarkStart w:id="23" w:name="scope-and-sources"/>
    <w:p>
      <w:pPr>
        <w:pStyle w:val="Heading3"/>
        <w:keepNext/>
        <w:keepLines/>
        <w:widowControl/>
      </w:pPr>
      <w:r>
        <w:rPr>
          <w:rFonts w:ascii="Times New Roman" w:hAnsi="Times New Roman" w:eastAsia="Times New Roman" w:cs="Times New Roman"/>
          <w:sz w:val="22"/>
        </w:rPr>
        <w:t xml:space="preserve">2.1.1 Scope and Sources</w:t>
      </w:r>
    </w:p>
    <w:p>
      <w:pPr>
        <w:pStyle w:val="FirstParagraph"/>
        <w:widowControl/>
      </w:pPr>
      <w:r>
        <w:rPr>
          <w:rFonts w:ascii="Times New Roman" w:hAnsi="Times New Roman" w:eastAsia="Times New Roman" w:cs="Times New Roman"/>
          <w:sz w:val="21"/>
        </w:rPr>
        <w:t xml:space="preserve">The geographic, voltage, and temporal scope is given in Table 1.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 is drawn mainly from the E-REDES 60/130 kV network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OpenStreetMap (OSM)/Geofabrik 150/220/400 kV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GeofabrikPortugal2026">
        <w:r>
          <w:rPr>
            <w:rStyle w:val="Hyperlink"/>
          </w:rPr>
          <w:t xml:space="preserve">Geofabrik GmbH, n.d.</w:t>
        </w:r>
      </w:hyperlink>
      <w:r>
        <w:rPr>
          <w:rFonts w:ascii="Times New Roman" w:hAnsi="Times New Roman" w:eastAsia="Times New Roman" w:cs="Times New Roman"/>
          <w:sz w:val="21"/>
        </w:rPr>
        <w:t xml:space="preserve">). DGEG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APA records supplement generation, storage, and connection 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DGEGGeo2026">
        <w:r>
          <w:rPr>
            <w:rStyle w:val="Hyperlink"/>
          </w:rPr>
          <w:t xml:space="preserve">DGEG, n.d.</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APA3403">
        <w:r>
          <w:rPr>
            <w:rStyle w:val="Hyperlink"/>
          </w:rPr>
          <w:t xml:space="preserve">APA,</w:t>
        </w:r>
        <w:r>
          <w:rPr>
            <w:rStyle w:val="Hyperlink"/>
          </w:rPr>
          <w:t xml:space="preserve"> </w:t>
        </w:r>
        <w:r>
          <w:rPr>
            <w:rStyle w:val="Hyperlink"/>
          </w:rPr>
          <w:t xml:space="preserve">2021</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APAPPA421">
        <w:r>
          <w:rPr>
            <w:rStyle w:val="Hyperlink"/>
          </w:rPr>
          <w:t xml:space="preserve">APA, n.d.-a</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APAPPA407">
        <w:r>
          <w:rPr>
            <w:rStyle w:val="Hyperlink"/>
          </w:rPr>
          <w:t xml:space="preserve">APA, n.d.-b</w:t>
        </w:r>
      </w:hyperlink>
      <w:r>
        <w:rPr>
          <w:rFonts w:ascii="Times New Roman" w:hAnsi="Times New Roman" w:eastAsia="Times New Roman" w:cs="Times New Roman"/>
          <w:sz w:val="21"/>
        </w:rPr>
        <w:t xml:space="preserve">). REN provides national 15-minute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operating series, whereas E-REDES provides substation energy. PDIRT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PDIRD documents provide delivery-point profiles and selected equipment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parameters (</w:t>
      </w:r>
      <w:hyperlink w:anchor="ref-EREDESRND2026">
        <w:r>
          <w:rPr>
            <w:rStyle w:val="Hyperlink"/>
          </w:rPr>
          <w:t xml:space="preserve">E-REDES, n.d.-f</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OSM2026">
        <w:r>
          <w:rPr>
            <w:rStyle w:val="Hyperlink"/>
          </w:rPr>
          <w:t xml:space="preserve">OpenStreetMap contributors, n.d.</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RENDataHub2026">
        <w:r>
          <w:rPr>
            <w:rStyle w:val="Hyperlink"/>
          </w:rPr>
          <w:t xml:space="preserve">REN, n.d.</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ERSEPDIRT2024">
        <w:r>
          <w:rPr>
            <w:rStyle w:val="Hyperlink"/>
          </w:rPr>
          <w:t xml:space="preserve">REN, 2024</w:t>
        </w:r>
      </w:hyperlink>
      <w:r>
        <w:rPr>
          <w:rFonts w:ascii="Times New Roman" w:hAnsi="Times New Roman" w:eastAsia="Times New Roman" w:cs="Times New Roman"/>
          <w:sz w:val="21"/>
        </w:rPr>
        <w:t xml:space="preserve">). GISCO supplies the continental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w:t>
      </w:r>
      <w:hyperlink w:anchor="ref-GISCO2024">
        <w:r>
          <w:rPr>
            <w:rStyle w:val="Hyperlink"/>
          </w:rPr>
          <w:t xml:space="preserve">Eurostat GISCO, 2024</w:t>
        </w:r>
      </w:hyperlink>
      <w:r>
        <w:rPr>
          <w:rFonts w:ascii="Times New Roman" w:hAnsi="Times New Roman" w:eastAsia="Times New Roman" w:cs="Times New Roman"/>
          <w:sz w:val="21"/>
        </w:rPr>
        <w:t xml:space="preserve">); REN and REE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support transmission and interconnection checks. OpenInfraMap,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which derives from OSM, is used only for display checks and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treated as independent 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OpenInfraMap2026">
        <w:r>
          <w:rPr>
            <w:rStyle w:val="Hyperlink"/>
          </w:rPr>
          <w:t xml:space="preserve">OpenInfraMap contributors, n.d.</w:t>
        </w:r>
      </w:hyperlink>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Table 2 summarizes the source scope and modelling role. The common study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window is determined by synchronized E-REDES and REN series.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Static-source versions, case dates, and historical availability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recorded separately; the common window is not interpreted as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observation date of every device.</w:t>
      </w:r>
    </w:p>
    <w:p>
      <w:pPr>
        <w:pStyle w:val="TableCaption"/>
        <w:keepNext/>
        <w:widowControl/>
      </w:pPr>
      <w:r>
        <w:rPr>
          <w:rFonts w:ascii="Times New Roman" w:hAnsi="Times New Roman" w:eastAsia="Times New Roman" w:cs="Times New Roman"/>
          <w:b/>
          <w:bCs/>
          <w:sz w:val="18"/>
        </w:rPr>
        <w:t xml:space="preserve">Table 2—Public data sources, coverage, and modelling roles.</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Publisher / product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Spatial or temporal coverage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Principal content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Role in this study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 RND high-voltage network (AT in the source portal)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60/130 kV; archived 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 facilities, codes,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construction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 Geofabrik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 and Spain boundary; archived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/220/400 kV facilities and circuits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and asset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construction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DGEG; APA; project notices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storage, and connection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Location, technology, capacity, and commissioning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completion and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Data Hub</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min in common window; 15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generation, storage, imports, and exports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Inputs and withheld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comparison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 substation energy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stations;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code,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interval-end timestamp, and 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nodal load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ERSE / PDIRT; PDIRD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Planning and equipment inventories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Delivery-point profiles, circuits, and ratings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Residual weights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parameter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REE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Transmission system and interconnection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 length,</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and capacity aggregates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 calibration, and context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GISCO</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boundary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clipping and cartography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auxiliary statistics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datasets; multiple resolutions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municipal, injection, and seasonal load statistics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External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comparison; excluded from nodal construction</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common modelling window is 2025-05-01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2026-03-24. Source entry points, archived versions, and file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are listed in the data documentation and release manifest.</w:t>
      </w:r>
    </w:p>
    <w:bookmarkEnd w:id="23"/>
    <w:bookmarkStart w:id="24" w:name="archiving-and-standardization"/>
    <w:p>
      <w:pPr>
        <w:pStyle w:val="Heading3"/>
        <w:keepNext/>
        <w:keepLines/>
        <w:widowControl/>
      </w:pPr>
      <w:r>
        <w:rPr>
          <w:rFonts w:ascii="Times New Roman" w:hAnsi="Times New Roman" w:eastAsia="Times New Roman" w:cs="Times New Roman"/>
          <w:sz w:val="22"/>
        </w:rPr>
        <w:t xml:space="preserve">2.1.2 Archiving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Standardization</w:t>
      </w:r>
    </w:p>
    <w:p>
      <w:pPr>
        <w:pStyle w:val="FirstParagraph"/>
        <w:widowControl/>
      </w:pPr>
      <w:r>
        <w:rPr>
          <w:rFonts w:ascii="Times New Roman" w:hAnsi="Times New Roman" w:eastAsia="Times New Roman" w:cs="Times New Roman"/>
          <w:sz w:val="21"/>
        </w:rPr>
        <w:t xml:space="preserve">Raw files are archived immutably by source together with the source URL,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download time, file size, and SHA-256 hash; processing reads the raw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layer without modifying it. Coordinates are stored in World Geodetic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System 1984 (WGS 84) and transformed to the Portuguese national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projection for distance calculations. Voltage, power, energy,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distance are standardized to kV, MW/Mvar, kWh, and km. E-REDES 15-minute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energy is converted to interval-average power according to Equation (1):</w:t>
      </w:r>
    </w:p>
    <w:p>
      <w:pPr>
        <w:pStyle w:val="BodyText"/>
        <w:keepLines/>
        <w:widowControl/>
        <w:tabs>
          <w:tab w:val="center" w:pos="4680"/>
          <w:tab w:val="right" w:pos="9360"/>
        </w:tabs>
        <w:jc w:val="left"/>
      </w:pPr>
      <w:r>
        <w:tab/>
      </w: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w:r>
        <w:rPr>
          <w:rFonts w:ascii="Times New Roman" w:hAnsi="Times New Roman" w:eastAsia="Times New Roman" w:cs="Times New Roman"/>
          <w:sz w:val="21"/>
        </w:rPr>
        <w:tab/>
        <w:t>(1)</w:t>
      </w:r>
    </w:p>
    <w:p>
      <w:pPr>
        <w:pStyle w:val="FirstParagraph"/>
        <w:widowControl/>
      </w:pPr>
      <w:r>
        <w:rPr>
          <w:rFonts w:ascii="Times New Roman" w:hAnsi="Times New Roman" w:eastAsia="Times New Roman" w:cs="Times New Roman"/>
          <w:sz w:val="21"/>
        </w:rPr>
        <w:t xml:space="preserve">Both Europe/Lisbon local time and UTC are retained. Stable identifiers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derived from source equipment codes, and every derived object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retains source keys and processing status. Supplementary Table S1 maps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raw source fields to standardized semantics.</w:t>
      </w:r>
    </w:p>
    <w:bookmarkEnd w:id="24"/>
    <w:bookmarkEnd w:id="25"/>
    <w:bookmarkStart w:id="32" w:name="static-network-reconstruction"/>
    <w:p>
      <w:pPr>
        <w:pStyle w:val="Heading2"/>
        <w:keepNext/>
        <w:keepLines/>
        <w:widowControl/>
      </w:pPr>
      <w:r>
        <w:rPr>
          <w:rFonts w:ascii="Times New Roman" w:hAnsi="Times New Roman" w:eastAsia="Times New Roman" w:cs="Times New Roman"/>
          <w:sz w:val="24"/>
        </w:rPr>
        <w:t xml:space="preserve">2.2 Static Network</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Reconstruction</w:t>
      </w:r>
    </w:p>
    <w:p>
      <w:pPr>
        <w:pStyle w:val="FirstParagraph"/>
        <w:widowControl/>
      </w:pPr>
      <w:r>
        <w:rPr>
          <w:rFonts w:ascii="Times New Roman" w:hAnsi="Times New Roman" w:eastAsia="Times New Roman" w:cs="Times New Roman"/>
          <w:sz w:val="21"/>
        </w:rPr>
        <w:t xml:space="preserve">The static network is represented by Equation (2):</w:t>
      </w:r>
    </w:p>
    <w:p>
      <w:pPr>
        <w:pStyle w:val="BodyText"/>
        <w:keepLines/>
        <w:widowControl/>
        <w:tabs>
          <w:tab w:val="center" w:pos="4680"/>
          <w:tab w:val="right" w:pos="9360"/>
        </w:tabs>
        <w:jc w:val="left"/>
      </w:pPr>
      <w:r>
        <w:tab/>
      </w:r>
      <m:oMath>
        <m:r>
          <m:t>G</m:t>
        </m:r>
        <m:r>
          <m:rPr>
            <m:sty m:val="p"/>
          </m:rPr>
          <m:t>=</m:t>
        </m:r>
        <m:d>
          <m:dPr>
            <m:begChr m:val="("/>
            <m:endChr m:val=")"/>
            <m:sepChr m:val=""/>
            <m:grow/>
          </m:dPr>
          <m:e>
            <m:r>
              <m:t>B</m:t>
            </m:r>
            <m:r>
              <m:rPr>
                <m:sty m:val="p"/>
              </m:rPr>
              <m:t>,</m:t>
            </m:r>
            <m:r>
              <m:t>L</m:t>
            </m:r>
            <m:r>
              <m:rPr>
                <m:sty m:val="p"/>
              </m:rPr>
              <m:t>,</m:t>
            </m:r>
            <m:r>
              <m:t>T</m:t>
            </m:r>
          </m:e>
        </m:d>
        <m:r>
          <m:rPr>
            <m:sty m:val="p"/>
          </m:rPr>
          <m:t>,</m:t>
        </m:r>
      </m:oMath>
      <w:r>
        <w:rPr>
          <w:rFonts w:ascii="Times New Roman" w:hAnsi="Times New Roman" w:eastAsia="Times New Roman" w:cs="Times New Roman"/>
          <w:sz w:val="21"/>
        </w:rPr>
        <w:tab/>
        <w:t>(2)</w:t>
      </w:r>
    </w:p>
    <w:p>
      <w:pPr>
        <w:pStyle w:val="FirstParagraph"/>
        <w:widowControl/>
      </w:pPr>
      <w:r>
        <w:rPr>
          <w:rFonts w:ascii="Times New Roman" w:hAnsi="Times New Roman" w:eastAsia="Times New Roman" w:cs="Times New Roman"/>
          <w:sz w:val="21"/>
        </w:rPr>
        <w:t xml:space="preserve">where</w:t>
      </w:r>
      <w:r>
        <w:rPr>
          <w:rFonts w:ascii="Times New Roman" w:hAnsi="Times New Roman" w:eastAsia="Times New Roman" w:cs="Times New Roman"/>
          <w:sz w:val="21"/>
        </w:rPr>
        <w:t xml:space="preserve"> </w:t>
      </w:r>
      <m:oMath>
        <m:r>
          <m:t>B</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L</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r>
          <m:t>T</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buses, lines, and 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Connections are established in the order source relationship,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and constrained spatial matching. This hierarchy prevents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geographic proximity or line crossings from being interpreted directly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electrical connectivity.</w:t>
      </w:r>
    </w:p>
    <w:bookmarkStart w:id="26" w:name="buses-and-lines"/>
    <w:p>
      <w:pPr>
        <w:pStyle w:val="Heading3"/>
        <w:keepNext/>
        <w:keepLines/>
        <w:widowControl/>
      </w:pPr>
      <w:r>
        <w:rPr>
          <w:rFonts w:ascii="Times New Roman" w:hAnsi="Times New Roman" w:eastAsia="Times New Roman" w:cs="Times New Roman"/>
          <w:sz w:val="22"/>
        </w:rPr>
        <w:t xml:space="preserve">2.2.1 Buses and Lines</w:t>
      </w:r>
    </w:p>
    <w:p>
      <w:pPr>
        <w:pStyle w:val="FirstParagraph"/>
        <w:widowControl/>
      </w:pPr>
      <w:r>
        <w:rPr>
          <w:rFonts w:ascii="Times New Roman" w:hAnsi="Times New Roman" w:eastAsia="Times New Roman" w:cs="Times New Roman"/>
          <w:sz w:val="21"/>
        </w:rPr>
        <w:t xml:space="preserve">E-REDES is preferred for 60/130 kV lines, whereas OSM supplies most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150/220/400 kV lines and facilities; the latter are checked against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statistics. Duplicate E-REDES facilities, mobile facilities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250 m of permanent stations, and colocated same-name stations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normalized while retaining a merge ledger.</w:t>
      </w:r>
    </w:p>
    <w:p>
      <w:pPr>
        <w:pStyle w:val="BodyText"/>
        <w:widowControl/>
        <w:jc w:val="left"/>
      </w:pPr>
      <w:r>
        <w:rPr>
          <w:rFonts w:ascii="Times New Roman" w:hAnsi="Times New Roman" w:eastAsia="Times New Roman" w:cs="Times New Roman"/>
          <w:sz w:val="21"/>
        </w:rPr>
        <w:t xml:space="preserve">Line endpoints are grouped by voltage and clustered within 75 m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EPSG:3763 coordinates. Different voltage levels are never merged.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 is assigned to a same-voltage facility within 250 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otherwise, a derived connection bus is created. OSM ways are split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way endpoints or explicit shared nodes, so geometric crossings do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create connections. The OSM</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 restore 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identity. Parallel circuits are retained, while self-loops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non-positive-length branches are blocked and recorded.</w:t>
      </w:r>
    </w:p>
    <w:bookmarkEnd w:id="26"/>
    <w:bookmarkStart w:id="30" w:name="transformers-and-parameters"/>
    <w:p>
      <w:pPr>
        <w:pStyle w:val="Heading3"/>
        <w:keepNext/>
        <w:keepLines/>
        <w:widowControl/>
      </w:pPr>
      <w:r>
        <w:rPr>
          <w:rFonts w:ascii="Times New Roman" w:hAnsi="Times New Roman" w:eastAsia="Times New Roman" w:cs="Times New Roman"/>
          <w:sz w:val="22"/>
        </w:rPr>
        <w:t xml:space="preserve">2.2.2 Transformers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Parameters</w:t>
      </w:r>
    </w:p>
    <w:p>
      <w:pPr>
        <w:pStyle w:val="FirstParagraph"/>
        <w:widowControl/>
      </w:pPr>
      <w:r>
        <w:rPr>
          <w:rFonts w:ascii="Times New Roman" w:hAnsi="Times New Roman" w:eastAsia="Times New Roman" w:cs="Times New Roman"/>
          <w:sz w:val="21"/>
        </w:rPr>
        <w:t xml:space="preserve">Transformers are created from three evidence classes. Explicit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are matched to high- and low-voltage buses within 1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Adjacent voltage levels in the same OSM substation produce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RARI (Regulamento do Acesso às Redes e às Interligações do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Setor Elétrico) boundary names are matched to facilities within 5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a fallback to a 60 kV endpoint within 1 km of the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Public</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take precedence;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capacities and impedances use voltage-pair proxies. A voltage-pair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capacity is scaled upward when its aggregate falls below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REN total, and the calibration factor is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RENDataHub2026">
        <w:r>
          <w:rPr>
            <w:rStyle w:val="Hyperlink"/>
          </w:rPr>
          <w:t xml:space="preserve">REN, n.d.</w:t>
        </w:r>
      </w:hyperlink>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Line parameters comprise</w:t>
      </w:r>
      <w:r>
        <w:rPr>
          <w:rFonts w:ascii="Times New Roman" w:hAnsi="Times New Roman" w:eastAsia="Times New Roman" w:cs="Times New Roman"/>
          <w:sz w:val="21"/>
        </w:rPr>
        <w:t xml:space="preserve"> </w:t>
      </w:r>
      <m:oMath>
        <m:r>
          <m:t>r</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sSub>
          <m:e>
            <m:r>
              <m:t>I</m:t>
            </m:r>
          </m:e>
          <m:sub>
            <m:r>
              <m:rPr>
                <m:sty m:val="p"/>
              </m:rPr>
              <m:t>max</m:t>
            </m:r>
          </m:sub>
        </m:sSub>
      </m:oMath>
      <w:r>
        <w:rPr>
          <w:rFonts w:ascii="Times New Roman" w:hAnsi="Times New Roman" w:eastAsia="Times New Roman" w:cs="Times New Roman"/>
          <w:sz w:val="21"/>
        </w:rPr>
        <w:t xml:space="preserve">. Each 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kV branch is matched to a public PDIRD circuit inventory by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length-weighted shortest path, accepted only when the model-to-source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ratio lies between 0.65 and 1.60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EREDESPDIRD2020AnnexB">
        <w:r>
          <w:rPr>
            <w:rStyle w:val="Hyperlink"/>
          </w:rPr>
          <w:t xml:space="preserve">E-REDES and ERSE, 2020</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Remaining lines use voltage-class defaults and cable correction factors.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Each parameter is labelled as directly published, derived from public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documentation, aggregate-calibrated, or an engineering proxy. Some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support is transferred from conductor parameters reported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 documentation (</w:t>
      </w:r>
      <w:hyperlink w:anchor="ref-Tocha2019">
        <w:r>
          <w:rPr>
            <w:rStyle w:val="Hyperlink"/>
          </w:rPr>
          <w:t xml:space="preserve">EDP Distribuição,</w:t>
        </w:r>
        <w:r>
          <w:rPr>
            <w:rStyle w:val="Hyperlink"/>
          </w:rPr>
          <w:t xml:space="preserve"> </w:t>
        </w:r>
        <w:r>
          <w:rPr>
            <w:rStyle w:val="Hyperlink"/>
          </w:rPr>
          <w:t xml:space="preserve">2019</w:t>
        </w:r>
      </w:hyperlink>
      <w:r>
        <w:rPr>
          <w:rFonts w:ascii="Times New Roman" w:hAnsi="Times New Roman" w:eastAsia="Times New Roman" w:cs="Times New Roman"/>
          <w:sz w:val="21"/>
        </w:rPr>
        <w:t xml:space="preserve">); this transfer remains an engineering assumption rather than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direct line measurement.</w:t>
      </w:r>
    </w:p>
    <w:p>
      <w:pPr>
        <w:pStyle w:val="BodyText"/>
        <w:widowControl/>
      </w:pPr>
      <w:r>
        <w:rPr>
          <w:rFonts w:ascii="Times New Roman" w:hAnsi="Times New Roman" w:eastAsia="Times New Roman" w:cs="Times New Roman"/>
          <w:sz w:val="21"/>
        </w:rPr>
        <w:t xml:space="preserve">Post-construction checks cover equipment keys, endpoints, positive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voltage consistency, connected components,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boundary inventory. Lengths at 150, 220, and 400 kV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compared with REN statistics. Parameter completeness means that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model is computationally usable; it does not mean that all parameters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operator measurements.</w:t>
      </w:r>
    </w:p>
    <w:p>
      <w:pPr>
        <w:pStyle w:val="BodyText"/>
        <w:widowControl/>
      </w:pPr>
      <w:r>
        <w:rPr>
          <w:rFonts w:ascii="Times New Roman" w:hAnsi="Times New Roman" w:eastAsia="Times New Roman" w:cs="Times New Roman"/>
          <w:sz w:val="21"/>
        </w:rPr>
        <w:t xml:space="preserve">Figure 1 illustrates the connection decisions, and Table 3 lists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thresholds and unmatched-record handling.</w:t>
      </w:r>
    </w:p>
    <w:p>
      <w:pPr>
        <w:pStyle w:val="BodyText"/>
        <w:widowControl/>
      </w:pPr>
      <w:r>
        <w:rPr>
          <w:rFonts w:ascii="Times New Roman" w:hAnsi="Times New Roman" w:eastAsia="Times New Roman" w:cs="Times New Roman"/>
          <w:sz w:val="21"/>
        </w:rPr>
        <w:drawing>
          <wp:inline>
            <wp:extent cx="5623560" cy="3202304"/>
            <wp:effectExtent b="0" l="0" r="0" t="0"/>
            <wp:docPr descr="Figure 1—Connection rules used in static-network reconstruction. (a) Same-voltage endpoint clustering and facility matching; (b) distinction between geometric crossings and explicit shared nodes; (c) preservation of series segments and parallel-circuit identity; and (d) cross-voltage connection from explicit equipment, colocated facilities, and RARI boundary evidence. The diagrams are abstract electrical schematics rather than geographic device locations. Distance thresholds and fallback rules are listed in Table 3." title="Figure 1" id="28" name="Picture"/>
            <a:graphic>
              <a:graphicData uri="http://schemas.openxmlformats.org/drawingml/2006/picture">
                <pic:pic>
                  <pic:nvPicPr>
                    <pic:cNvPr descr="figures_final/fig01_network_reconstruction.png" id="29" name="Picture"/>
                    <pic:cNvPicPr>
                      <a:picLocks noChangeArrowheads="1" noChangeAspect="1"/>
                    </pic:cNvPicPr>
                  </pic:nvPicPr>
                  <pic:blipFill>
                    <a:blip r:embed="rId27"/>
                    <a:stretch>
                      <a:fillRect/>
                    </a:stretch>
                  </pic:blipFill>
                  <pic:spPr bwMode="auto">
                    <a:xfrm>
                      <a:off x="0" y="0"/>
                      <a:ext cx="5623560" cy="320230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1—Connection rules used in static-network</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reconstruction.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Same-voltage endpoint clustering and facility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matching; (b) distinction between geometric crossings and explicit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shared nodes; (c) preservation of series segments and parallel-circuit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identity; and (d) cross-voltage connection from explicit equipment,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colocated facilities, and RARI boundary evidence. The diagrams are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abstract electrical schematics rather than geographic device locations.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Distance thresholds and fallback rules are listed in Table 3.</w:t>
      </w:r>
    </w:p>
    <w:p>
      <w:pPr>
        <w:pStyle w:val="TableCaption"/>
        <w:keepNext/>
        <w:widowControl/>
      </w:pPr>
      <w:r>
        <w:rPr>
          <w:rFonts w:ascii="Times New Roman" w:hAnsi="Times New Roman" w:eastAsia="Times New Roman" w:cs="Times New Roman"/>
          <w:b/>
          <w:bCs/>
          <w:sz w:val="18"/>
        </w:rPr>
        <w:t xml:space="preserve">Table 3—Topology rules and thresholds.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 / step</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 or threshold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Constraint / unmatched handling</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Distance coordinates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EPSG:3763; metres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Longitude and latitude stored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 WGS 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clustering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 within the same 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Different voltages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are not merged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assignment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Same-voltage facility within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Create a</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derived connection bus if unmatched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normalization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Duplicate or colocated same-name facilities;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mobile facilities within 250 m of permanent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merge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records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splitting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Way endpoints or explicit shared nodes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Geometric</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crossings do not create connections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 identity</w:t>
            </w:r>
          </w:p>
        </w:tc>
        <w:tc>
          <w:tcPr>
            <w:vAlign w:val="center"/>
            <w:tcMar>
              <w:top w:w="70" w:type="dxa"/>
              <w:bottom w:w="70" w:type="dxa"/>
              <w:start w:w="90" w:type="dxa"/>
              <w:end w:w="90" w:type="dxa"/>
            </w:tcMar>
          </w:tcPr>
          <w:p>
            <w:pPr>
              <w:pStyle w:val="Compact"/>
              <w:widowControl/>
              <w:spacing w:before="0" w:after="40" w:line="240" w:lineRule="auto"/>
              <w:jc w:val="center"/>
            </w:pPr>
            <w:r>
              <w:rPr>
                <w:rStyle w:val="VerbatimChar"/>
                <w:rFonts w:ascii="Times New Roman" w:hAnsi="Times New Roman" w:eastAsia="Times New Roman" w:cs="Times New Roman"/>
                <w:b w:val="0"/>
                <w:sz w:val="16"/>
              </w:rPr>
              <w:t xml:space="preserve">circuit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w:r>
              <w:rPr>
                <w:rStyle w:val="VerbatimChar"/>
                <w:rFonts w:ascii="Times New Roman" w:hAnsi="Times New Roman" w:eastAsia="Times New Roman" w:cs="Times New Roman"/>
                <w:b w:val="0"/>
                <w:sz w:val="16"/>
              </w:rPr>
              <w:t xml:space="preserve">line_section</w:t>
            </w:r>
            <w:r>
              <w:rPr>
                <w:rFonts w:ascii="Times New Roman" w:hAnsi="Times New Roman" w:eastAsia="Times New Roman" w:cs="Times New Roman"/>
                <w:b w:val="0"/>
                <w:sz w:val="16"/>
              </w:rPr>
              <w:t xml:space="preserve">; parallel circuits retained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 removes series model segments by physical circuit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Match high- and low-voltage buses within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voltage-level consistency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Adjacent voltage levels in one OSM station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connection with evidence level retained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RARI 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Name-to-facility match within 5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May fall back to a</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60 kV endpoint within 1 km of the high-voltage station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PDIRD parameter path</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Length-weighted shortest path; model/source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length 0.65–1.60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Use voltage-class proxy when rejected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Blocking checks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Self-loop, non-positive length, endpoint or voltage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conflict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Record and block invalid branches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Rules are defined in Section 2.2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 All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distances are projected planar distances. They are reconstruction rules,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operator accuracy guarantees. Default electrical parameters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coverage rules are reported in Supplementary Table S2.</w:t>
      </w:r>
    </w:p>
    <w:bookmarkEnd w:id="30"/>
    <w:bookmarkStart w:id="31" w:name="Xefefd72f15ef8eb94d82faa2f6649a6349cf7d4"/>
    <w:p>
      <w:pPr>
        <w:pStyle w:val="Heading3"/>
        <w:keepNext/>
        <w:keepLines/>
        <w:widowControl/>
      </w:pPr>
      <w:r>
        <w:rPr>
          <w:rFonts w:ascii="Times New Roman" w:hAnsi="Times New Roman" w:eastAsia="Times New Roman" w:cs="Times New Roman"/>
          <w:sz w:val="22"/>
        </w:rPr>
        <w:t xml:space="preserve">2.2.3 Evidence Applicability and Historical</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Availability</w:t>
      </w:r>
    </w:p>
    <w:p>
      <w:pPr>
        <w:pStyle w:val="FirstParagraph"/>
        <w:widowControl/>
        <w:jc w:val="left"/>
      </w:pPr>
      <w:r>
        <w:rPr>
          <w:rFonts w:ascii="Times New Roman" w:hAnsi="Times New Roman" w:eastAsia="Times New Roman" w:cs="Times New Roman"/>
          <w:sz w:val="21"/>
        </w:rPr>
        <w:t xml:space="preserve">Static-source dates and operating-case dates are versioned separately.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Only assets with an explicit commissioning date are switched by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Ordinary lines, transformers, and interconnections retain the frozen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static state when contemporaneous status records are unavailable.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 documents support only the stated equipment and fields and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used to infer historical switching states. Cross-section scaling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conductor resistance and transfer to other conductor families remain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assumptions. Document pages, equipment identifiers,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field-level judgements are stored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citation_evidence_ledger.csv</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 4 summarizes temporal handling.</w:t>
      </w:r>
    </w:p>
    <w:p>
      <w:pPr>
        <w:pStyle w:val="TableCaption"/>
        <w:keepNext/>
        <w:widowControl/>
      </w:pPr>
      <w:r>
        <w:rPr>
          <w:rFonts w:ascii="Times New Roman" w:hAnsi="Times New Roman" w:eastAsia="Times New Roman" w:cs="Times New Roman"/>
          <w:b/>
          <w:bCs/>
          <w:sz w:val="18"/>
        </w:rPr>
        <w:t xml:space="preserve">Table 4—Source versions, validity dates, and case treatment.</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Date or status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Case treatment and limitation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Ordinary lines and transformers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Historical status absent for most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individual devices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Frozen static state; not a complete historical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replay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New Minho–Galicia interconnection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REE announcement dated 2026-07-02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Disabled in every study case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Other Portugal–Spain interconnections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Maintenance and switching</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histories unavailable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Fixed boundary equivalent; historical maps used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only to check corridor names (</w:t>
            </w:r>
            <w:hyperlink w:anchor="ref-REE2012">
              <w:r>
                <w:rPr>
                  <w:rStyle w:val="Hyperlink"/>
                </w:rPr>
                <w:t xml:space="preserve">REE, 2012</w:t>
              </w:r>
            </w:hyperlink>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and storage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dated and 824 undated assets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Known dates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gate availability; unknown dates are treated as available and flagged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PDIRT/PDIRD and project evidence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Planning inventories, seasonal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profiles, or project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Parameter, weight, and connection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evidence; no inference of real-time commissioning</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N1-3787, the capacity and voltage pair of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Estoi parallel equivalents are supported by a planning inventory,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but simultaneous availability and identical parameters remain model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w:t>
      </w:r>
      <w:hyperlink w:anchor="ref-REN2015Estoi">
        <w:r>
          <w:rPr>
            <w:rStyle w:val="Hyperlink"/>
          </w:rPr>
          <w:t xml:space="preserve">REN, 2015</w:t>
        </w:r>
      </w:hyperlink>
      <w:r>
        <w:rPr>
          <w:rFonts w:ascii="Times New Roman" w:hAnsi="Times New Roman" w:eastAsia="Times New Roman" w:cs="Times New Roman"/>
          <w:sz w:val="21"/>
        </w:rPr>
        <w:t xml:space="preserve">).</w:t>
      </w:r>
    </w:p>
    <w:bookmarkEnd w:id="31"/>
    <w:bookmarkEnd w:id="32"/>
    <w:bookmarkStart w:id="35" w:name="asset-mapping-and-time-series-alignment"/>
    <w:p>
      <w:pPr>
        <w:pStyle w:val="Heading2"/>
        <w:keepNext/>
        <w:keepLines/>
        <w:widowControl/>
      </w:pPr>
      <w:r>
        <w:rPr>
          <w:rFonts w:ascii="Times New Roman" w:hAnsi="Times New Roman" w:eastAsia="Times New Roman" w:cs="Times New Roman"/>
          <w:sz w:val="24"/>
        </w:rPr>
        <w:t xml:space="preserve">2.3 Asset Mapping and Time-Series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Alignment</w:t>
      </w:r>
    </w:p>
    <w:bookmarkStart w:id="33" w:name="asset-mapping-and-calendar"/>
    <w:p>
      <w:pPr>
        <w:pStyle w:val="Heading3"/>
        <w:keepNext/>
        <w:keepLines/>
        <w:widowControl/>
      </w:pPr>
      <w:r>
        <w:rPr>
          <w:rFonts w:ascii="Times New Roman" w:hAnsi="Times New Roman" w:eastAsia="Times New Roman" w:cs="Times New Roman"/>
          <w:sz w:val="22"/>
        </w:rPr>
        <w:t xml:space="preserve">2.3.1 Asset Mapping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Calendar</w:t>
      </w:r>
    </w:p>
    <w:p>
      <w:pPr>
        <w:pStyle w:val="FirstParagraph"/>
        <w:widowControl/>
      </w:pPr>
      <w:r>
        <w:rPr>
          <w:rFonts w:ascii="Times New Roman" w:hAnsi="Times New Roman" w:eastAsia="Times New Roman" w:cs="Times New Roman"/>
          <w:sz w:val="21"/>
        </w:rPr>
        <w:t xml:space="preserve">The generation and storage inventory combines OSM, DGEG, and project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Plant and generator representations within 3 km and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consistent capacity are merged. DGEG wind records replace incomplete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 capacities, and non-duplicate DGEG photovoltaic records supplement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OSM. Mapping priority is public connection evidence, declared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then constrained spatial proximity. An asset without declared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and with capacity of at least 100 MW searches only buses at 150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kV and above; smaller assets search buses at 60 kV and above.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 distance is 20 km. Assets beyond this distance remain 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inventory but are not injected. Assets commissioned after a case date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unavailable; missing dates are treated as available and explicitly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flagged.</w:t>
      </w:r>
    </w:p>
    <w:p>
      <w:pPr>
        <w:pStyle w:val="BodyText"/>
        <w:widowControl/>
        <w:jc w:val="left"/>
      </w:pPr>
      <w:r>
        <w:rPr>
          <w:rFonts w:ascii="Times New Roman" w:hAnsi="Times New Roman" w:eastAsia="Times New Roman" w:cs="Times New Roman"/>
          <w:sz w:val="21"/>
        </w:rPr>
        <w:t xml:space="preserve">The common calendar uses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its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logical key. REN timestamps denote interval starts, whereas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timestamps denote interval ends, as formalized in Equation (3):</w:t>
      </w:r>
    </w:p>
    <w:p>
      <w:pPr>
        <w:pStyle w:val="BodyText"/>
        <w:keepLines/>
        <w:widowControl/>
        <w:tabs>
          <w:tab w:val="center" w:pos="4680"/>
          <w:tab w:val="right" w:pos="9360"/>
        </w:tabs>
        <w:jc w:val="left"/>
      </w:pPr>
      <w:r>
        <w:tab/>
      </w: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w:r>
        <w:rPr>
          <w:rFonts w:ascii="Times New Roman" w:hAnsi="Times New Roman" w:eastAsia="Times New Roman" w:cs="Times New Roman"/>
          <w:sz w:val="21"/>
        </w:rPr>
        <w:tab/>
        <w:t>(3)</w:t>
      </w:r>
    </w:p>
    <w:p>
      <w:pPr>
        <w:pStyle w:val="FirstParagraph"/>
        <w:widowControl/>
      </w:pPr>
      <w:r>
        <w:rPr>
          <w:rFonts w:ascii="Times New Roman" w:hAnsi="Times New Roman" w:eastAsia="Times New Roman" w:cs="Times New Roman"/>
          <w:sz w:val="21"/>
        </w:rPr>
        <w:t xml:space="preserve">Calendar days follow Europe/Lisbon civil time, giving 92 and 100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intervals on the spring and autumn daylight-saving transitions.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intra-day sequence numbers distinguish the repeated hour. E-REDES has no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fold marker, so duplicate station timestamps are averaged and flagged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ambiguous. Missing intervals are not interpolated.</w:t>
      </w:r>
    </w:p>
    <w:bookmarkEnd w:id="33"/>
    <w:bookmarkStart w:id="34" w:name="load-generation-and-storage"/>
    <w:p>
      <w:pPr>
        <w:pStyle w:val="Heading3"/>
        <w:keepNext/>
        <w:keepLines/>
        <w:widowControl/>
      </w:pPr>
      <w:r>
        <w:rPr>
          <w:rFonts w:ascii="Times New Roman" w:hAnsi="Times New Roman" w:eastAsia="Times New Roman" w:cs="Times New Roman"/>
          <w:sz w:val="22"/>
        </w:rPr>
        <w:t xml:space="preserve">2.3.2 Load, Generation,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Storage</w:t>
      </w:r>
    </w:p>
    <w:p>
      <w:pPr>
        <w:pStyle w:val="FirstParagraph"/>
        <w:widowControl/>
      </w:pPr>
      <w:r>
        <w:rPr>
          <w:rFonts w:ascii="Times New Roman" w:hAnsi="Times New Roman" w:eastAsia="Times New Roman" w:cs="Times New Roman"/>
          <w:sz w:val="21"/>
        </w:rPr>
        <w:t xml:space="preserve">E-REDES energy is mapped to buses by facility code and converted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load. Equation (4) defines the unobserved national residual:</w:t>
      </w:r>
    </w:p>
    <w:p>
      <w:pPr>
        <w:pStyle w:val="BodyText"/>
        <w:keepLines/>
        <w:widowControl/>
        <w:tabs>
          <w:tab w:val="center" w:pos="4680"/>
          <w:tab w:val="right" w:pos="9360"/>
        </w:tabs>
        <w:jc w:val="left"/>
      </w:pPr>
      <w:r>
        <w:tab/>
      </w: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w:r>
        <w:rPr>
          <w:rFonts w:ascii="Times New Roman" w:hAnsi="Times New Roman" w:eastAsia="Times New Roman" w:cs="Times New Roman"/>
          <w:sz w:val="21"/>
        </w:rPr>
        <w:tab/>
        <w:t>(4)</w:t>
      </w:r>
    </w:p>
    <w:p>
      <w:pPr>
        <w:pStyle w:val="FirstParagraph"/>
        <w:widowControl/>
      </w:pPr>
      <w:r>
        <w:rPr>
          <w:rFonts w:ascii="Times New Roman" w:hAnsi="Times New Roman" w:eastAsia="Times New Roman" w:cs="Times New Roman"/>
          <w:sz w:val="21"/>
        </w:rPr>
        <w:t xml:space="preserve">Equation (5) assigns the residual to mapped delivery points using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public reference profile from the same season and closest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national-load condition (</w:t>
      </w:r>
      <w:hyperlink w:anchor="ref-ERSEPDIRT2024">
        <w:r>
          <w:rPr>
            <w:rStyle w:val="Hyperlink"/>
          </w:rPr>
          <w:t xml:space="preserve">REN, 2024</w:t>
        </w:r>
      </w:hyperlink>
      <w:r>
        <w:rPr>
          <w:rFonts w:ascii="Times New Roman" w:hAnsi="Times New Roman" w:eastAsia="Times New Roman" w:cs="Times New Roman"/>
          <w:sz w:val="21"/>
        </w:rPr>
        <w:t xml:space="preserve">):</w:t>
      </w:r>
    </w:p>
    <w:p>
      <w:pPr>
        <w:pStyle w:val="BodyText"/>
        <w:keepLines/>
        <w:widowControl/>
        <w:tabs>
          <w:tab w:val="center" w:pos="4680"/>
          <w:tab w:val="right" w:pos="9360"/>
        </w:tabs>
        <w:jc w:val="left"/>
      </w:pPr>
      <w:r>
        <w:tab/>
      </w: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w:r>
        <w:rPr>
          <w:rFonts w:ascii="Times New Roman" w:hAnsi="Times New Roman" w:eastAsia="Times New Roman" w:cs="Times New Roman"/>
          <w:sz w:val="21"/>
        </w:rPr>
        <w:tab/>
        <w:t>(5)</w:t>
      </w:r>
    </w:p>
    <w:p>
      <w:pPr>
        <w:pStyle w:val="FirstParagraph"/>
        <w:widowControl/>
      </w:pPr>
      <w:r>
        <w:rPr>
          <w:rFonts w:ascii="Times New Roman" w:hAnsi="Times New Roman" w:eastAsia="Times New Roman" w:cs="Times New Roman"/>
          <w:sz w:val="21"/>
        </w:rPr>
        <w:t xml:space="preserve">The profile provides only spatial weights and does not change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resolution. E-REDES load uses a 0.97 power factor where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reactive power is not observed; residual load retains the PDIRT</w:t>
      </w:r>
      <w:r>
        <w:rPr>
          <w:rFonts w:ascii="Times New Roman" w:hAnsi="Times New Roman" w:eastAsia="Times New Roman" w:cs="Times New Roman"/>
          <w:sz w:val="21"/>
        </w:rPr>
        <w:t xml:space="preserve"> </w:t>
      </w:r>
      <m:oMath>
        <m:r>
          <m:t>Q</m:t>
        </m:r>
        <m:r>
          <m:rPr>
            <m:sty m:val="p"/>
          </m:rPr>
          <m:t>/</m:t>
        </m:r>
        <m:r>
          <m:t>P</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relationship. Pumping and battery charging are distributed by mapped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storage capacity, with any remainder assigned to an explicit national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Nodal electric load must sum to REN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Consumption + Storage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0.11 MW.</w:t>
      </w:r>
    </w:p>
    <w:p>
      <w:pPr>
        <w:pStyle w:val="BodyText"/>
        <w:widowControl/>
        <w:jc w:val="left"/>
      </w:pPr>
      <w:r>
        <w:rPr>
          <w:rFonts w:ascii="Times New Roman" w:hAnsi="Times New Roman" w:eastAsia="Times New Roman" w:cs="Times New Roman"/>
          <w:sz w:val="21"/>
        </w:rPr>
        <w:t xml:space="preserve">REN generation by technology is distributed among mapped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commissioned assets of the same technology under</w:t>
      </w:r>
      <w:r>
        <w:rPr>
          <w:rFonts w:ascii="Times New Roman" w:hAnsi="Times New Roman" w:eastAsia="Times New Roman" w:cs="Times New Roman"/>
          <w:sz w:val="21"/>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eastAsia="Times New Roman" w:cs="Times New Roman"/>
          <w:sz w:val="21"/>
        </w:rPr>
        <w:t xml:space="preserve">. Hydro and natural gas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capacity-priority allocation, while other technologies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available-capacity shares. Generation beyond mapped capacity is injected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a designated 400 kV proxy bus as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UNMAPPED_NATIONAL_RESIDUAL_PROXY</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it must not be interpreted as the location of an omitted plant.</w:t>
      </w:r>
    </w:p>
    <w:p>
      <w:pPr>
        <w:pStyle w:val="BodyText"/>
        <w:widowControl/>
      </w:pPr>
      <w:r>
        <w:rPr>
          <w:rFonts w:ascii="Times New Roman" w:hAnsi="Times New Roman" w:eastAsia="Times New Roman" w:cs="Times New Roman"/>
          <w:sz w:val="21"/>
        </w:rPr>
        <w:t xml:space="preserve">REN imports and exports are aligned to the common calendar but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boundary-power enforcement. Before solution, the pipeline checks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timestamps, required series, mapping completeness,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conservation, and capacity limits. Table 5 summarizes the executable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and conservation rules; Supplementary Table S3 lists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associated audit fields.</w:t>
      </w:r>
    </w:p>
    <w:p>
      <w:pPr>
        <w:pStyle w:val="TableCaption"/>
        <w:keepNext/>
        <w:widowControl/>
      </w:pPr>
      <w:r>
        <w:rPr>
          <w:rFonts w:ascii="Times New Roman" w:hAnsi="Times New Roman" w:eastAsia="Times New Roman" w:cs="Times New Roman"/>
          <w:b/>
          <w:bCs/>
          <w:sz w:val="18"/>
        </w:rPr>
        <w:t xml:space="preserve">Table 5—Asset mapping and time-series transformation rules.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Process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Audit or conservative treatment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deduplication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Merge plant/generator records within 3 km and with</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consistent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hierarchical deduplication 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mapping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Public connection, declared voltage, then constrained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nearest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20 km; retain but do not inject out-of-range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assets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without declared voltage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Capacity ≥100 MW searches ≥150 kV;</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otherwise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 proximity is not treated as connection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truth</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Commissioning status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Disable when commissioning date is later than the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Treat unknown dates as available and flag them</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labels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start; E-REDES end shifted by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key is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UTC interval start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Daylight saving / missing data</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Lisbon civil days contain 92, 96, or</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100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Average and flag repeated E-REDES station labels; no</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interpolation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Energy to power</w:t>
            </w:r>
          </w:p>
        </w:tc>
        <w:tc>
          <w:tcPr>
            <w:vAlign w:val="center"/>
            <w:tcMar>
              <w:top w:w="70" w:type="dxa"/>
              <w:bottom w:w="70" w:type="dxa"/>
              <w:start w:w="90" w:type="dxa"/>
              <w:end w:w="90" w:type="dxa"/>
            </w:tcMar>
          </w:tcPr>
          <w:p>
            <w:pPr>
              <w:pStyle w:val="Compact"/>
              <w:widowControl/>
              <w:spacing w:before="0" w:after="40" w:line="240" w:lineRule="auto"/>
              <w:jc w:val="center"/>
            </w:pPr>
            <m:oMath>
              <m:r>
                <m:t>P</m:t>
              </m:r>
              <m:d>
                <m:dPr>
                  <m:begChr m:val="("/>
                  <m:endChr m:val=")"/>
                  <m:sepChr m:val=""/>
                  <m:grow/>
                </m:dPr>
                <m:e>
                  <m:r>
                    <m:rPr>
                      <m:sty m:val="p"/>
                    </m:rPr>
                    <m:t>M</m:t>
                  </m:r>
                  <m:r>
                    <m:rPr>
                      <m:sty m:val="p"/>
                    </m:rPr>
                    <m:t>W</m:t>
                  </m:r>
                </m:e>
              </m:d>
              <m:r>
                <m:rPr>
                  <m:sty m:val="p"/>
                </m:rPr>
                <m:t>=</m:t>
              </m:r>
              <m:r>
                <m:t>E</m:t>
              </m:r>
              <m:d>
                <m:dPr>
                  <m:begChr m:val="("/>
                  <m:endChr m:val=")"/>
                  <m:sepChr m:val=""/>
                  <m:grow/>
                </m:dPr>
                <m:e>
                  <m:r>
                    <m:rPr>
                      <m:sty m:val="p"/>
                    </m:rPr>
                    <m:t>k</m:t>
                  </m:r>
                  <m:r>
                    <m:rPr>
                      <m:sty m:val="p"/>
                    </m:rPr>
                    <m:t>W</m:t>
                  </m:r>
                  <m:r>
                    <m:rPr>
                      <m:sty m:val="p"/>
                    </m:rPr>
                    <m:t>h</m:t>
                  </m:r>
                </m:e>
              </m:d>
              <m:r>
                <m:rPr>
                  <m:sty m:val="p"/>
                </m:rPr>
                <m:t>/</m:t>
              </m:r>
              <m:r>
                <m:t>250</m:t>
              </m:r>
            </m:oMath>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Interval-average power over 15 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load and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observations plus PDIRT-weighted REN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consumption 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pf=0.97 when Q is missing; retain residual Q/P</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Pumping and battery charging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Positive values are electric load;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distribute by mapped storage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Total load returns to</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Consumption + Storage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allocation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 technology, mapped, commissioned, and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nameplate-constrained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Hydro/gas use capacity priority; others use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capacity share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Unmapped generation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Explicit national proxy-bus injection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Must not be interpreted as a physical omitted-plant location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Cross-border exchange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imports/exports used only after solution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Initial model solution determines boundary injections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physical fields are named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calendar and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databases;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describes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their temporal semantics.</w:t>
      </w:r>
    </w:p>
    <w:bookmarkEnd w:id="34"/>
    <w:bookmarkEnd w:id="35"/>
    <w:bookmarkStart w:id="38" w:name="Xcf87b73a2d742fbfcbcb17e03e25b153df55fc3"/>
    <w:p>
      <w:pPr>
        <w:pStyle w:val="Heading2"/>
        <w:keepNext/>
        <w:keepLines/>
        <w:widowControl/>
      </w:pPr>
      <w:r>
        <w:rPr>
          <w:rFonts w:ascii="Times New Roman" w:hAnsi="Times New Roman" w:eastAsia="Times New Roman" w:cs="Times New Roman"/>
          <w:sz w:val="24"/>
        </w:rPr>
        <w:t xml:space="preserve">2.4 Time-Indexed Case Generation and Alternating-Current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Power</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Flow</w:t>
      </w:r>
    </w:p>
    <w:p>
      <w:pPr>
        <w:pStyle w:val="FirstParagraph"/>
        <w:widowControl/>
      </w:pPr>
      <w:r>
        <w:rPr>
          <w:rFonts w:ascii="Times New Roman" w:hAnsi="Times New Roman" w:eastAsia="Times New Roman" w:cs="Times New Roman"/>
          <w:sz w:val="21"/>
        </w:rPr>
        <w:t xml:space="preserve">Each 15-minute interval defines the steady-state case in Equation (6):</w:t>
      </w:r>
    </w:p>
    <w:p>
      <w:pPr>
        <w:pStyle w:val="BodyText"/>
        <w:keepLines/>
        <w:widowControl/>
        <w:tabs>
          <w:tab w:val="center" w:pos="4680"/>
          <w:tab w:val="right" w:pos="9360"/>
        </w:tabs>
        <w:jc w:val="left"/>
      </w:pPr>
      <w:r>
        <w:tab/>
      </w: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w:r>
        <w:rPr>
          <w:rFonts w:ascii="Times New Roman" w:hAnsi="Times New Roman" w:eastAsia="Times New Roman" w:cs="Times New Roman"/>
          <w:sz w:val="21"/>
        </w:rPr>
        <w:tab/>
        <w:t>(6)</w:t>
      </w:r>
    </w:p>
    <w:p>
      <w:pPr>
        <w:pStyle w:val="FirstParagraph"/>
        <w:widowControl/>
      </w:pPr>
      <w:r>
        <w:rPr>
          <w:rFonts w:ascii="Times New Roman" w:hAnsi="Times New Roman" w:eastAsia="Times New Roman" w:cs="Times New Roman"/>
          <w:sz w:val="21"/>
        </w:rPr>
        <w:t xml:space="preserve">where the static network</w:t>
      </w:r>
      <w:r>
        <w:rPr>
          <w:rFonts w:ascii="Times New Roman" w:hAnsi="Times New Roman" w:eastAsia="Times New Roman" w:cs="Times New Roman"/>
          <w:sz w:val="21"/>
        </w:rPr>
        <w:t xml:space="preserve"> </w:t>
      </w:r>
      <m:oMath>
        <m:r>
          <m:t>G</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parameters</w:t>
      </w:r>
      <w:r>
        <w:rPr>
          <w:rFonts w:ascii="Times New Roman" w:hAnsi="Times New Roman" w:eastAsia="Times New Roman" w:cs="Times New Roman"/>
          <w:sz w:val="21"/>
        </w:rPr>
        <w:t xml:space="preserve"> </w:t>
      </w:r>
      <m:oMath>
        <m:r>
          <m:t>θ</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shared,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operating inputs</w:t>
      </w:r>
      <w:r>
        <w:rPr>
          <w:rFonts w:ascii="Times New Roman" w:hAnsi="Times New Roman" w:eastAsia="Times New Roman" w:cs="Times New Roman"/>
          <w:sz w:val="21"/>
        </w:rPr>
        <w:t xml:space="preserve"> </w:t>
      </w:r>
      <m:oMath>
        <m:sSub>
          <m:e>
            <m:r>
              <m:t>X</m:t>
            </m:r>
          </m:e>
          <m:sub>
            <m:r>
              <m:t>t</m:t>
            </m:r>
          </m:sub>
        </m:sSub>
      </m:oMath>
      <w:r>
        <w:rPr>
          <w:rFonts w:ascii="Times New Roman" w:hAnsi="Times New Roman" w:eastAsia="Times New Roman" w:cs="Times New Roman"/>
          <w:sz w:val="21"/>
        </w:rPr>
        <w:t xml:space="preserve">, device status</w:t>
      </w:r>
      <w:r>
        <w:rPr>
          <w:rFonts w:ascii="Times New Roman" w:hAnsi="Times New Roman" w:eastAsia="Times New Roman" w:cs="Times New Roman"/>
          <w:sz w:val="21"/>
        </w:rPr>
        <w:t xml:space="preserve"> </w:t>
      </w:r>
      <m:oMath>
        <m:sSub>
          <m:e>
            <m:r>
              <m:t>S</m:t>
            </m:r>
          </m:e>
          <m:sub>
            <m:r>
              <m:t>t</m:t>
            </m:r>
          </m:sub>
        </m:sSub>
      </m:oMath>
      <w:r>
        <w:rPr>
          <w:rFonts w:ascii="Times New Roman" w:hAnsi="Times New Roman" w:eastAsia="Times New Roman" w:cs="Times New Roman"/>
          <w:sz w:val="21"/>
        </w:rPr>
        <w:t xml:space="preserve">, controls</w:t>
      </w:r>
      <w:r>
        <w:rPr>
          <w:rFonts w:ascii="Times New Roman" w:hAnsi="Times New Roman" w:eastAsia="Times New Roman" w:cs="Times New Roman"/>
          <w:sz w:val="21"/>
        </w:rPr>
        <w:t xml:space="preserve"> </w:t>
      </w:r>
      <m:oMath>
        <m:sSub>
          <m:e>
            <m:r>
              <m:t>U</m:t>
            </m:r>
          </m:e>
          <m:sub>
            <m:r>
              <m:t>t</m:t>
            </m:r>
          </m:sub>
        </m:sSub>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boundary equivalent</w:t>
      </w:r>
      <w:r>
        <w:rPr>
          <w:rFonts w:ascii="Times New Roman" w:hAnsi="Times New Roman" w:eastAsia="Times New Roman" w:cs="Times New Roman"/>
          <w:sz w:val="21"/>
        </w:rPr>
        <w:t xml:space="preserve"> </w:t>
      </w:r>
      <m:oMath>
        <m:sSub>
          <m:e>
            <m:r>
              <m:t>B</m:t>
            </m:r>
          </m:e>
          <m:sub>
            <m:r>
              <m:t>t</m:t>
            </m:r>
          </m:sub>
        </m:sSub>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vary with time. The principal 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one case per interval; sensitivity and application experiments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Sections 4 and 5 use separately selected representative times.</w:t>
      </w:r>
    </w:p>
    <w:bookmarkStart w:id="36" w:name="case-assembly-and-solution"/>
    <w:p>
      <w:pPr>
        <w:pStyle w:val="Heading3"/>
        <w:keepNext/>
        <w:keepLines/>
        <w:widowControl/>
      </w:pPr>
      <w:r>
        <w:rPr>
          <w:rFonts w:ascii="Times New Roman" w:hAnsi="Times New Roman" w:eastAsia="Times New Roman" w:cs="Times New Roman"/>
          <w:sz w:val="22"/>
        </w:rPr>
        <w:t xml:space="preserve">2.4.1 Case Assembly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Solution</w:t>
      </w:r>
    </w:p>
    <w:p>
      <w:pPr>
        <w:pStyle w:val="FirstParagraph"/>
        <w:widowControl/>
      </w:pPr>
      <w:r>
        <w:rPr>
          <w:rFonts w:ascii="Times New Roman" w:hAnsi="Times New Roman" w:eastAsia="Times New Roman" w:cs="Times New Roman"/>
          <w:sz w:val="21"/>
        </w:rPr>
        <w:t xml:space="preserve">Each case updates load, generation, equipment availability, seasonal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and boundary equivalents. An initial boundary solution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determines model net exchange. One angular reference is then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other boundary nodes receive fixed active-power equivalents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distributed by public voltage and circuit count. Contemporaneous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exchange is used only for post-solution comparison.</w:t>
      </w:r>
    </w:p>
    <w:p>
      <w:pPr>
        <w:pStyle w:val="BodyText"/>
        <w:widowControl/>
      </w:pPr>
      <w:r>
        <w:rPr>
          <w:rFonts w:ascii="Times New Roman" w:hAnsi="Times New Roman" w:eastAsia="Times New Roman" w:cs="Times New Roman"/>
          <w:sz w:val="21"/>
        </w:rPr>
        <w:t xml:space="preserve">AC power flow uses the pandapower Newton–Raphson implementation with DC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initialization (</w:t>
      </w:r>
      <w:hyperlink w:anchor="ref-Thurner2018">
        <w:r>
          <w:rPr>
            <w:rStyle w:val="Hyperlink"/>
          </w:rPr>
          <w:t xml:space="preserve">Thurner et al., 2018</w:t>
        </w:r>
      </w:hyperlink>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principal workflow enforces reactive-power limits, resolves once after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reconstruction, and performs a bounded tap search. Table 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lists seasonal ratings, PV/PQ rules, compensation, reactors, boundary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weights, and numerical settings. These common settings are computational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proxies rather than operator control policies.</w:t>
      </w:r>
    </w:p>
    <w:bookmarkEnd w:id="36"/>
    <w:bookmarkStart w:id="37" w:name="monthly-execution"/>
    <w:p>
      <w:pPr>
        <w:pStyle w:val="Heading3"/>
        <w:keepNext/>
        <w:keepLines/>
        <w:widowControl/>
      </w:pPr>
      <w:r>
        <w:rPr>
          <w:rFonts w:ascii="Times New Roman" w:hAnsi="Times New Roman" w:eastAsia="Times New Roman" w:cs="Times New Roman"/>
          <w:sz w:val="22"/>
        </w:rPr>
        <w:t xml:space="preserve">2.4.2 Monthly Execution</w:t>
      </w:r>
    </w:p>
    <w:p>
      <w:pPr>
        <w:pStyle w:val="FirstParagraph"/>
        <w:widowControl/>
      </w:pPr>
      <w:r>
        <w:rPr>
          <w:rFonts w:ascii="Times New Roman" w:hAnsi="Times New Roman" w:eastAsia="Times New Roman" w:cs="Times New Roman"/>
          <w:sz w:val="21"/>
        </w:rPr>
        <w:t xml:space="preserve">Cases are processed in parallel by civil month. Workers read inputs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solve cases independently, whereas the parent process writes summaries,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state arrays, and audit bundles in one transaction. Re-runs skip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cases and retry failed cases. A month is complete only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expected cases, completed cases, state arrays, and audit bundles agree.</w:t>
      </w:r>
    </w:p>
    <w:p>
      <w:pPr>
        <w:pStyle w:val="TableCaption"/>
        <w:keepNext/>
        <w:widowControl/>
      </w:pPr>
      <w:r>
        <w:rPr>
          <w:rFonts w:ascii="Times New Roman" w:hAnsi="Times New Roman" w:eastAsia="Times New Roman" w:cs="Times New Roman"/>
          <w:b/>
          <w:bCs/>
          <w:sz w:val="18"/>
        </w:rPr>
        <w:t xml:space="preserve">Table 6—Case and solver settings.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Item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Value or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line rating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May–Sep ×1.00; Mar–Apr and Oct–Nov ×1.10;</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Dec–Feb ×1.15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 relative to summer base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threshold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Non-battery; installed capacity ≥20 MW and voltage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Remaining generation is PQ</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voltage / reactive power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p.u.; ±0.50 × installed MW in Mvar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Uniform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compensation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Target pf=0.98; maximum 15 Mvar per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Shunt reactors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 150 Mvar at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Explicitly flagged proxy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equipment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One angle reference; other nodes weighted by voltage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circuit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Not calibrated to measured REN exchange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algorithm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Newton–Raphson; DC initialization; enforce Q limits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50 iterations; tolerance</w:t>
            </w:r>
            <w:r>
              <w:rPr>
                <w:rFonts w:ascii="Times New Roman" w:hAnsi="Times New Roman" w:eastAsia="Times New Roman" w:cs="Times New Roman"/>
                <w:b w:val="0"/>
                <w:sz w:val="16"/>
              </w:rPr>
              <w:t xml:space="preserve"> </w:t>
            </w:r>
            <m:oMath>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MVA</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Transformer taps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High-voltage side ±8 steps; 1.25% per step; maximum</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16 rounds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Target 0.985–1.015 p.u.</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General screening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Voltage 0.90–1.10 p.u.; loading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Violations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retained; N−1 criteria defined separately</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come from the frozen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execution code.</w:t>
      </w:r>
    </w:p>
    <w:bookmarkEnd w:id="37"/>
    <w:bookmarkEnd w:id="38"/>
    <w:bookmarkStart w:id="41" w:name="X5b1205fc031ccf504910739c33b3a1b98fddb89"/>
    <w:p>
      <w:pPr>
        <w:pStyle w:val="Heading2"/>
        <w:keepNext/>
        <w:keepLines/>
        <w:widowControl/>
      </w:pPr>
      <w:r>
        <w:rPr>
          <w:rFonts w:ascii="Times New Roman" w:hAnsi="Times New Roman" w:eastAsia="Times New Roman" w:cs="Times New Roman"/>
          <w:sz w:val="24"/>
        </w:rPr>
        <w:t xml:space="preserve">2.5 Layered Storage, Provenance, and Quality</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Control</w:t>
      </w:r>
    </w:p>
    <w:bookmarkStart w:id="39" w:name="database-and-provenance"/>
    <w:p>
      <w:pPr>
        <w:pStyle w:val="Heading3"/>
        <w:keepNext/>
        <w:keepLines/>
        <w:widowControl/>
      </w:pPr>
      <w:r>
        <w:rPr>
          <w:rFonts w:ascii="Times New Roman" w:hAnsi="Times New Roman" w:eastAsia="Times New Roman" w:cs="Times New Roman"/>
          <w:sz w:val="22"/>
        </w:rPr>
        <w:t xml:space="preserve">2.5.1 Database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Provenance</w:t>
      </w:r>
    </w:p>
    <w:p>
      <w:pPr>
        <w:pStyle w:val="FirstParagraph"/>
        <w:widowControl/>
        <w:jc w:val="left"/>
      </w:pPr>
      <w:r>
        <w:rPr>
          <w:rFonts w:ascii="Times New Roman" w:hAnsi="Times New Roman" w:eastAsia="Times New Roman" w:cs="Times New Roman"/>
          <w:sz w:val="21"/>
        </w:rPr>
        <w:t xml:space="preserve">The main DuckDB stores sources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raw_dgeg</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raw_osm</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raw_reference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raw_documents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raw_eredes_aux</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schemas store the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 and geometry,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asset operating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the common calendar and operating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file- and entity-level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lineage.</w:t>
      </w:r>
    </w:p>
    <w:p>
      <w:pPr>
        <w:pStyle w:val="BodyText"/>
        <w:widowControl/>
        <w:jc w:val="left"/>
      </w:pPr>
      <w:r>
        <w:rPr>
          <w:rFonts w:ascii="Times New Roman" w:hAnsi="Times New Roman" w:eastAsia="Times New Roman" w:cs="Times New Roman"/>
          <w:sz w:val="21"/>
        </w:rPr>
        <w:t xml:space="preserve">Each month has a separate result database.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monthly_model.cases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one row per timestamp with status, summary metrics, and complete result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JSON.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state_arrays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 bus voltage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line-loading arrays in fixed equipment order.</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audit_bundles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preserve load,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hotspot, and loss records. Views expand arrays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equipment-long tables. The static model is copied once per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database rather than repeated for every case.</w:t>
      </w:r>
    </w:p>
    <w:p>
      <w:pPr>
        <w:pStyle w:val="BodyText"/>
        <w:widowControl/>
        <w:jc w:val="left"/>
      </w:pPr>
      <w:r>
        <w:rPr>
          <w:rFonts w:ascii="Times New Roman" w:hAnsi="Times New Roman" w:eastAsia="Times New Roman" w:cs="Times New Roman"/>
          <w:sz w:val="21"/>
        </w:rPr>
        <w:t xml:space="preserve">Source records include URL, archive path, file size, and SHA-256.</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table_lineage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raw_record_locator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entity_evidence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table-, record-,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evidence-level traceability. Each monthly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run_manifest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input fingerprints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case counts. Supplementary Table S5 provides the complete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data-layer, grain, and join-key inventory.</w:t>
      </w:r>
    </w:p>
    <w:bookmarkEnd w:id="39"/>
    <w:bookmarkStart w:id="40" w:name="quality-control-and-recovery"/>
    <w:p>
      <w:pPr>
        <w:pStyle w:val="Heading3"/>
        <w:keepNext/>
        <w:keepLines/>
        <w:widowControl/>
      </w:pPr>
      <w:r>
        <w:rPr>
          <w:rFonts w:ascii="Times New Roman" w:hAnsi="Times New Roman" w:eastAsia="Times New Roman" w:cs="Times New Roman"/>
          <w:sz w:val="22"/>
        </w:rPr>
        <w:t xml:space="preserve">2.5.2 Quality Control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Recovery</w:t>
      </w:r>
    </w:p>
    <w:p>
      <w:pPr>
        <w:pStyle w:val="FirstParagraph"/>
        <w:widowControl/>
      </w:pPr>
      <w:r>
        <w:rPr>
          <w:rFonts w:ascii="Times New Roman" w:hAnsi="Times New Roman" w:eastAsia="Times New Roman" w:cs="Times New Roman"/>
          <w:sz w:val="21"/>
        </w:rPr>
        <w:t xml:space="preserve">Quality control has four levels. Static checks cover keys, endpoints,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length, connectivity, and the boundary inventory. Time-series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 cover temporal alignment, source completeness, load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conservation, and capacity limits. Solver checks cover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convergence, voltage, loading, and the active-power-balance residual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Equation (7):</w:t>
      </w:r>
    </w:p>
    <w:p>
      <w:pPr>
        <w:pStyle w:val="BodyText"/>
        <w:keepLines/>
        <w:widowControl/>
        <w:tabs>
          <w:tab w:val="center" w:pos="4680"/>
          <w:tab w:val="right" w:pos="9360"/>
        </w:tabs>
        <w:jc w:val="left"/>
      </w:pPr>
      <w:r>
        <w:tab/>
      </w: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w:r>
        <w:rPr>
          <w:rFonts w:ascii="Times New Roman" w:hAnsi="Times New Roman" w:eastAsia="Times New Roman" w:cs="Times New Roman"/>
          <w:sz w:val="21"/>
        </w:rPr>
        <w:tab/>
        <w:t>(7)</w:t>
      </w:r>
    </w:p>
    <w:p>
      <w:pPr>
        <w:pStyle w:val="FirstParagraph"/>
        <w:widowControl/>
      </w:pPr>
      <w:r>
        <w:rPr>
          <w:rFonts w:ascii="Times New Roman" w:hAnsi="Times New Roman" w:eastAsia="Times New Roman" w:cs="Times New Roman"/>
          <w:sz w:val="21"/>
        </w:rPr>
        <w:t xml:space="preserve">External checks use E-REDES national, municipal, substation, 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injection statistics that were excluded from nodal 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together with REN exchange and monthly loss reports. The 0.90–1.10 p.u.</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band and 100% loading threshold are screening criteria;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violating cases remain in the release.</w:t>
      </w:r>
    </w:p>
    <w:p>
      <w:pPr>
        <w:pStyle w:val="BodyText"/>
        <w:widowControl/>
      </w:pPr>
      <w:r>
        <w:rPr>
          <w:rFonts w:ascii="Times New Roman" w:hAnsi="Times New Roman" w:eastAsia="Times New Roman" w:cs="Times New Roman"/>
          <w:sz w:val="21"/>
        </w:rPr>
        <w:t xml:space="preserve">A case summary, state arrays, and audit bundle are committed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transaction. Any failure rolls back the full case and retains an error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Before formal monthly release, source and copy counts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completed cases, arrays, and audit bundles must match. Supplementary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 S4 lists thresholds, failure behavior, and record locations.</w:t>
      </w:r>
    </w:p>
    <w:bookmarkEnd w:id="40"/>
    <w:bookmarkEnd w:id="41"/>
    <w:bookmarkEnd w:id="42"/>
    <w:bookmarkStart w:id="55" w:name="overview-of-the-simpt60-dataset"/>
    <w:p>
      <w:pPr>
        <w:pStyle w:val="Heading1"/>
        <w:keepNext/>
        <w:keepLines/>
        <w:widowControl/>
      </w:pPr>
      <w:r>
        <w:rPr>
          <w:rFonts w:ascii="Times New Roman" w:hAnsi="Times New Roman" w:eastAsia="Times New Roman" w:cs="Times New Roman"/>
          <w:sz w:val="28"/>
        </w:rPr>
        <w:t xml:space="preserve">3. Overview of the SimPT60</w:t>
      </w:r>
      <w:r>
        <w:rPr>
          <w:rFonts w:ascii="Times New Roman" w:hAnsi="Times New Roman" w:eastAsia="Times New Roman" w:cs="Times New Roman"/>
          <w:sz w:val="28"/>
        </w:rPr>
        <w:t xml:space="preserve"> </w:t>
      </w:r>
      <w:r>
        <w:rPr>
          <w:rFonts w:ascii="Times New Roman" w:hAnsi="Times New Roman" w:eastAsia="Times New Roman" w:cs="Times New Roman"/>
          <w:sz w:val="28"/>
        </w:rPr>
        <w:t xml:space="preserve">Dataset</w:t>
      </w:r>
    </w:p>
    <w:p>
      <w:pPr>
        <w:pStyle w:val="FirstParagraph"/>
        <w:widowControl/>
      </w:pPr>
      <w:r>
        <w:rPr>
          <w:rFonts w:ascii="Times New Roman" w:hAnsi="Times New Roman" w:eastAsia="Times New Roman" w:cs="Times New Roman"/>
          <w:sz w:val="21"/>
        </w:rPr>
        <w:t xml:space="preserve">SimPT60 comprises one main database and 11 monthly power-flow result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databases. The main database contains the static network, common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source records, and validation observations. Monthly databases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 the 15-minute cases and their solved states. The current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model version is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PT60-v2.0.0</w:t>
      </w:r>
      <w:r>
        <w:rPr>
          <w:rFonts w:ascii="Times New Roman" w:hAnsi="Times New Roman" w:eastAsia="Times New Roman" w:cs="Times New Roman"/>
          <w:sz w:val="21"/>
        </w:rPr>
        <w:t xml:space="preserve">.</w:t>
      </w:r>
    </w:p>
    <w:bookmarkStart w:id="46" w:name="static-network-data"/>
    <w:p>
      <w:pPr>
        <w:pStyle w:val="Heading2"/>
        <w:keepNext/>
        <w:keepLines/>
        <w:widowControl/>
      </w:pPr>
      <w:r>
        <w:rPr>
          <w:rFonts w:ascii="Times New Roman" w:hAnsi="Times New Roman" w:eastAsia="Times New Roman" w:cs="Times New Roman"/>
          <w:sz w:val="24"/>
        </w:rPr>
        <w:t xml:space="preserve">3.1 Static Network Data</w:t>
      </w:r>
    </w:p>
    <w:p>
      <w:pPr>
        <w:pStyle w:val="FirstParagraph"/>
        <w:widowControl/>
        <w:jc w:val="left"/>
      </w:pPr>
      <w:r>
        <w:rPr>
          <w:rFonts w:ascii="Times New Roman" w:hAnsi="Times New Roman" w:eastAsia="Times New Roman" w:cs="Times New Roman"/>
          <w:sz w:val="21"/>
        </w:rPr>
        <w:t xml:space="preserve">The static network contains 675 facilities, 3,783 buses,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228 transformers, 1,190 generation or storage units, 468 load 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seven Portugal–Spain boundary endpoints.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grid.buses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grid.lines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connectivity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electrical parameters;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grid.generators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grid.load_points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grid.interconnectors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link assets to buses.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 and facility geometry is stored separately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geo.line_geometries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geo.facility_geometries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avoid duplicating spatial objects in electrical tables.</w:t>
      </w:r>
    </w:p>
    <w:p>
      <w:pPr>
        <w:pStyle w:val="BodyText"/>
        <w:widowControl/>
        <w:jc w:val="left"/>
      </w:pPr>
      <w:r>
        <w:rPr>
          <w:rFonts w:ascii="Times New Roman" w:hAnsi="Times New Roman" w:eastAsia="Times New Roman" w:cs="Times New Roman"/>
          <w:sz w:val="21"/>
        </w:rPr>
        <w:t xml:space="preserve">Equipment tables retain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and mapping-rule fields.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Users can build the complete pandapower network, select only devices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above an evidence threshold, or identify components whose parameters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were derived from public records or engineering proxies.</w:t>
      </w:r>
    </w:p>
    <w:p>
      <w:pPr>
        <w:pStyle w:val="BodyText"/>
        <w:widowControl/>
      </w:pPr>
      <w:r>
        <w:rPr>
          <w:rFonts w:ascii="Times New Roman" w:hAnsi="Times New Roman" w:eastAsia="Times New Roman" w:cs="Times New Roman"/>
          <w:sz w:val="21"/>
        </w:rPr>
        <w:t xml:space="preserve">Figure 2 shows the geographic network and one archived operating state.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Projection and cartography use GeoPandas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GeoPandas2026">
        <w:r>
          <w:rPr>
            <w:rStyle w:val="Hyperlink"/>
          </w:rPr>
          <w:t xml:space="preserve">Fleischmann et al., 2026</w:t>
        </w:r>
      </w:hyperlink>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4530089"/>
            <wp:effectExtent b="0" l="0" r="0" t="0"/>
            <wp:docPr descr="Figure 2—Geographic network and solved state at the annual peak. (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modelled power flows, not telemetry." title="Figure 2" id="44" name="Picture"/>
            <a:graphic>
              <a:graphicData uri="http://schemas.openxmlformats.org/drawingml/2006/picture">
                <pic:pic>
                  <pic:nvPicPr>
                    <pic:cNvPr descr="figures_final/fig02_geographic_network_state.png" id="45" name="Picture"/>
                    <pic:cNvPicPr>
                      <a:picLocks noChangeArrowheads="1" noChangeAspect="1"/>
                    </pic:cNvPicPr>
                  </pic:nvPicPr>
                  <pic:blipFill>
                    <a:blip r:embed="rId43"/>
                    <a:stretch>
                      <a:fillRect/>
                    </a:stretch>
                  </pic:blipFill>
                  <pic:spPr bwMode="auto">
                    <a:xfrm>
                      <a:off x="0" y="0"/>
                      <a:ext cx="5623560" cy="453008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2—Geographic network and solved state at the annual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peak.</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The 60–400 kV network containing 3,783 buses and 4,943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(b) line loading; and (c) bus voltage. All panels use EPSG:3763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with the same scale and extent, retain original line geometry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Portugal–Spain boundary endpoints, and show a 100 km scale bar.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operating state is the archived annual-peak model at 2026-01-15 12:15</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UTC (load 11,329.2 MW), joined by stable equipment identifiers. Missing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solved states remain grey and are not imputed. The loading scale retains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values above 100%. Values are modelled power flows, not telemetry.</w:t>
      </w:r>
    </w:p>
    <w:bookmarkEnd w:id="46"/>
    <w:bookmarkStart w:id="47" w:name="time-series-data"/>
    <w:p>
      <w:pPr>
        <w:pStyle w:val="Heading2"/>
        <w:keepNext/>
        <w:keepLines/>
        <w:widowControl/>
      </w:pPr>
      <w:r>
        <w:rPr>
          <w:rFonts w:ascii="Times New Roman" w:hAnsi="Times New Roman" w:eastAsia="Times New Roman" w:cs="Times New Roman"/>
          <w:sz w:val="24"/>
        </w:rPr>
        <w:t xml:space="preserve">3.2 Time-Series Data</w:t>
      </w:r>
    </w:p>
    <w:p>
      <w:pPr>
        <w:pStyle w:val="FirstParagraph"/>
        <w:widowControl/>
        <w:jc w:val="left"/>
      </w:pPr>
      <w:r>
        <w:rPr>
          <w:rStyle w:val="VerbatimChar"/>
          <w:rFonts w:ascii="Times New Roman" w:hAnsi="Times New Roman" w:eastAsia="Times New Roman" w:cs="Times New Roman"/>
          <w:sz w:val="21"/>
        </w:rPr>
        <w:t xml:space="preserve">main.interval_calendar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common index for all time series. It covers 328 civil days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2025-05-01 to 2026-03-24 and contains 31,492 local 15-minute intervals.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Interval counts follow Europe/Lisbon daylight-saving transitions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therefore need not equal the number of days multiplied by 96.</w:t>
      </w:r>
    </w:p>
    <w:p>
      <w:pPr>
        <w:pStyle w:val="BodyText"/>
        <w:widowControl/>
        <w:jc w:val="left"/>
      </w:pPr>
      <w:r>
        <w:rPr>
          <w:rStyle w:val="VerbatimChar"/>
          <w:rFonts w:ascii="Times New Roman" w:hAnsi="Times New Roman" w:eastAsia="Times New Roman" w:cs="Times New Roman"/>
          <w:sz w:val="21"/>
        </w:rPr>
        <w:t xml:space="preserve">main.eredes_load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12,360,502 load records for 397 substations. Raw records extend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2026-03-25, but the joint modelling window ends on 2026-03-24.</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main.ren_dispatch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472,380 records across 15 national operating series for load,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by technology, storage, and cross-border exchange.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main.weather_hourly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holds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23,616 hourly records for Lisbon, Porto, and Faro;</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main.ren_rnt_balance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660 monthly balance records over 11 reporting periods.</w:t>
      </w:r>
    </w:p>
    <w:p>
      <w:pPr>
        <w:pStyle w:val="BodyText"/>
        <w:widowControl/>
      </w:pPr>
      <w:r>
        <w:rPr>
          <w:rFonts w:ascii="Times New Roman" w:hAnsi="Times New Roman" w:eastAsia="Times New Roman" w:cs="Times New Roman"/>
          <w:sz w:val="21"/>
        </w:rPr>
        <w:t xml:space="preserve">The database also archives 14 E-REDES auxiliary datasets with 2,239,064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They cover national and municipal consumption, contracted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production, distribution-grid injection, distributed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self-consumption, seasonal substation loading, power quality,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continuity of supply. These tables are excluded from nodal-power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construction and serve as withheld public observations in Section 4.</w:t>
      </w:r>
    </w:p>
    <w:bookmarkEnd w:id="47"/>
    <w:bookmarkStart w:id="48" w:name="time-indexed-power-flow-cases"/>
    <w:p>
      <w:pPr>
        <w:pStyle w:val="Heading2"/>
        <w:keepNext/>
        <w:keepLines/>
        <w:widowControl/>
      </w:pPr>
      <w:r>
        <w:rPr>
          <w:rFonts w:ascii="Times New Roman" w:hAnsi="Times New Roman" w:eastAsia="Times New Roman" w:cs="Times New Roman"/>
          <w:sz w:val="24"/>
        </w:rPr>
        <w:t xml:space="preserve">3.3 Time-Indexed Power-Flow</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Cases</w:t>
      </w:r>
    </w:p>
    <w:p>
      <w:pPr>
        <w:pStyle w:val="FirstParagraph"/>
        <w:widowControl/>
      </w:pPr>
      <w:r>
        <w:rPr>
          <w:rFonts w:ascii="Times New Roman" w:hAnsi="Times New Roman" w:eastAsia="Times New Roman" w:cs="Times New Roman"/>
          <w:sz w:val="21"/>
        </w:rPr>
        <w:t xml:space="preserve">Interval results are partitioned by civil month to limit file size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selective download. Eleven compact monthly databases map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one-to-one to the common calendar and contain 31,492 cases. Every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present release completed AC power flow and is marked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converged. October 2025 contains 2,980 intervals because daylight saving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ends, whereas March 2026 covers only the first 24 days and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2,304 intervals.</w:t>
      </w:r>
    </w:p>
    <w:p>
      <w:pPr>
        <w:pStyle w:val="BodyText"/>
        <w:widowControl/>
        <w:jc w:val="left"/>
      </w:pPr>
      <w:r>
        <w:rPr>
          <w:rFonts w:ascii="Times New Roman" w:hAnsi="Times New Roman" w:eastAsia="Times New Roman" w:cs="Times New Roman"/>
          <w:sz w:val="21"/>
        </w:rPr>
        <w:t xml:space="preserve">Each case retains summary values, equipment-state arrays, and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audit bundle. Fixed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tables expand state 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 equipment-long form; the static device order is stored once per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 Supplementary Table S5 lists fields and joins.</w:t>
      </w:r>
    </w:p>
    <w:p>
      <w:pPr>
        <w:pStyle w:val="BodyText"/>
        <w:widowControl/>
        <w:jc w:val="left"/>
      </w:pPr>
      <w:r>
        <w:rPr>
          <w:rFonts w:ascii="Times New Roman" w:hAnsi="Times New Roman" w:eastAsia="Times New Roman" w:cs="Times New Roman"/>
          <w:sz w:val="21"/>
        </w:rPr>
        <w:t xml:space="preserve">The main database also contains the N−1 application results from 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5.</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scenario.annual_nminus1_snapshots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six representative times,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scenario.annual_nminus1_results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9,894 contingency-level results,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scenario.annual_nminus1_overloads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post-contingency overloaded circuits.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scenario.nminus1_control_policy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provenance.annual_nminus1_runs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control-search bounds and experiment provenance. These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application tables remain separate from the continuous 15-minute 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 that sampled security screening is not mistaken for continuous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operating observation.</w:t>
      </w:r>
    </w:p>
    <w:bookmarkEnd w:id="48"/>
    <w:bookmarkStart w:id="52" w:name="dataset-coverage-and-composition"/>
    <w:p>
      <w:pPr>
        <w:pStyle w:val="Heading2"/>
        <w:keepNext/>
        <w:keepLines/>
        <w:widowControl/>
      </w:pPr>
      <w:r>
        <w:rPr>
          <w:rFonts w:ascii="Times New Roman" w:hAnsi="Times New Roman" w:eastAsia="Times New Roman" w:cs="Times New Roman"/>
          <w:sz w:val="24"/>
        </w:rPr>
        <w:t xml:space="preserve">3.4 Dataset Coverage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Composition</w:t>
      </w:r>
    </w:p>
    <w:p>
      <w:pPr>
        <w:pStyle w:val="FirstParagraph"/>
        <w:widowControl/>
      </w:pPr>
      <w:r>
        <w:rPr>
          <w:rFonts w:ascii="Times New Roman" w:hAnsi="Times New Roman" w:eastAsia="Times New Roman" w:cs="Times New Roman"/>
          <w:sz w:val="21"/>
        </w:rPr>
        <w:t xml:space="preserve">Figure 3 shows interval availability, the peak-load week, and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 completeness.</w:t>
      </w:r>
    </w:p>
    <w:p>
      <w:pPr>
        <w:pStyle w:val="BodyText"/>
        <w:widowControl/>
      </w:pPr>
      <w:r>
        <w:rPr>
          <w:rFonts w:ascii="Times New Roman" w:hAnsi="Times New Roman" w:eastAsia="Times New Roman" w:cs="Times New Roman"/>
          <w:sz w:val="21"/>
        </w:rPr>
        <w:drawing>
          <wp:inline>
            <wp:extent cx="5623560" cy="3905249"/>
            <wp:effectExtent b="0" l="0" r="0" t="0"/>
            <wp:docPr descr="Figure 3—Temporal coverage and case completeness. (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 title="Figure 3" id="50" name="Picture"/>
            <a:graphic>
              <a:graphicData uri="http://schemas.openxmlformats.org/drawingml/2006/picture">
                <pic:pic>
                  <pic:nvPicPr>
                    <pic:cNvPr descr="figures_final/fig03_temporal_coverage.png" id="51" name="Picture"/>
                    <pic:cNvPicPr>
                      <a:picLocks noChangeArrowheads="1" noChangeAspect="1"/>
                    </pic:cNvPicPr>
                  </pic:nvPicPr>
                  <pic:blipFill>
                    <a:blip r:embed="rId49"/>
                    <a:stretch>
                      <a:fillRect/>
                    </a:stretch>
                  </pic:blipFill>
                  <pic:spPr bwMode="auto">
                    <a:xfrm>
                      <a:off x="0" y="0"/>
                      <a:ext cx="5623560" cy="39052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3—Temporal coverage and case completeness.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Daily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fractions of available model cases, paired national-consumption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observations, and paired wind observations. Denominators follow Lisbon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civil days and daylight saving time; missing data are shown without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interpolation. (b) The complete civil week containing maximum system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load, with total electric load, generation, and REN net import. (c)</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Completed and converged 15-minute cases by month, totaling 31,492.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common window is 2025-05-01 to 2026-03-24; October contains the repeated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daylight-saving hour, and March is partial through day 24.</w:t>
      </w:r>
    </w:p>
    <w:p>
      <w:pPr>
        <w:pStyle w:val="BodyText"/>
        <w:widowControl/>
      </w:pPr>
      <w:r>
        <w:rPr>
          <w:rFonts w:ascii="Times New Roman" w:hAnsi="Times New Roman" w:eastAsia="Times New Roman" w:cs="Times New Roman"/>
          <w:sz w:val="21"/>
        </w:rPr>
        <w:t xml:space="preserve">Table 7 summarizes the principal static, time-series, validation,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application objects.</w:t>
      </w:r>
    </w:p>
    <w:p>
      <w:pPr>
        <w:pStyle w:val="TableCaption"/>
        <w:keepNext/>
        <w:widowControl/>
      </w:pPr>
      <w:r>
        <w:rPr>
          <w:rFonts w:ascii="Times New Roman" w:hAnsi="Times New Roman" w:eastAsia="Times New Roman" w:cs="Times New Roman"/>
          <w:b/>
          <w:bCs/>
          <w:sz w:val="18"/>
        </w:rPr>
        <w:t xml:space="preserve">Table 7—Principal dataset statistics.</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Category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Basis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Archived model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-09-16 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,943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Voltage-level coverage table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Transformers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 storage units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Load points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Portugal–Spain boundary endpoints</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Interconnection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 network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 / 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,664 / 4,787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Connectivity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statistics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Common dates /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days /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calendar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Substation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stations / 12,360,502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Raw records through 2026-03-25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national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types / 472,380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Weather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locations / 23,616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Hourly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monthly balance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periods / 660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auxiliary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types / 2,239,064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Multiple temporal resolutions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Power flow</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Compact monthly databases /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Completed</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and converged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Application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Full-element 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times / 9,894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,649 elements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per time</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Counts describe the released CORE-3783 variant. N−1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 N1-3787. Section 3.6 and Supplementary Note S2 define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object-level differences, section applicability, and fixed hashes.</w:t>
      </w:r>
    </w:p>
    <w:bookmarkEnd w:id="52"/>
    <w:bookmarkStart w:id="53" w:name="file-organization-and-distribution"/>
    <w:p>
      <w:pPr>
        <w:pStyle w:val="Heading2"/>
        <w:keepNext/>
        <w:keepLines/>
        <w:widowControl/>
      </w:pPr>
      <w:r>
        <w:rPr>
          <w:rFonts w:ascii="Times New Roman" w:hAnsi="Times New Roman" w:eastAsia="Times New Roman" w:cs="Times New Roman"/>
          <w:sz w:val="24"/>
        </w:rPr>
        <w:t xml:space="preserve">3.5 File Organization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Distribution</w:t>
      </w:r>
    </w:p>
    <w:p>
      <w:pPr>
        <w:pStyle w:val="FirstParagraph"/>
        <w:widowControl/>
      </w:pPr>
      <w:r>
        <w:rPr>
          <w:rFonts w:ascii="Times New Roman" w:hAnsi="Times New Roman" w:eastAsia="Times New Roman" w:cs="Times New Roman"/>
          <w:sz w:val="21"/>
        </w:rPr>
        <w:t xml:space="preserve">The frozen release comprises the analysis-ready main database,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result databases, source and provenance records, and validation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application results. Stable model identifiers join the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 to the common calendar in the main database. Case identifiers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fixed equipment order join summaries, state arrays,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bundles in the monthly databases. Raw files are distributed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licensing permits; otherwise, the release provides source metadata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download scripts.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and the release README define file hashes,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environment, and reproduction entry points.</w:t>
      </w:r>
    </w:p>
    <w:bookmarkEnd w:id="53"/>
    <w:bookmarkStart w:id="54" w:name="X839a8504b650dfee19a23816a63bd8c07b4f17f"/>
    <w:p>
      <w:pPr>
        <w:pStyle w:val="Heading2"/>
        <w:keepNext/>
        <w:keepLines/>
        <w:widowControl/>
      </w:pPr>
      <w:r>
        <w:rPr>
          <w:rFonts w:ascii="Times New Roman" w:hAnsi="Times New Roman" w:eastAsia="Times New Roman" w:cs="Times New Roman"/>
          <w:sz w:val="24"/>
        </w:rPr>
        <w:t xml:space="preserve">3.6 Frozen Release and Model-Version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Reconciliation</w:t>
      </w:r>
    </w:p>
    <w:p>
      <w:pPr>
        <w:pStyle w:val="FirstParagraph"/>
        <w:widowControl/>
      </w:pPr>
      <w:r>
        <w:rPr>
          <w:rFonts w:ascii="Times New Roman" w:hAnsi="Times New Roman" w:eastAsia="Times New Roman" w:cs="Times New Roman"/>
          <w:sz w:val="21"/>
        </w:rPr>
        <w:t xml:space="preserve">The paper freezes release</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The 31,492</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cases and validation in Sections 3–4 use CORE-3783: 3,783</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4,943 lines, and 228 transformers. The Section 5.2 N−1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demonstration uses N1-3787. In that variant, four colocated 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nodes correct the Lanheses–Feitosa topology, and one merged Estoi</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 object is separated into three parallel equivalent units.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transformer table therefore contains 230 rows, although the three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Estoi units form one symmetric contingency group. Results from the two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variants cannot be interchanged and attributed to one model.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Supplementary Note S2 lists the required differences; the release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manifest records field-level differences and hashes.</w:t>
      </w:r>
    </w:p>
    <w:bookmarkEnd w:id="54"/>
    <w:bookmarkEnd w:id="55"/>
    <w:bookmarkStart w:id="79" w:name="validation"/>
    <w:p>
      <w:pPr>
        <w:pStyle w:val="Heading1"/>
        <w:keepNext/>
        <w:keepLines/>
        <w:widowControl/>
      </w:pPr>
      <w:r>
        <w:rPr>
          <w:rFonts w:ascii="Times New Roman" w:hAnsi="Times New Roman" w:eastAsia="Times New Roman" w:cs="Times New Roman"/>
          <w:sz w:val="28"/>
        </w:rPr>
        <w:t xml:space="preserve">4. Validation</w:t>
      </w:r>
    </w:p>
    <w:p>
      <w:pPr>
        <w:pStyle w:val="FirstParagraph"/>
        <w:widowControl/>
      </w:pPr>
      <w:r>
        <w:rPr>
          <w:rFonts w:ascii="Times New Roman" w:hAnsi="Times New Roman" w:eastAsia="Times New Roman" w:cs="Times New Roman"/>
          <w:sz w:val="21"/>
        </w:rPr>
        <w:t xml:space="preserve">No contemporaneous operator network model or branch-level state estimate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was available at the spatial extent of SimPT60. Validation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target equipment-level error. It evaluates research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plausibility and usability through network structure, computational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sensitivity to modelling assumptions, and comparison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observations.</w:t>
      </w:r>
    </w:p>
    <w:bookmarkStart w:id="56" w:name="validation-design-and-evidence-levels"/>
    <w:p>
      <w:pPr>
        <w:pStyle w:val="Heading2"/>
        <w:keepNext/>
        <w:keepLines/>
        <w:widowControl/>
      </w:pPr>
      <w:r>
        <w:rPr>
          <w:rFonts w:ascii="Times New Roman" w:hAnsi="Times New Roman" w:eastAsia="Times New Roman" w:cs="Times New Roman"/>
          <w:sz w:val="24"/>
        </w:rPr>
        <w:t xml:space="preserve">4.1 Validation Design and Evidence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Levels</w:t>
      </w:r>
    </w:p>
    <w:p>
      <w:pPr>
        <w:pStyle w:val="FirstParagraph"/>
        <w:widowControl/>
      </w:pPr>
      <w:r>
        <w:rPr>
          <w:rFonts w:ascii="Times New Roman" w:hAnsi="Times New Roman" w:eastAsia="Times New Roman" w:cs="Times New Roman"/>
          <w:sz w:val="21"/>
        </w:rPr>
        <w:t xml:space="preserve">Validation has three layers. Public structural records and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tests evaluate the network representation. E-REDES products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nodal-power construction evaluate aggregate temporal and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behavior. Case completeness, convergence, and power balance evaluate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internal computational consistency. Comparisons are paired by common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 or region without interpolation or removal of anomalous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months. Ninety-five-percent confidence intervals use clustered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resampling by civil day or spatial entity.</w:t>
      </w:r>
    </w:p>
    <w:p>
      <w:pPr>
        <w:pStyle w:val="BodyText"/>
        <w:widowControl/>
      </w:pPr>
      <w:r>
        <w:rPr>
          <w:rFonts w:ascii="Times New Roman" w:hAnsi="Times New Roman" w:eastAsia="Times New Roman" w:cs="Times New Roman"/>
          <w:sz w:val="21"/>
        </w:rPr>
        <w:t xml:space="preserve">The evidence layers answer different questions. REN and E-REDES demand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generation products do not share identical accounting boundaries,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municipal or substation statistics are not line-flow truth.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target is therefore research-level plausibility and usability rather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than equipment-level accuracy.</w:t>
      </w:r>
    </w:p>
    <w:bookmarkEnd w:id="56"/>
    <w:bookmarkStart w:id="60" w:name="structural-and-computational-consistency"/>
    <w:p>
      <w:pPr>
        <w:pStyle w:val="Heading2"/>
        <w:keepNext/>
        <w:keepLines/>
        <w:widowControl/>
      </w:pPr>
      <w:r>
        <w:rPr>
          <w:rFonts w:ascii="Times New Roman" w:hAnsi="Times New Roman" w:eastAsia="Times New Roman" w:cs="Times New Roman"/>
          <w:sz w:val="24"/>
        </w:rPr>
        <w:t xml:space="preserve">4.2 Structural and Computational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Consistency</w:t>
      </w:r>
    </w:p>
    <w:p>
      <w:pPr>
        <w:pStyle w:val="FirstParagraph"/>
        <w:widowControl/>
      </w:pPr>
      <w:r>
        <w:rPr>
          <w:rFonts w:ascii="Times New Roman" w:hAnsi="Times New Roman" w:eastAsia="Times New Roman" w:cs="Times New Roman"/>
          <w:sz w:val="21"/>
        </w:rPr>
        <w:t xml:space="preserve">The full static network contains 3,783 buses, 4,943 lines, and 228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 single connected component contains 3,664 active buses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4,787 active lines. The simple-graph cycle rank is 501; median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95th-percentile node degrees are 2 and 4. Model-to-public-background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route-km ratios at 60, 130, 150, 220, and 400 kV are 0.992, 1.090,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0.817, 0.819, and 1.033. REN aggregates provide the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backgrounds. The 60/130 kV comparisons use non-independent OSM context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cannot be interpreted as accuracy. The 130 kV ratio is based on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seven model lines and is descriptive only.</w:t>
      </w:r>
    </w:p>
    <w:p>
      <w:pPr>
        <w:pStyle w:val="BodyText"/>
        <w:widowControl/>
        <w:jc w:val="left"/>
      </w:pPr>
      <w:r>
        <w:rPr>
          <w:rFonts w:ascii="Times New Roman" w:hAnsi="Times New Roman" w:eastAsia="Times New Roman" w:cs="Times New Roman"/>
          <w:sz w:val="21"/>
        </w:rPr>
        <w:t xml:space="preserve">Line parameters are a principal uncertainty. Of 4,240 60 kV lines, 1,517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have partial support from PDIRD circuit paths and 2,723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voltage-class engineering proxies. At 130–400 kV, every line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classified as proxy at the line-level</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This overall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classification differs from field-level support, which Figure 4 reports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separately.</w:t>
      </w:r>
    </w:p>
    <w:p>
      <w:pPr>
        <w:pStyle w:val="BodyText"/>
        <w:widowControl/>
      </w:pPr>
      <w:r>
        <w:rPr>
          <w:rFonts w:ascii="Times New Roman" w:hAnsi="Times New Roman" w:eastAsia="Times New Roman" w:cs="Times New Roman"/>
          <w:sz w:val="21"/>
        </w:rPr>
        <w:t xml:space="preserve">The 11 compact monthly databases contain 31,492 completed and converged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cases. The mean absolute AC closure residual across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boundary exchange, load, and loss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showing numerical agreement among released states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quantities.</w:t>
      </w:r>
    </w:p>
    <w:p>
      <w:pPr>
        <w:pStyle w:val="BodyText"/>
        <w:widowControl/>
      </w:pPr>
      <w:r>
        <w:rPr>
          <w:rFonts w:ascii="Times New Roman" w:hAnsi="Times New Roman" w:eastAsia="Times New Roman" w:cs="Times New Roman"/>
          <w:sz w:val="21"/>
        </w:rPr>
        <w:drawing>
          <wp:inline>
            <wp:extent cx="5623560" cy="2616516"/>
            <wp:effectExtent b="0" l="0" r="0" t="0"/>
            <wp:docPr descr="Figure 4—Structural coverage and field-level parameter evidence. (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8 reports line-level evidence counts." title="Figure 4" id="58" name="Picture"/>
            <a:graphic>
              <a:graphicData uri="http://schemas.openxmlformats.org/drawingml/2006/picture">
                <pic:pic>
                  <pic:nvPicPr>
                    <pic:cNvPr descr="figures_final/fig04_network_parameter_evidence.png" id="59" name="Picture"/>
                    <pic:cNvPicPr>
                      <a:picLocks noChangeArrowheads="1" noChangeAspect="1"/>
                    </pic:cNvPicPr>
                  </pic:nvPicPr>
                  <pic:blipFill>
                    <a:blip r:embed="rId57"/>
                    <a:stretch>
                      <a:fillRect/>
                    </a:stretch>
                  </pic:blipFill>
                  <pic:spPr bwMode="auto">
                    <a:xfrm>
                      <a:off x="0" y="0"/>
                      <a:ext cx="5623560" cy="261651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4—Structural coverage and field-level parameter</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Model route-km divided by public background length for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voltage class; the dashed line marks unity. Grey circles use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non-independent OSM context and blue squares use REN background.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Route-km and circuit length have different definitions, so the ratio is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an accuracy measure. (b) Field-level separation of project-based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resistance transfer (orange; engineering assumption) and source-backed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ratings (green); cells show proportions. Grey denotes wholly proxy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fields. The 35.8% resistance support is not direct observation and must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be assigned the same evidence level as ratings. Reactance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capacitance are proxies throughout. The 130 kV result contains seven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and is descriptive only. Table 8 reports line-level 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counts.</w:t>
      </w:r>
    </w:p>
    <w:p>
      <w:pPr>
        <w:pStyle w:val="TableCaption"/>
        <w:keepNext/>
        <w:widowControl/>
      </w:pPr>
      <w:r>
        <w:rPr>
          <w:rFonts w:ascii="Times New Roman" w:hAnsi="Times New Roman" w:eastAsia="Times New Roman" w:cs="Times New Roman"/>
          <w:b/>
          <w:bCs/>
          <w:sz w:val="18"/>
        </w:rPr>
        <w:t xml:space="preserve">Table 8—Network structure, parameter evidence,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computational completeness.</w:t>
      </w:r>
    </w:p>
    <w:tbl>
      <w:tblPr>
        <w:tblStyle w:val="Table"/>
        <w:tblW w:type="pct" w:w="5000"/>
        <w:jc w:val="lef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Route-km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Background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Line-level parameter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,236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,668.4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,742.0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,517 partial / 2,723</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,514.0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,206.9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,916.0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center"/>
            </w:pP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,579.5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,465.0</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130 kV sample contains seven lines. Background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is non-independent OSM context at 60/130 kV and REN aggregate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at 150/220/400 kV. Route-km and circuit length differ, so ratios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not accuracy. The active network is one connected component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simple-graph cycle rank 501, median degree 2, and 95th-percentile degree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4. All 31,492 cases completed and converged; interval-weighted AC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closure MAE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Partial line-level support does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mean that every field is observed; all</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proxies.</w:t>
      </w:r>
    </w:p>
    <w:bookmarkEnd w:id="60"/>
    <w:bookmarkStart w:id="64" w:name="X5d063ab4efad64cd58a740e40734f26c3a2cfcb"/>
    <w:p>
      <w:pPr>
        <w:pStyle w:val="Heading2"/>
        <w:keepNext/>
        <w:keepLines/>
        <w:widowControl/>
      </w:pPr>
      <w:r>
        <w:rPr>
          <w:rFonts w:ascii="Times New Roman" w:hAnsi="Times New Roman" w:eastAsia="Times New Roman" w:cs="Times New Roman"/>
          <w:sz w:val="24"/>
        </w:rPr>
        <w:t xml:space="preserve">4.3 Parameter and Spatial-Allocation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Sensitivity</w:t>
      </w:r>
    </w:p>
    <w:p>
      <w:pPr>
        <w:pStyle w:val="FirstParagraph"/>
        <w:widowControl/>
      </w:pPr>
      <w:r>
        <w:rPr>
          <w:rFonts w:ascii="Times New Roman" w:hAnsi="Times New Roman" w:eastAsia="Times New Roman" w:cs="Times New Roman"/>
          <w:sz w:val="21"/>
        </w:rPr>
        <w:t xml:space="preserve">Sensitivity experiments perturb line</w:t>
      </w:r>
      <w:r>
        <w:rPr>
          <w:rFonts w:ascii="Times New Roman" w:hAnsi="Times New Roman" w:eastAsia="Times New Roman" w:cs="Times New Roman"/>
          <w:sz w:val="21"/>
        </w:rPr>
        <w:t xml:space="preserve"> </w:t>
      </w:r>
      <m:oMath>
        <m:r>
          <m:t>R</m:t>
        </m:r>
        <m:r>
          <m:rPr>
            <m:sty m:val="p"/>
          </m:rPr>
          <m:t>/</m:t>
        </m:r>
        <m:r>
          <m:t>X</m:t>
        </m:r>
      </m:oMath>
      <w:r>
        <w:rPr>
          <w:rFonts w:ascii="Times New Roman" w:hAnsi="Times New Roman" w:eastAsia="Times New Roman" w:cs="Times New Roman"/>
          <w:sz w:val="21"/>
        </w:rPr>
        <w:t xml:space="preserve">, capacitance, current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transformer capacity and impedance, and the spatial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of load, generation, and boundary exchange at 22 representative times.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After shared baselines are removed, 264 cases remain and all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minimum Spearman correlation is 0.998 for line-impedance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and 0.993 for transformer perturbations. Current-rating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change maximum loading by as much as 34.48 percentage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points. System-wide rankings remain comparatively stable under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alternatives, but allocating residual load by transformer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reduces the Top-20 Jaccard index to 0.429. Specific hotspots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more assumption-dependent than the global ranking.</w:t>
      </w:r>
    </w:p>
    <w:p>
      <w:pPr>
        <w:pStyle w:val="BodyText"/>
        <w:widowControl/>
      </w:pPr>
      <w:r>
        <w:rPr>
          <w:rFonts w:ascii="Times New Roman" w:hAnsi="Times New Roman" w:eastAsia="Times New Roman" w:cs="Times New Roman"/>
          <w:sz w:val="21"/>
        </w:rPr>
        <w:t xml:space="preserve">Figure 5 summarizes ranking, hotspot-set, and maximum-loading responses.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Supplementary Table S6 contains all paired results. Hotspot persistence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shows that no line remains in the Top 20 across every annual time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configuration (Supplementary Figure S1). Supplementary Table S7 reports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ablations of reactive-power limits, PV targets, compensation, reactors,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tap control.</w:t>
      </w:r>
    </w:p>
    <w:p>
      <w:pPr>
        <w:pStyle w:val="BodyText"/>
        <w:widowControl/>
      </w:pPr>
      <w:r>
        <w:rPr>
          <w:rFonts w:ascii="Times New Roman" w:hAnsi="Times New Roman" w:eastAsia="Times New Roman" w:cs="Times New Roman"/>
          <w:sz w:val="21"/>
        </w:rPr>
        <w:drawing>
          <wp:inline>
            <wp:extent cx="5623560" cy="3358514"/>
            <wp:effectExtent b="0" l="0" r="0" t="0"/>
            <wp:docPr descr="Figure 5—Sensitivity to parameters and spatial allocation. (a) Spearman correlation of line-loading ranks; (b) Top-20 Jaccard index; and (c) absolute change in maximum loading. Markers denote medians over 22 operating states and lines extend to the least favorable result. The 154 parameter cases and 132 spatial cases share 22 baselines." title="Figure 5" id="62" name="Picture"/>
            <a:graphic>
              <a:graphicData uri="http://schemas.openxmlformats.org/drawingml/2006/picture">
                <pic:pic>
                  <pic:nvPicPr>
                    <pic:cNvPr descr="figures_final/fig05_parameter_spatial_sensitivity.png" id="63" name="Picture"/>
                    <pic:cNvPicPr>
                      <a:picLocks noChangeArrowheads="1" noChangeAspect="1"/>
                    </pic:cNvPicPr>
                  </pic:nvPicPr>
                  <pic:blipFill>
                    <a:blip r:embed="rId61"/>
                    <a:stretch>
                      <a:fillRect/>
                    </a:stretch>
                  </pic:blipFill>
                  <pic:spPr bwMode="auto">
                    <a:xfrm>
                      <a:off x="0" y="0"/>
                      <a:ext cx="5623560" cy="335851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5—Sensitivity to parameters and spatial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Spearman correlation of line-loading ranks; (b) Top-20 Jaccard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index; and (c) absolute change in maximum loading. Markers denote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medians over 22 operating states and lines extend to the least favorable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result. The 154 parameter cases and 132 spatial cases share 22</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baselines.</w:t>
      </w:r>
    </w:p>
    <w:bookmarkEnd w:id="64"/>
    <w:bookmarkStart w:id="68" w:name="external-temporal-agreement"/>
    <w:p>
      <w:pPr>
        <w:pStyle w:val="Heading2"/>
        <w:keepNext/>
        <w:keepLines/>
        <w:widowControl/>
      </w:pPr>
      <w:r>
        <w:rPr>
          <w:rFonts w:ascii="Times New Roman" w:hAnsi="Times New Roman" w:eastAsia="Times New Roman" w:cs="Times New Roman"/>
          <w:sz w:val="24"/>
        </w:rPr>
        <w:t xml:space="preserve">4.4 External Temporal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National demand comparison contains 31,388 paired intervals. The ratio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of mean SimPT60 consumption to public E-REDES consumption is 1.003,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 day-block bootstrap 95% 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1.002, 1.005</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Fifteen-minute Pearson correlation is 0.997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0.996, 0.999</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MAE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30.9 MW. Across 327 paired daily means, Pearson correlation is 0.995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RMSE is 0.013. October 2025 contains E-REDES missingness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local deviations, but the month is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EREDESNationalConsumption">
        <w:r>
          <w:rPr>
            <w:rStyle w:val="Hyperlink"/>
          </w:rPr>
          <w:t xml:space="preserve">E-REDES, n.d.-b</w:t>
        </w:r>
      </w:hyperlink>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Wind comparison contains 31,484 paired intervals. The mean ratio between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SimPT60 and E-REDES distribution-grid wind injection is 1.056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1.055,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1.058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Pearson correlation is 0.9998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0.9997, 0.9998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Daily-mean correlation is also 0.9998. Photovoltaic correlation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0.982, but mean national photovoltaic production in SimPT60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approximately 21.2 times distribution-grid injection. Hydro correlation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0.536. The latter comparisons span different accounting scopes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not absolute-scale validation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EREDESDistributionInjection">
        <w:r>
          <w:rPr>
            <w:rStyle w:val="Hyperlink"/>
          </w:rPr>
          <w:t xml:space="preserve">E-REDES, n.d.-c</w:t>
        </w:r>
      </w:hyperlink>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hyperlink w:anchor="ref-EREDESNationalProduction">
        <w:r>
          <w:rPr>
            <w:rStyle w:val="Hyperlink"/>
          </w:rPr>
          <w:t xml:space="preserve">E-REDES, n.d.-d</w:t>
        </w:r>
      </w:hyperlink>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5467349"/>
            <wp:effectExtent b="0" l="0" r="0" t="0"/>
            <wp:docPr descr="Figure 6—External temporal validation of aggregate inputs. (a–b) Paired daily means for national consumption and wind; (c–d) density of the corresponding 31,388 and 31,484 15-minute pairs, with a shared logarithmic count scale, one-to-one line, and Pearson ;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9 gives bootstrap intervals." title="Figure 6" id="66" name="Picture"/>
            <a:graphic>
              <a:graphicData uri="http://schemas.openxmlformats.org/drawingml/2006/picture">
                <pic:pic>
                  <pic:nvPicPr>
                    <pic:cNvPr descr="figures_final/fig07_temporal_validation.png" id="67" name="Picture"/>
                    <pic:cNvPicPr>
                      <a:picLocks noChangeArrowheads="1" noChangeAspect="1"/>
                    </pic:cNvPicPr>
                  </pic:nvPicPr>
                  <pic:blipFill>
                    <a:blip r:embed="rId65"/>
                    <a:stretch>
                      <a:fillRect/>
                    </a:stretch>
                  </pic:blipFill>
                  <pic:spPr bwMode="auto">
                    <a:xfrm>
                      <a:off x="0" y="0"/>
                      <a:ext cx="5623560" cy="54673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6—External temporal validation of aggregate inputs.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 Paired daily means for national consumption and wind; (c–d)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density of the corresponding 31,388 and 31,484 15-minute pairs, with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shared logarithmic count scale, one-to-one line, and Pearson</w:t>
      </w:r>
      <w:r>
        <w:rPr>
          <w:rFonts w:ascii="Times New Roman" w:hAnsi="Times New Roman" w:eastAsia="Times New Roman" w:cs="Times New Roman"/>
          <w:sz w:val="18"/>
        </w:rPr>
        <w:t xml:space="preserve"> </w:t>
      </w:r>
      <m:oMath>
        <m:r>
          <m:t>r</m:t>
        </m:r>
      </m:oMath>
      <w:r>
        <w:rPr>
          <w:rFonts w:ascii="Times New Roman" w:hAnsi="Times New Roman" w:eastAsia="Times New Roman" w:cs="Times New Roman"/>
          <w:sz w:val="18"/>
        </w:rPr>
        <w:t xml:space="preserv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 consumption profiles grouped by Lisbon local time and normalized by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series’ daily mean. Comparisons exclude only intervals missing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required field and use no anomaly deletion, smoothing, or interpolation.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Consumption excludes pumping and battery charging and differs from total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electric load in the cases. Wind compares national production with</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distribution-grid injection across different scopes. The figure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validates aggregate inputs, not nodal allocation or branch flow. Table 9</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gives bootstrap intervals.</w:t>
      </w:r>
    </w:p>
    <w:bookmarkEnd w:id="68"/>
    <w:bookmarkStart w:id="73" w:name="external-spatial-agreement"/>
    <w:p>
      <w:pPr>
        <w:pStyle w:val="Heading2"/>
        <w:keepNext/>
        <w:keepLines/>
        <w:widowControl/>
      </w:pPr>
      <w:r>
        <w:rPr>
          <w:rFonts w:ascii="Times New Roman" w:hAnsi="Times New Roman" w:eastAsia="Times New Roman" w:cs="Times New Roman"/>
          <w:sz w:val="24"/>
        </w:rPr>
        <w:t xml:space="preserve">4.5 External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At municipal level, E-REDES monthly billed consumption is the reference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hyperlink w:anchor="ref-EREDESMunicipalityConsumption">
        <w:r>
          <w:rPr>
            <w:rStyle w:val="Hyperlink"/>
          </w:rPr>
          <w:t xml:space="preserve">E-REDES, n.d.-e</w:t>
        </w:r>
      </w:hyperlink>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2,183 municipality-month pairs yield a Spearman correlation of 0.881,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a 95% 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0.841, 0.910</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199</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municipality clusters; they cover 94.8% of contemporaneous billed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energy. At substation level, 792 seasonal pairs yield a Spearman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of 0.957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0.946, 0.967</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 397 station clusters,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mean ratio of 1.044, and MAE of 2.45 MW.</w:t>
      </w:r>
    </w:p>
    <w:p>
      <w:pPr>
        <w:pStyle w:val="BodyText"/>
        <w:widowControl/>
      </w:pPr>
      <w:r>
        <w:rPr>
          <w:rFonts w:ascii="Times New Roman" w:hAnsi="Times New Roman" w:eastAsia="Times New Roman" w:cs="Times New Roman"/>
          <w:sz w:val="21"/>
        </w:rPr>
        <w:t xml:space="preserve">Municipality comparisons use the municipality containing each substation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a proxy for its service area and therefore provide weak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Seasonal substation loads come from the E-REDES capacity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loading product (</w:t>
      </w:r>
      <w:hyperlink w:anchor="ref-EREDESSubstationCapacity">
        <w:r>
          <w:rPr>
            <w:rStyle w:val="Hyperlink"/>
          </w:rPr>
          <w:t xml:space="preserve">E-REDES,</w:t>
        </w:r>
        <w:r>
          <w:rPr>
            <w:rStyle w:val="Hyperlink"/>
          </w:rPr>
          <w:t xml:space="preserve"> </w:t>
        </w:r>
        <w:r>
          <w:rPr>
            <w:rStyle w:val="Hyperlink"/>
          </w:rPr>
          <w:t xml:space="preserve">n.d.-a</w:t>
        </w:r>
      </w:hyperlink>
      <w:r>
        <w:rPr>
          <w:rFonts w:ascii="Times New Roman" w:hAnsi="Times New Roman" w:eastAsia="Times New Roman" w:cs="Times New Roman"/>
          <w:sz w:val="21"/>
        </w:rPr>
        <w:t xml:space="preserve">). They test facility ranking and scale, but share the same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operator as the 15-minute load data and are not fully independent nodal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truth.</w:t>
      </w:r>
    </w:p>
    <w:p>
      <w:pPr>
        <w:pStyle w:val="BodyText"/>
        <w:widowControl/>
      </w:pPr>
      <w:r>
        <w:rPr>
          <w:rFonts w:ascii="Times New Roman" w:hAnsi="Times New Roman" w:eastAsia="Times New Roman" w:cs="Times New Roman"/>
          <w:sz w:val="21"/>
        </w:rPr>
        <w:drawing>
          <wp:inline>
            <wp:extent cx="5623560" cy="2850831"/>
            <wp:effectExtent b="0" l="0" r="0" t="0"/>
            <wp:docPr descr="Figure 7—Spatial agreement at municipality and substation levels. (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 title="Figure 7" id="70" name="Picture"/>
            <a:graphic>
              <a:graphicData uri="http://schemas.openxmlformats.org/drawingml/2006/picture">
                <pic:pic>
                  <pic:nvPicPr>
                    <pic:cNvPr descr="figures_final/fig08_spatial_validation.png" id="71" name="Picture"/>
                    <pic:cNvPicPr>
                      <a:picLocks noChangeArrowheads="1" noChangeAspect="1"/>
                    </pic:cNvPicPr>
                  </pic:nvPicPr>
                  <pic:blipFill>
                    <a:blip r:embed="rId69"/>
                    <a:stretch>
                      <a:fillRect/>
                    </a:stretch>
                  </pic:blipFill>
                  <pic:spPr bwMode="auto">
                    <a:xfrm>
                      <a:off x="0" y="0"/>
                      <a:ext cx="5623560" cy="2850831"/>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7—Spatial agreement at municipality and substation</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levels.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2,183 municipality-month load-share pairs; (b) 792 seasonal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substation-peak pairs. Axes have equal scale and dashed one-to-one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Labels report Spearman correlation and archived 1,000-replicate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cluster-bootstrap 95% intervals using 199 municipality and 397</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 clusters; bands are not regression intervals. Municipality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assignment is a weak service-area proxy, and cross-product evidence from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the same operator is not fully independent nodal truth.</w:t>
      </w:r>
    </w:p>
    <w:p>
      <w:pPr>
        <w:pStyle w:val="TableCaption"/>
        <w:keepNext/>
        <w:widowControl/>
      </w:pPr>
      <w:r>
        <w:rPr>
          <w:rFonts w:ascii="Times New Roman" w:hAnsi="Times New Roman" w:eastAsia="Times New Roman" w:cs="Times New Roman"/>
          <w:b/>
          <w:bCs/>
          <w:sz w:val="18"/>
        </w:rPr>
        <w:t xml:space="preserve">Table 9—Summary of cross-source validation.</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Validation target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Samples or independent blocks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Result (95% CI)</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Evidence level</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consumption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,388 intervals / 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1.003</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1.002, 1.005</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m:oMath>
              <m:r>
                <m:t>r</m:t>
              </m:r>
              <m:r>
                <m:rPr>
                  <m:sty m:val="p"/>
                </m:rPr>
                <m:t>=</m:t>
              </m:r>
              <m:r>
                <m:t>0.997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0.996, 0.999</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REN–E-REDES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consumption; reference includes losses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,484 intervals / 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1.056</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1.055,</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1.058</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m:oMath>
              <m:r>
                <m:t>r</m:t>
              </m:r>
              <m:r>
                <m:rPr>
                  <m:sty m:val="p"/>
                </m:rPr>
                <m:t>=</m:t>
              </m:r>
              <m:r>
                <m:t>0.9998</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0.9997, 0.9998</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REN–E-REDES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distribution-injection corroboration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Photovoltaic temporal variation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,484 intervals / 328 days</w:t>
            </w:r>
          </w:p>
        </w:tc>
        <w:tc>
          <w:tcPr>
            <w:vAlign w:val="center"/>
            <w:tcMar>
              <w:top w:w="70" w:type="dxa"/>
              <w:bottom w:w="70" w:type="dxa"/>
              <w:start w:w="90" w:type="dxa"/>
              <w:end w:w="90" w:type="dxa"/>
            </w:tcMar>
          </w:tcPr>
          <w:p>
            <w:pPr>
              <w:pStyle w:val="Compact"/>
              <w:widowControl/>
              <w:spacing w:before="0" w:after="40" w:line="240" w:lineRule="auto"/>
              <w:jc w:val="left"/>
            </w:pPr>
            <m:oMath>
              <m:r>
                <m:t>r</m:t>
              </m:r>
              <m:r>
                <m:rPr>
                  <m:sty m:val="p"/>
                </m:rPr>
                <m:t>=</m:t>
              </m:r>
              <m:r>
                <m:t>0.982</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0.979, 0.984</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absolute scale not comparable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production versus distribution injection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Municipal load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,183 pairs / 199 municipalities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0.881</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0.841, 0.910</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 weak spatial</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substation peak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pairs / 397 stations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0.957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0.946, 0.967</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power closure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,492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w:t>
            </w:r>
            <w:r>
              <w:rPr>
                <w:rFonts w:ascii="Times New Roman" w:hAnsi="Times New Roman" w:eastAsia="Times New Roman" w:cs="Times New Roman"/>
                <w:b w:val="0"/>
                <w:sz w:val="16"/>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Internal physical consistency</w:t>
            </w:r>
          </w:p>
        </w:tc>
      </w:tr>
    </w:tbl>
    <w:bookmarkStart w:id="72" w:name="X8af3d23067d2040a545ef6a70e5646d2951549b"/>
    <w:p>
      <w:pPr>
        <w:pStyle w:val="Heading3"/>
        <w:keepNext/>
        <w:keepLines/>
        <w:widowControl/>
      </w:pPr>
      <w:r>
        <w:rPr>
          <w:rFonts w:ascii="Times New Roman" w:hAnsi="Times New Roman" w:eastAsia="Times New Roman" w:cs="Times New Roman"/>
          <w:sz w:val="22"/>
        </w:rPr>
        <w:t xml:space="preserve">4.5.1 Station-Held-Out Spatial Reconstruction</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Test</w:t>
      </w:r>
    </w:p>
    <w:p>
      <w:pPr>
        <w:pStyle w:val="FirstParagraph"/>
        <w:widowControl/>
      </w:pPr>
      <w:r>
        <w:rPr>
          <w:rFonts w:ascii="Times New Roman" w:hAnsi="Times New Roman" w:eastAsia="Times New Roman" w:cs="Times New Roman"/>
          <w:sz w:val="21"/>
        </w:rPr>
        <w:t xml:space="preserve">A station-held-out experiment divides 394 matched stations into five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folds. At 22 times, it compares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five geographically nearest stations, and five nearest stations along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reconstructed network, yielding 8,541 observation pairs. Table 10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shows that network-neighbor MAE is approximately 9.9% below global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capacity share, but is not lower than geographic-neighbor MAE and has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overlapping confidence interval. Reconstructed connectivity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useful proximity information but does not independently recover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precise nodal demand. Supplementary Note S3 specifies folds, distance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weights, and bootstrap procedures.</w:t>
      </w:r>
    </w:p>
    <w:p>
      <w:pPr>
        <w:pStyle w:val="TableCaption"/>
        <w:keepNext/>
        <w:widowControl/>
      </w:pPr>
      <w:r>
        <w:rPr>
          <w:rFonts w:ascii="Times New Roman" w:hAnsi="Times New Roman" w:eastAsia="Times New Roman" w:cs="Times New Roman"/>
          <w:b/>
          <w:bCs/>
          <w:sz w:val="18"/>
        </w:rPr>
        <w:t xml:space="preserve">Table 10—Station-held-out spatial-allocation results.</w:t>
      </w:r>
    </w:p>
    <w:tbl>
      <w:tblPr>
        <w:tblStyle w:val="Table"/>
        <w:tblW w:type="pct" w:w="5000"/>
        <w:jc w:val="left"/>
        <w:tblLayout w:type="autofit"/>
        <w:tblLook w:firstRow="1" w:lastRow="0" w:firstColumn="0" w:lastColumn="0" w:noHBand="0" w:noVBand="0" w:val="0020"/>
      </w:tblPr>
      <w:tblGrid>
        <w:gridCol w:w="1584"/>
        <w:gridCol w:w="1584"/>
        <w:gridCol w:w="1584"/>
        <w:gridCol w:w="1584"/>
        <w:gridCol w:w="1584"/>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Method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Stations / observation pairs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MAE (MW), 95% CI</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RMSE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WAPE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4.412, 5.063</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geographic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3.972, 4.544</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network-path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3.971, 4.545</w:t>
            </w: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r>
    </w:tbl>
    <w:bookmarkEnd w:id="72"/>
    <w:bookmarkEnd w:id="73"/>
    <w:bookmarkStart w:id="77" w:name="Xdf888b7ddb85cba43fe512cdb83621541356905"/>
    <w:p>
      <w:pPr>
        <w:pStyle w:val="Heading2"/>
        <w:keepNext/>
        <w:keepLines/>
        <w:widowControl/>
      </w:pPr>
      <w:r>
        <w:rPr>
          <w:rFonts w:ascii="Times New Roman" w:hAnsi="Times New Roman" w:eastAsia="Times New Roman" w:cs="Times New Roman"/>
          <w:sz w:val="24"/>
        </w:rPr>
        <w:t xml:space="preserve">4.6 Generation Scope and Quantified Dependence on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Proxies</w:t>
      </w:r>
    </w:p>
    <w:p>
      <w:pPr>
        <w:pStyle w:val="FirstParagraph"/>
        <w:widowControl/>
      </w:pPr>
      <w:r>
        <w:rPr>
          <w:rFonts w:ascii="Times New Roman" w:hAnsi="Times New Roman" w:eastAsia="Times New Roman" w:cs="Times New Roman"/>
          <w:sz w:val="21"/>
        </w:rPr>
        <w:t xml:space="preserve">Directly observed load accounts for 67.93–74.93% of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the remaining 25.07–32.07% is allocated with PDIRT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profiles. National generation proxies account for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0.010–0.063% of monthly generation, but this national average hides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small technology classes. In May 2025, proxy shares reach 90.58%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batteries and 11.07% for other thermal generation. Aggregate 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therefore does not establish reliable local asset location.</w:t>
      </w:r>
    </w:p>
    <w:p>
      <w:pPr>
        <w:pStyle w:val="BodyText"/>
        <w:widowControl/>
      </w:pPr>
      <w:r>
        <w:rPr>
          <w:rFonts w:ascii="Times New Roman" w:hAnsi="Times New Roman" w:eastAsia="Times New Roman" w:cs="Times New Roman"/>
          <w:sz w:val="21"/>
        </w:rPr>
        <w:t xml:space="preserve">All non-rounding generation proxies are injected at one 400 kV receiving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 which represents a model balancing location only. Figure 8 shows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residuals, technology-level generation proxies,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spatial distribution by latitude band. Monthly values for eight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technologies, interval flags, and bus-level details are released as CSV.</w:t>
      </w:r>
    </w:p>
    <w:p>
      <w:pPr>
        <w:pStyle w:val="BodyText"/>
        <w:widowControl/>
      </w:pPr>
      <w:r>
        <w:rPr>
          <w:rFonts w:ascii="Times New Roman" w:hAnsi="Times New Roman" w:eastAsia="Times New Roman" w:cs="Times New Roman"/>
          <w:sz w:val="21"/>
        </w:rPr>
        <w:drawing>
          <wp:inline>
            <wp:extent cx="5623560" cy="6636020"/>
            <wp:effectExtent b="0" l="0" r="0" t="0"/>
            <wp:docPr descr="Figure 8—Temporal and spatial distribution of observed and proxy power. (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 title="Figure 8" id="75" name="Picture"/>
            <a:graphic>
              <a:graphicData uri="http://schemas.openxmlformats.org/drawingml/2006/picture">
                <pic:pic>
                  <pic:nvPicPr>
                    <pic:cNvPr descr="figures_final/fig10_proxy_provenance.png" id="76" name="Picture"/>
                    <pic:cNvPicPr>
                      <a:picLocks noChangeArrowheads="1" noChangeAspect="1"/>
                    </pic:cNvPicPr>
                  </pic:nvPicPr>
                  <pic:blipFill>
                    <a:blip r:embed="rId74"/>
                    <a:stretch>
                      <a:fillRect/>
                    </a:stretch>
                  </pic:blipFill>
                  <pic:spPr bwMode="auto">
                    <a:xfrm>
                      <a:off x="0" y="0"/>
                      <a:ext cx="5623560" cy="6636020"/>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8—Temporal and spatial distribution of observed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proxy power.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Observed consumption and the PDIRT-allocated residual;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 technology-level proxy shares for batteries and other thermal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generation; and (c) load-residual share by latitude band of receiving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buses. Panels use different denominators. Regions denote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locations in the model, not the true locations of missing assets.</w:t>
      </w:r>
    </w:p>
    <w:bookmarkEnd w:id="77"/>
    <w:bookmarkStart w:id="78" w:name="limitations"/>
    <w:p>
      <w:pPr>
        <w:pStyle w:val="Heading2"/>
        <w:keepNext/>
        <w:keepLines/>
        <w:widowControl/>
      </w:pPr>
      <w:r>
        <w:rPr>
          <w:rFonts w:ascii="Times New Roman" w:hAnsi="Times New Roman" w:eastAsia="Times New Roman" w:cs="Times New Roman"/>
          <w:sz w:val="24"/>
        </w:rPr>
        <w:t xml:space="preserve">4.7 Limitations</w:t>
      </w:r>
    </w:p>
    <w:p>
      <w:pPr>
        <w:pStyle w:val="FirstParagraph"/>
        <w:widowControl/>
      </w:pPr>
      <w:r>
        <w:rPr>
          <w:rFonts w:ascii="Times New Roman" w:hAnsi="Times New Roman" w:eastAsia="Times New Roman" w:cs="Times New Roman"/>
          <w:sz w:val="21"/>
        </w:rPr>
        <w:t xml:space="preserve">Validation supports aggregate temporal agreement, plausible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ranking, and numerical self-consistency. Parameter and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also show that system-wide trends are generally stable.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information remains insufficient to validate device-by-device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topology, branch flows, switching status, or generator capability.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convergence, and screening counts must therefore not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equipment-level accuracy of an operator network. SimPT60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intended for reproducible research cases, relative-risk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method testing. Real-time dispatch, protection settings, and formal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compliance assessment require contemporaneous operator-approved models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operating records.</w:t>
      </w:r>
    </w:p>
    <w:bookmarkEnd w:id="78"/>
    <w:bookmarkEnd w:id="79"/>
    <w:bookmarkStart w:id="88" w:name="application"/>
    <w:p>
      <w:pPr>
        <w:pStyle w:val="Heading1"/>
        <w:keepNext/>
        <w:keepLines/>
        <w:widowControl/>
      </w:pPr>
      <w:r>
        <w:rPr>
          <w:rFonts w:ascii="Times New Roman" w:hAnsi="Times New Roman" w:eastAsia="Times New Roman" w:cs="Times New Roman"/>
          <w:sz w:val="28"/>
        </w:rPr>
        <w:t xml:space="preserve">5. Application</w:t>
      </w:r>
    </w:p>
    <w:p>
      <w:pPr>
        <w:pStyle w:val="FirstParagraph"/>
        <w:widowControl/>
      </w:pPr>
      <w:r>
        <w:rPr>
          <w:rFonts w:ascii="Times New Roman" w:hAnsi="Times New Roman" w:eastAsia="Times New Roman" w:cs="Times New Roman"/>
          <w:sz w:val="21"/>
        </w:rPr>
        <w:t xml:space="preserve">Two compact experiments demonstrate deterministic scenario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batch contingency computation. They illustrate model use and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neither operational forecasts nor formal compliance assessments.</w:t>
      </w:r>
    </w:p>
    <w:bookmarkStart w:id="83" w:name="deterministic-grid-stress-scenario"/>
    <w:p>
      <w:pPr>
        <w:pStyle w:val="Heading2"/>
        <w:keepNext/>
        <w:keepLines/>
        <w:widowControl/>
      </w:pPr>
      <w:r>
        <w:rPr>
          <w:rFonts w:ascii="Times New Roman" w:hAnsi="Times New Roman" w:eastAsia="Times New Roman" w:cs="Times New Roman"/>
          <w:sz w:val="24"/>
        </w:rPr>
        <w:t xml:space="preserve">5.1 Deterministic Grid-Stress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Scenario</w:t>
      </w:r>
    </w:p>
    <w:p>
      <w:pPr>
        <w:pStyle w:val="FirstParagraph"/>
        <w:widowControl/>
      </w:pPr>
      <w:r>
        <w:rPr>
          <w:rFonts w:ascii="Times New Roman" w:hAnsi="Times New Roman" w:eastAsia="Times New Roman" w:cs="Times New Roman"/>
          <w:sz w:val="21"/>
        </w:rPr>
        <w:t xml:space="preserve">Starting from 2026-01-20 19:45 UTC, nodal load, generation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technology, and boundary exchange are scaled jointly from 0.90 to 1.15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solved independently. All five scenarios converge. Maximum line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loading is 96.10% at baseline, reaches 100.50% with three overloaded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lines at 1.05, and reaches 109.41% at 1.15. Minimum voltage remains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above 0.90 p.u. Figure 9 shows loading and voltage responses; exact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scenario results are released as CSV.</w:t>
      </w:r>
    </w:p>
    <w:p>
      <w:pPr>
        <w:pStyle w:val="BodyText"/>
        <w:widowControl/>
      </w:pPr>
      <w:r>
        <w:rPr>
          <w:rFonts w:ascii="Times New Roman" w:hAnsi="Times New Roman" w:eastAsia="Times New Roman" w:cs="Times New Roman"/>
          <w:sz w:val="21"/>
        </w:rPr>
        <w:drawing>
          <wp:inline>
            <wp:extent cx="5623560" cy="2460307"/>
            <wp:effectExtent b="0" l="0" r="0" t="0"/>
            <wp:docPr descr="Figure 9—Deterministic grid-stress response. (a) Maximum line and transformer loading; (b) minimum and maximum bus voltage. Dashed lines mark 100% line loading and the 0.90–1.10 p.u. screening band. Connecting lines guide the eye only." title="Figure 9" id="81" name="Picture"/>
            <a:graphic>
              <a:graphicData uri="http://schemas.openxmlformats.org/drawingml/2006/picture">
                <pic:pic>
                  <pic:nvPicPr>
                    <pic:cNvPr descr="figures_final/fig11_grid_stress.png" id="82" name="Picture"/>
                    <pic:cNvPicPr>
                      <a:picLocks noChangeArrowheads="1" noChangeAspect="1"/>
                    </pic:cNvPicPr>
                  </pic:nvPicPr>
                  <pic:blipFill>
                    <a:blip r:embed="rId80"/>
                    <a:stretch>
                      <a:fillRect/>
                    </a:stretch>
                  </pic:blipFill>
                  <pic:spPr bwMode="auto">
                    <a:xfrm>
                      <a:off x="0" y="0"/>
                      <a:ext cx="5623560" cy="2460307"/>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9—Deterministic grid-stress response.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Maximum line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and transformer loading; (b) minimum and maximum bus voltage. Dashed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mark 100% line loading and the 0.90–1.10 p.u. screening band.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Connecting lines guide the eye only.</w:t>
      </w:r>
    </w:p>
    <w:bookmarkEnd w:id="83"/>
    <w:bookmarkStart w:id="87" w:name="Xdc9db831fa22a8f31a41dbc15612011cd03584f"/>
    <w:p>
      <w:pPr>
        <w:pStyle w:val="Heading2"/>
        <w:keepNext/>
        <w:keepLines/>
        <w:widowControl/>
      </w:pPr>
      <w:r>
        <w:rPr>
          <w:rFonts w:ascii="Times New Roman" w:hAnsi="Times New Roman" w:eastAsia="Times New Roman" w:cs="Times New Roman"/>
          <w:sz w:val="24"/>
        </w:rPr>
        <w:t xml:space="preserve">5.2 Representative-Time Full-Element N−1</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Demonstration</w:t>
      </w:r>
    </w:p>
    <w:p>
      <w:pPr>
        <w:pStyle w:val="FirstParagraph"/>
        <w:widowControl/>
      </w:pPr>
      <w:r>
        <w:rPr>
          <w:rFonts w:ascii="Times New Roman" w:hAnsi="Times New Roman" w:eastAsia="Times New Roman" w:cs="Times New Roman"/>
          <w:sz w:val="21"/>
        </w:rPr>
        <w:t xml:space="preserve">Six times are selected in advance from the continuous series: maximum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minimum load, maximum wind, maximum photovoltaic generation, maximum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 import, and maximum net export. The same 1,649 contingencies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used at each time in N1-3787: 1,421 line-circuit groups and 228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 groups. Series model segments are removed together, while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one unit is removed from a parallel equivalent. Supplementary Table S8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specifies selection and exclusion rules.</w:t>
      </w:r>
    </w:p>
    <w:p>
      <w:pPr>
        <w:pStyle w:val="BodyText"/>
        <w:widowControl/>
      </w:pPr>
      <w:r>
        <w:rPr>
          <w:rFonts w:ascii="Times New Roman" w:hAnsi="Times New Roman" w:eastAsia="Times New Roman" w:cs="Times New Roman"/>
          <w:sz w:val="21"/>
        </w:rPr>
        <w:t xml:space="preserve">The six times produce 9,894 cases, of which 9,888 converge under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principal solution. Absolute screening passes 6,048 cases, and 9,064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cases have neither a new violation relative to N−0 nor a material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island. The latter is an auxiliary diagnostic; it does not identify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every worsening of a pre-existing violation and does not replace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absolute criteria. Figure 10 and Table 11 report the results; complete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membership and case-level outputs are preserved in the repository.</w:t>
      </w:r>
    </w:p>
    <w:p>
      <w:pPr>
        <w:pStyle w:val="BodyText"/>
        <w:widowControl/>
      </w:pPr>
      <w:r>
        <w:rPr>
          <w:rFonts w:ascii="Times New Roman" w:hAnsi="Times New Roman" w:eastAsia="Times New Roman" w:cs="Times New Roman"/>
          <w:sz w:val="21"/>
        </w:rPr>
        <w:drawing>
          <wp:inline>
            <wp:extent cx="5623560" cy="6482714"/>
            <wp:effectExtent b="0" l="0" r="0" t="0"/>
            <wp:docPr descr="Figure 10—Full-element N−1 screening at representative times. (a) Absolute and incremental diagnostics; (b) material islands, new violations, and principal-solution failures; (c–d) elements associated with the highest post-contingency line loading and largest disconnected load. Supplementary Note S4 defines the complete criteria and quantifies worsening of pre-existing violations." title="Figure 10" id="85" name="Picture"/>
            <a:graphic>
              <a:graphicData uri="http://schemas.openxmlformats.org/drawingml/2006/picture">
                <pic:pic>
                  <pic:nvPicPr>
                    <pic:cNvPr descr="figures_final/fig12_annual_nminus1.png" id="86" name="Picture"/>
                    <pic:cNvPicPr>
                      <a:picLocks noChangeArrowheads="1" noChangeAspect="1"/>
                    </pic:cNvPicPr>
                  </pic:nvPicPr>
                  <pic:blipFill>
                    <a:blip r:embed="rId84"/>
                    <a:stretch>
                      <a:fillRect/>
                    </a:stretch>
                  </pic:blipFill>
                  <pic:spPr bwMode="auto">
                    <a:xfrm>
                      <a:off x="0" y="0"/>
                      <a:ext cx="5623560" cy="648271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10—Full-element N−1 screening at representative times.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Absolute and incremental diagnostics; (b) material islands, new</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violations, and principal-solution failures; (c–d) elements associated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with the highest post-contingency line loading and largest disconnected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load. Supplementary Note S4 defines the complete criteria and quantifies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worsening of pre-existing violations.</w:t>
      </w:r>
    </w:p>
    <w:p>
      <w:pPr>
        <w:pStyle w:val="TableCaption"/>
        <w:keepNext/>
        <w:widowControl/>
      </w:pPr>
      <w:r>
        <w:rPr>
          <w:rFonts w:ascii="Times New Roman" w:hAnsi="Times New Roman" w:eastAsia="Times New Roman" w:cs="Times New Roman"/>
          <w:b/>
          <w:bCs/>
          <w:sz w:val="18"/>
        </w:rPr>
        <w:t xml:space="preserve">Table 11—Full-element N−1 results at six representative</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times.</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Principal solution converged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Absolute screen passed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No new violation and no material island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Material island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net export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,527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,527</w:t>
            </w:r>
          </w:p>
        </w:tc>
        <w:tc>
          <w:tcPr>
            <w:vAlign w:val="center"/>
            <w:tcMar>
              <w:top w:w="70" w:type="dxa"/>
              <w:bottom w:w="70" w:type="dxa"/>
              <w:start w:w="90" w:type="dxa"/>
              <w:end w:w="90" w:type="dxa"/>
            </w:tcMar>
          </w:tcPr>
          <w:p>
            <w:pPr>
              <w:pStyle w:val="Compact"/>
              <w:widowControl/>
              <w:spacing w:before="0" w:after="40" w:line="240" w:lineRule="auto"/>
              <w:jc w:val="left"/>
            </w:pP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net import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,455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,455</w:t>
            </w:r>
          </w:p>
        </w:tc>
        <w:tc>
          <w:tcPr>
            <w:vAlign w:val="center"/>
            <w:tcMar>
              <w:top w:w="70" w:type="dxa"/>
              <w:bottom w:w="70" w:type="dxa"/>
              <w:start w:w="90" w:type="dxa"/>
              <w:end w:w="90" w:type="dxa"/>
            </w:tcMar>
          </w:tcPr>
          <w:p>
            <w:pPr>
              <w:pStyle w:val="Compact"/>
              <w:widowControl/>
              <w:spacing w:before="0" w:after="40" w:line="240" w:lineRule="auto"/>
              <w:jc w:val="left"/>
            </w:pP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photovoltaic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,526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,526</w:t>
            </w:r>
          </w:p>
        </w:tc>
        <w:tc>
          <w:tcPr>
            <w:vAlign w:val="center"/>
            <w:tcMar>
              <w:top w:w="70" w:type="dxa"/>
              <w:bottom w:w="70" w:type="dxa"/>
              <w:start w:w="90" w:type="dxa"/>
              <w:end w:w="90" w:type="dxa"/>
            </w:tcMar>
          </w:tcPr>
          <w:p>
            <w:pPr>
              <w:pStyle w:val="Compact"/>
              <w:widowControl/>
              <w:spacing w:before="0" w:after="40" w:line="240" w:lineRule="auto"/>
              <w:jc w:val="left"/>
            </w:pP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wind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,647</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,502</w:t>
            </w:r>
          </w:p>
        </w:tc>
        <w:tc>
          <w:tcPr>
            <w:vAlign w:val="center"/>
            <w:tcMar>
              <w:top w:w="70" w:type="dxa"/>
              <w:bottom w:w="70" w:type="dxa"/>
              <w:start w:w="90" w:type="dxa"/>
              <w:end w:w="90" w:type="dxa"/>
            </w:tcMar>
          </w:tcPr>
          <w:p>
            <w:pPr>
              <w:pStyle w:val="Compact"/>
              <w:widowControl/>
              <w:spacing w:before="0" w:after="40" w:line="240" w:lineRule="auto"/>
              <w:jc w:val="left"/>
            </w:pP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Minimum load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,538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,538</w:t>
            </w:r>
          </w:p>
        </w:tc>
        <w:tc>
          <w:tcPr>
            <w:vAlign w:val="center"/>
            <w:tcMar>
              <w:top w:w="70" w:type="dxa"/>
              <w:bottom w:w="70" w:type="dxa"/>
              <w:start w:w="90" w:type="dxa"/>
              <w:end w:w="90" w:type="dxa"/>
            </w:tcMar>
          </w:tcPr>
          <w:p>
            <w:pPr>
              <w:pStyle w:val="Compact"/>
              <w:widowControl/>
              <w:spacing w:before="0" w:after="40" w:line="240" w:lineRule="auto"/>
              <w:jc w:val="left"/>
            </w:pP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load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,646</w:t>
            </w:r>
          </w:p>
        </w:tc>
        <w:tc>
          <w:tcPr>
            <w:vAlign w:val="center"/>
            <w:tcMar>
              <w:top w:w="70" w:type="dxa"/>
              <w:bottom w:w="70" w:type="dxa"/>
              <w:start w:w="90" w:type="dxa"/>
              <w:end w:w="90" w:type="dxa"/>
            </w:tcMar>
          </w:tcPr>
          <w:p>
            <w:pPr>
              <w:pStyle w:val="Compact"/>
              <w:widowControl/>
              <w:spacing w:before="0" w:after="40" w:line="240" w:lineRule="auto"/>
              <w:jc w:val="left"/>
            </w:pP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,516</w:t>
            </w:r>
          </w:p>
        </w:tc>
        <w:tc>
          <w:tcPr>
            <w:vAlign w:val="center"/>
            <w:tcMar>
              <w:top w:w="70" w:type="dxa"/>
              <w:bottom w:w="70" w:type="dxa"/>
              <w:start w:w="90" w:type="dxa"/>
              <w:end w:w="90" w:type="dxa"/>
            </w:tcMar>
          </w:tcPr>
          <w:p>
            <w:pPr>
              <w:pStyle w:val="Compact"/>
              <w:widowControl/>
              <w:spacing w:before="0" w:after="40" w:line="240" w:lineRule="auto"/>
              <w:jc w:val="left"/>
            </w:pP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Total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,894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,888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,048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,064</w:t>
            </w:r>
          </w:p>
        </w:tc>
        <w:tc>
          <w:tcPr>
            <w:vAlign w:val="center"/>
            <w:tcMar>
              <w:top w:w="70" w:type="dxa"/>
              <w:bottom w:w="70" w:type="dxa"/>
              <w:start w:w="90" w:type="dxa"/>
              <w:end w:w="90" w:type="dxa"/>
            </w:tcMar>
          </w:tcPr>
          <w:p>
            <w:pPr>
              <w:pStyle w:val="Compact"/>
              <w:widowControl/>
              <w:spacing w:before="0" w:after="40" w:line="240" w:lineRule="auto"/>
              <w:jc w:val="left"/>
            </w:pP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Absolute pass, no-new-violation/no-material-island,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material-island columns are computed separately and are not mutually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exclusive and exhaustive classes. At maximum net export, eight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additional non-islanding cases have new violations: seven line-thermal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one voltage violation. Together with 1,527 no-new-violation 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114 material islands, they account for all 1,649 cases.</w:t>
      </w:r>
    </w:p>
    <w:p>
      <w:pPr>
        <w:pStyle w:val="BodyText"/>
        <w:widowControl/>
      </w:pPr>
      <w:r>
        <w:rPr>
          <w:rFonts w:ascii="Times New Roman" w:hAnsi="Times New Roman" w:eastAsia="Times New Roman" w:cs="Times New Roman"/>
          <w:sz w:val="21"/>
        </w:rPr>
        <w:t xml:space="preserve">These applications support relative scenarios and diagnostic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screening. Equipment-level interpretation remains limited by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status, and control evidence summarized in Section 4.7.</w:t>
      </w:r>
    </w:p>
    <w:bookmarkEnd w:id="87"/>
    <w:bookmarkEnd w:id="88"/>
    <w:bookmarkStart w:id="89" w:name="conclusions"/>
    <w:p>
      <w:pPr>
        <w:pStyle w:val="Heading1"/>
        <w:keepNext/>
        <w:keepLines/>
        <w:widowControl/>
      </w:pPr>
      <w:r>
        <w:rPr>
          <w:rFonts w:ascii="Times New Roman" w:hAnsi="Times New Roman" w:eastAsia="Times New Roman" w:cs="Times New Roman"/>
          <w:sz w:val="28"/>
        </w:rPr>
        <w:t xml:space="preserve">6. Conclusions</w:t>
      </w:r>
    </w:p>
    <w:p>
      <w:pPr>
        <w:pStyle w:val="FirstParagraph"/>
        <w:widowControl/>
      </w:pPr>
      <w:r>
        <w:rPr>
          <w:rFonts w:ascii="Times New Roman" w:hAnsi="Times New Roman" w:eastAsia="Times New Roman" w:cs="Times New Roman"/>
          <w:sz w:val="21"/>
        </w:rPr>
        <w:t xml:space="preserve">SimPT60 links a public-data reconstruction of the continental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60–400 kV network to 31,492 consecutive 15-minute AC power-flow states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one traceable, versioned product. CORE-3783 contains 3,783 buses,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4,943 lines, and 228 transformer objects, connected to source records,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rules, and solution outputs by stable identifiers.</w:t>
      </w:r>
    </w:p>
    <w:p>
      <w:pPr>
        <w:pStyle w:val="BodyText"/>
        <w:widowControl/>
      </w:pPr>
      <w:r>
        <w:rPr>
          <w:rFonts w:ascii="Times New Roman" w:hAnsi="Times New Roman" w:eastAsia="Times New Roman" w:cs="Times New Roman"/>
          <w:sz w:val="21"/>
        </w:rPr>
        <w:t xml:space="preserve">Validation supports aggregate spatiotemporal agreement and numerical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self-consistency. National load and wind correlations are approximately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0.997 and 0.9998. Spearman correlations for municipal and substation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spatial rankings are 0.881 and 0.957. The station-held-out experiment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shows that network proximity improves on global capacity allocation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on geographic proximity. System-wide rankings are generally stable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under parameter and allocation perturbations, whereas individual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hotspots and absolute loading remain sensitive to proxy assumptions.</w:t>
      </w:r>
    </w:p>
    <w:p>
      <w:pPr>
        <w:pStyle w:val="BodyText"/>
        <w:widowControl/>
      </w:pPr>
      <w:r>
        <w:rPr>
          <w:rFonts w:ascii="Times New Roman" w:hAnsi="Times New Roman" w:eastAsia="Times New Roman" w:cs="Times New Roman"/>
          <w:sz w:val="21"/>
        </w:rPr>
        <w:t xml:space="preserve">The grid-stress scenarios and 9,894 N−1 cases at six representative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 demonstrate support for scenario analysis and batch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computation. These results compare model states and identify elements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for further investigation; they do not constitute security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certification.</w:t>
      </w:r>
    </w:p>
    <w:p>
      <w:pPr>
        <w:pStyle w:val="BodyText"/>
        <w:widowControl/>
      </w:pPr>
      <w:r>
        <w:rPr>
          <w:rFonts w:ascii="Times New Roman" w:hAnsi="Times New Roman" w:eastAsia="Times New Roman" w:cs="Times New Roman"/>
          <w:sz w:val="21"/>
        </w:rPr>
        <w:t xml:space="preserve">SimPT60 is a public-data-derived research dataset. It is not an operator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internal model, state estimate, or digital twin. Equipment-level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validation will require contemporaneous device status, generator P–Q</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capability, switching configuration, and post-contingency actions.</w:t>
      </w:r>
    </w:p>
    <w:bookmarkEnd w:id="89"/>
    <w:bookmarkStart w:id="91" w:name="data-availability"/>
    <w:p>
      <w:pPr>
        <w:pStyle w:val="Heading1"/>
        <w:keepNext/>
        <w:keepLines/>
        <w:widowControl/>
      </w:pPr>
      <w:r>
        <w:rPr>
          <w:rFonts w:ascii="Times New Roman" w:hAnsi="Times New Roman" w:eastAsia="Times New Roman" w:cs="Times New Roman"/>
          <w:sz w:val="28"/>
        </w:rPr>
        <w:t xml:space="preserve">Data Availability</w:t>
      </w:r>
    </w:p>
    <w:p>
      <w:pPr>
        <w:pStyle w:val="FirstParagraph"/>
        <w:widowControl/>
      </w:pPr>
      <w:r>
        <w:rPr>
          <w:rFonts w:ascii="Times New Roman" w:hAnsi="Times New Roman" w:eastAsia="Times New Roman" w:cs="Times New Roman"/>
          <w:sz w:val="21"/>
        </w:rPr>
        <w:t xml:space="preserve">The frozen</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is available from the</w:t>
      </w:r>
      <w:r>
        <w:rPr>
          <w:rFonts w:ascii="Times New Roman" w:hAnsi="Times New Roman" w:eastAsia="Times New Roman" w:cs="Times New Roman"/>
          <w:sz w:val="21"/>
        </w:rPr>
        <w:t xml:space="preserve"> </w:t>
      </w:r>
      <w:hyperlink r:id="rId90">
        <w:r>
          <w:rPr>
            <w:rStyle w:val="Hyperlink"/>
          </w:rPr>
          <w:t xml:space="preserve">project’s</w:t>
        </w:r>
        <w:r>
          <w:rPr>
            <w:rStyle w:val="Hyperlink"/>
          </w:rPr>
          <w:t xml:space="preserve"> </w:t>
        </w:r>
        <w:r>
          <w:rPr>
            <w:rStyle w:val="Hyperlink"/>
          </w:rPr>
          <w:t xml:space="preserve">versioned GitHub release</w:t>
        </w:r>
      </w:hyperlink>
      <w:r>
        <w:rPr>
          <w:rFonts w:ascii="Times New Roman" w:hAnsi="Times New Roman" w:eastAsia="Times New Roman" w:cs="Times New Roman"/>
          <w:sz w:val="21"/>
        </w:rPr>
        <w:t xml:space="preserve">. It contains the reproducibility core,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compressed monthly result databases, the monthly manifest,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Raw third-party files are redistributed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when their licences permit; otherwise, the release retains source URLs,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archived metadata, file sizes, fingerprints, and retrieval instructions.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release manifest identifies the CORE-3783 and N1-3787 model variants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their permitted uses.</w:t>
      </w:r>
    </w:p>
    <w:bookmarkEnd w:id="91"/>
    <w:bookmarkStart w:id="92" w:name="code-availability"/>
    <w:p>
      <w:pPr>
        <w:pStyle w:val="Heading1"/>
        <w:keepNext/>
        <w:keepLines/>
        <w:widowControl/>
      </w:pPr>
      <w:r>
        <w:rPr>
          <w:rFonts w:ascii="Times New Roman" w:hAnsi="Times New Roman" w:eastAsia="Times New Roman" w:cs="Times New Roman"/>
          <w:sz w:val="28"/>
        </w:rPr>
        <w:t xml:space="preserve">Code Availability</w:t>
      </w:r>
    </w:p>
    <w:p>
      <w:pPr>
        <w:pStyle w:val="FirstParagraph"/>
        <w:widowControl/>
        <w:jc w:val="left"/>
      </w:pPr>
      <w:r>
        <w:rPr>
          <w:rFonts w:ascii="Times New Roman" w:hAnsi="Times New Roman" w:eastAsia="Times New Roman" w:cs="Times New Roman"/>
          <w:sz w:val="21"/>
        </w:rPr>
        <w:t xml:space="preserve">Reproduction code, the locked Python environment, and the minimal replay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commands are included in the same</w:t>
      </w:r>
      <w:r>
        <w:rPr>
          <w:rFonts w:ascii="Times New Roman" w:hAnsi="Times New Roman" w:eastAsia="Times New Roman" w:cs="Times New Roman"/>
          <w:sz w:val="21"/>
        </w:rPr>
        <w:t xml:space="preserve"> </w:t>
      </w:r>
      <w:hyperlink r:id="rId90">
        <w:r>
          <w:rPr>
            <w:rStyle w:val="Hyperlink"/>
          </w:rPr>
          <w:t xml:space="preserve">SimPT60-2026.09.21-r1</w:t>
        </w:r>
        <w:r>
          <w:rPr>
            <w:rStyle w:val="Hyperlink"/>
          </w:rPr>
          <w:t xml:space="preserve"> </w:t>
        </w:r>
        <w:r>
          <w:rPr>
            <w:rStyle w:val="Hyperlink"/>
          </w:rPr>
          <w:t xml:space="preserve">release</w:t>
        </w:r>
      </w:hyperlink>
      <w:r>
        <w:rPr>
          <w:rFonts w:ascii="Times New Roman" w:hAnsi="Times New Roman" w:eastAsia="Times New Roman" w:cs="Times New Roman"/>
          <w:sz w:val="21"/>
        </w:rPr>
        <w:t xml:space="preserve">. The immutable tag fixes the release state, while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CODE_VERSION.json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implementation commit and the limitation that the original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runs did not store a code commit. The replay workflow verifies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selected released cases at a tolerance of</w:t>
      </w:r>
      <w:r>
        <w:rPr>
          <w:rFonts w:ascii="Times New Roman" w:hAnsi="Times New Roman" w:eastAsia="Times New Roman" w:cs="Times New Roman"/>
          <w:sz w:val="21"/>
        </w:rPr>
        <w:t xml:space="preserve"> </w:t>
      </w:r>
      <m:oMath>
        <m:sSup>
          <m:e>
            <m:r>
              <m:t>10</m:t>
            </m:r>
          </m:e>
          <m:sup>
            <m:r>
              <m:rPr>
                <m:sty m:val="p"/>
              </m:rPr>
              <m:t>−</m:t>
            </m:r>
            <m:r>
              <m:t>5</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units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each compared field.</w:t>
      </w:r>
    </w:p>
    <w:bookmarkEnd w:id="92"/>
    <w:bookmarkStart w:id="145" w:name="references"/>
    <w:p>
      <w:pPr>
        <w:pStyle w:val="Heading1"/>
        <w:keepNext/>
        <w:keepLines/>
        <w:widowControl/>
      </w:pPr>
      <w:r>
        <w:rPr>
          <w:rFonts w:ascii="Times New Roman" w:hAnsi="Times New Roman" w:eastAsia="Times New Roman" w:cs="Times New Roman"/>
          <w:sz w:val="28"/>
        </w:rPr>
        <w:t xml:space="preserve">References</w:t>
      </w:r>
    </w:p>
    <w:p>
      <w:pPr>
        <w:pStyle w:val="Bibliography"/>
        <w:widowControl/>
      </w:pPr>
      <w:bookmarkStart w:id="93" w:name="ref-APA3403"/>
      <w:bookmarkEnd w:id="93"/>
    </w:p>
    <w:p>
      <w:pPr>
        <w:pStyle w:val="Bibliography"/>
        <w:widowControl/>
      </w:pPr>
      <w:r>
        <w:rPr>
          <w:rFonts w:ascii="Times New Roman" w:hAnsi="Times New Roman" w:eastAsia="Times New Roman" w:cs="Times New Roman"/>
          <w:sz w:val="16"/>
        </w:rPr>
        <w:t xml:space="preserve">APA (2021).</w:t>
      </w:r>
      <w:r>
        <w:rPr>
          <w:rFonts w:ascii="Times New Roman" w:hAnsi="Times New Roman" w:eastAsia="Times New Roman" w:cs="Times New Roman"/>
          <w:sz w:val="16"/>
        </w:rPr>
        <w:t xml:space="preserve"> </w:t>
      </w:r>
      <w:hyperlink r:id="rId94">
        <w:r>
          <w:rPr>
            <w:rStyle w:val="Hyperlink"/>
          </w:rPr>
          <w:t xml:space="preserve">Sobreequipamento</w:t>
        </w:r>
        <w:r>
          <w:rPr>
            <w:rStyle w:val="Hyperlink"/>
          </w:rPr>
          <w:t xml:space="preserve"> </w:t>
        </w:r>
        <w:r>
          <w:rPr>
            <w:rStyle w:val="Hyperlink"/>
          </w:rPr>
          <w:t xml:space="preserve">do Parque Eólico de Trancoso: Parecer da Comissão de Avaliação, AIA</w:t>
        </w:r>
        <w:r>
          <w:rPr>
            <w:rStyle w:val="Hyperlink"/>
          </w:rPr>
          <w:t xml:space="preserve"> </w:t>
        </w:r>
        <w:r>
          <w:rPr>
            <w:rStyle w:val="Hyperlink"/>
          </w:rPr>
          <w:t xml:space="preserve">3403</w:t>
        </w:r>
      </w:hyperlink>
      <w:r>
        <w:rPr>
          <w:rFonts w:ascii="Times New Roman" w:hAnsi="Times New Roman" w:eastAsia="Times New Roman" w:cs="Times New Roman"/>
          <w:sz w:val="16"/>
        </w:rPr>
        <w:t xml:space="preserve">. July; PDF p. 5.</w:t>
      </w:r>
    </w:p>
    <w:p>
      <w:pPr>
        <w:pStyle w:val="Bibliography"/>
        <w:widowControl/>
      </w:pPr>
      <w:bookmarkStart w:id="95" w:name="ref-APAPPA421"/>
      <w:bookmarkEnd w:id="95"/>
    </w:p>
    <w:p>
      <w:pPr>
        <w:pStyle w:val="Bibliography"/>
        <w:widowControl/>
      </w:pPr>
      <w:r>
        <w:rPr>
          <w:rFonts w:ascii="Times New Roman" w:hAnsi="Times New Roman" w:eastAsia="Times New Roman" w:cs="Times New Roman"/>
          <w:sz w:val="16"/>
        </w:rPr>
        <w:t xml:space="preserve">APA (n.d.-a).</w:t>
      </w:r>
      <w:r>
        <w:rPr>
          <w:rFonts w:ascii="Times New Roman" w:hAnsi="Times New Roman" w:eastAsia="Times New Roman" w:cs="Times New Roman"/>
          <w:sz w:val="16"/>
        </w:rPr>
        <w:t xml:space="preserve"> </w:t>
      </w:r>
      <w:hyperlink r:id="rId96">
        <w:r>
          <w:rPr>
            <w:rStyle w:val="Hyperlink"/>
          </w:rPr>
          <w:t xml:space="preserve">PPA</w:t>
        </w:r>
        <w:r>
          <w:rPr>
            <w:rStyle w:val="Hyperlink"/>
          </w:rPr>
          <w:t xml:space="preserve"> </w:t>
        </w:r>
        <w:r>
          <w:rPr>
            <w:rStyle w:val="Hyperlink"/>
          </w:rPr>
          <w:t xml:space="preserve">421: Sub-Parque Eólico de Sernancelhe e ligação a Moimenta</w:t>
        </w:r>
      </w:hyperlink>
      <w:r>
        <w:rPr>
          <w:rFonts w:ascii="Times New Roman" w:hAnsi="Times New Roman" w:eastAsia="Times New Roman" w:cs="Times New Roman"/>
          <w:sz w:val="16"/>
        </w:rPr>
        <w:t xml:space="preserve">. AIA 2009;</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project-name and operation-date fields; archived 2026-09-21.</w:t>
      </w:r>
    </w:p>
    <w:p>
      <w:pPr>
        <w:pStyle w:val="Bibliography"/>
        <w:widowControl/>
      </w:pPr>
      <w:bookmarkStart w:id="97" w:name="ref-APAPPA407"/>
      <w:bookmarkEnd w:id="97"/>
    </w:p>
    <w:p>
      <w:pPr>
        <w:pStyle w:val="Bibliography"/>
        <w:widowControl/>
      </w:pPr>
      <w:r>
        <w:rPr>
          <w:rFonts w:ascii="Times New Roman" w:hAnsi="Times New Roman" w:eastAsia="Times New Roman" w:cs="Times New Roman"/>
          <w:sz w:val="16"/>
        </w:rPr>
        <w:t xml:space="preserve">APA (n.d.-b).</w:t>
      </w:r>
      <w:r>
        <w:rPr>
          <w:rFonts w:ascii="Times New Roman" w:hAnsi="Times New Roman" w:eastAsia="Times New Roman" w:cs="Times New Roman"/>
          <w:sz w:val="16"/>
        </w:rPr>
        <w:t xml:space="preserve"> </w:t>
      </w:r>
      <w:hyperlink r:id="rId98">
        <w:r>
          <w:rPr>
            <w:rStyle w:val="Hyperlink"/>
          </w:rPr>
          <w:t xml:space="preserve">PPA</w:t>
        </w:r>
        <w:r>
          <w:rPr>
            <w:rStyle w:val="Hyperlink"/>
          </w:rPr>
          <w:t xml:space="preserve"> </w:t>
        </w:r>
        <w:r>
          <w:rPr>
            <w:rStyle w:val="Hyperlink"/>
          </w:rPr>
          <w:t xml:space="preserve">407: Ligação do Douro Sul à Subestação de Armamar e Subestação de</w:t>
        </w:r>
        <w:r>
          <w:rPr>
            <w:rStyle w:val="Hyperlink"/>
          </w:rPr>
          <w:t xml:space="preserve"> </w:t>
        </w:r>
        <w:r>
          <w:rPr>
            <w:rStyle w:val="Hyperlink"/>
          </w:rPr>
          <w:t xml:space="preserve">Moimenta</w:t>
        </w:r>
      </w:hyperlink>
      <w:r>
        <w:rPr>
          <w:rFonts w:ascii="Times New Roman" w:hAnsi="Times New Roman" w:eastAsia="Times New Roman" w:cs="Times New Roman"/>
          <w:sz w:val="16"/>
        </w:rPr>
        <w:t xml:space="preserve">. AIA 2009; archived 2026-09-21.</w:t>
      </w:r>
    </w:p>
    <w:p>
      <w:pPr>
        <w:pStyle w:val="Bibliography"/>
        <w:widowControl/>
      </w:pPr>
      <w:bookmarkStart w:id="99" w:name="ref-DGEGPNEC2030Revision2024"/>
      <w:bookmarkEnd w:id="99"/>
    </w:p>
    <w:p>
      <w:pPr>
        <w:pStyle w:val="Bibliography"/>
        <w:widowControl/>
      </w:pPr>
      <w:r>
        <w:rPr>
          <w:rFonts w:ascii="Times New Roman" w:hAnsi="Times New Roman" w:eastAsia="Times New Roman" w:cs="Times New Roman"/>
          <w:sz w:val="16"/>
        </w:rPr>
        <w:t xml:space="preserve">DGEG (2024).</w:t>
      </w:r>
      <w:r>
        <w:rPr>
          <w:rFonts w:ascii="Times New Roman" w:hAnsi="Times New Roman" w:eastAsia="Times New Roman" w:cs="Times New Roman"/>
          <w:sz w:val="16"/>
        </w:rPr>
        <w:t xml:space="preserve"> </w:t>
      </w:r>
      <w:hyperlink r:id="rId100">
        <w:r>
          <w:rPr>
            <w:rStyle w:val="Hyperlink"/>
          </w:rPr>
          <w:t xml:space="preserve">Portugal:</w:t>
        </w:r>
        <w:r>
          <w:rPr>
            <w:rStyle w:val="Hyperlink"/>
          </w:rPr>
          <w:t xml:space="preserve"> </w:t>
        </w:r>
        <w:r>
          <w:rPr>
            <w:rStyle w:val="Hyperlink"/>
          </w:rPr>
          <w:t xml:space="preserve">Plano Nacional Energia e Clima 2021–2030, atualização/revisão</w:t>
        </w:r>
      </w:hyperlink>
      <w:r>
        <w:rPr>
          <w:rFonts w:ascii="Times New Roman" w:hAnsi="Times New Roman" w:eastAsia="Times New Roman" w:cs="Times New Roman"/>
          <w:sz w:val="16"/>
        </w:rPr>
        <w:t xml:space="preserve">. DGEG.</w:t>
      </w:r>
    </w:p>
    <w:p>
      <w:pPr>
        <w:pStyle w:val="Bibliography"/>
        <w:widowControl/>
      </w:pPr>
      <w:bookmarkStart w:id="101" w:name="ref-DGEGGeo2026"/>
      <w:bookmarkEnd w:id="101"/>
    </w:p>
    <w:p>
      <w:pPr>
        <w:pStyle w:val="Bibliography"/>
        <w:widowControl/>
      </w:pPr>
      <w:r>
        <w:rPr>
          <w:rFonts w:ascii="Times New Roman" w:hAnsi="Times New Roman" w:eastAsia="Times New Roman" w:cs="Times New Roman"/>
          <w:sz w:val="16"/>
        </w:rPr>
        <w:t xml:space="preserve">DGEG (n.d.).</w:t>
      </w:r>
      <w:r>
        <w:rPr>
          <w:rFonts w:ascii="Times New Roman" w:hAnsi="Times New Roman" w:eastAsia="Times New Roman" w:cs="Times New Roman"/>
          <w:sz w:val="16"/>
        </w:rPr>
        <w:t xml:space="preserve"> </w:t>
      </w:r>
      <w:hyperlink r:id="rId102">
        <w:r>
          <w:rPr>
            <w:rStyle w:val="Hyperlink"/>
          </w:rPr>
          <w:t xml:space="preserve">Informação</w:t>
        </w:r>
        <w:r>
          <w:rPr>
            <w:rStyle w:val="Hyperlink"/>
          </w:rPr>
          <w:t xml:space="preserve"> </w:t>
        </w:r>
        <w:r>
          <w:rPr>
            <w:rStyle w:val="Hyperlink"/>
          </w:rPr>
          <w:t xml:space="preserve">Geográfica de Energia Elétrica</w:t>
        </w:r>
      </w:hyperlink>
      <w:r>
        <w:rPr>
          <w:rFonts w:ascii="Times New Roman" w:hAnsi="Times New Roman" w:eastAsia="Times New Roman" w:cs="Times New Roman"/>
          <w:sz w:val="16"/>
        </w:rPr>
        <w:t xml:space="preserve">. Official geographic data portal.</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Accessed 2026-09-21.</w:t>
      </w:r>
    </w:p>
    <w:p>
      <w:pPr>
        <w:pStyle w:val="Bibliography"/>
        <w:widowControl/>
      </w:pPr>
      <w:bookmarkStart w:id="103" w:name="ref-Tocha2019"/>
      <w:bookmarkEnd w:id="103"/>
    </w:p>
    <w:p>
      <w:pPr>
        <w:pStyle w:val="Bibliography"/>
        <w:widowControl/>
      </w:pPr>
      <w:r>
        <w:rPr>
          <w:rFonts w:ascii="Times New Roman" w:hAnsi="Times New Roman" w:eastAsia="Times New Roman" w:cs="Times New Roman"/>
          <w:sz w:val="16"/>
        </w:rPr>
        <w:t xml:space="preserve">EDP Distribuição (2019).</w:t>
      </w:r>
      <w:r>
        <w:rPr>
          <w:rFonts w:ascii="Times New Roman" w:hAnsi="Times New Roman" w:eastAsia="Times New Roman" w:cs="Times New Roman"/>
          <w:sz w:val="16"/>
        </w:rPr>
        <w:t xml:space="preserve"> </w:t>
      </w:r>
      <w:hyperlink r:id="rId104">
        <w:r>
          <w:rPr>
            <w:rStyle w:val="Hyperlink"/>
          </w:rPr>
          <w:t xml:space="preserve">Memória</w:t>
        </w:r>
        <w:r>
          <w:rPr>
            <w:rStyle w:val="Hyperlink"/>
          </w:rPr>
          <w:t xml:space="preserve"> </w:t>
        </w:r>
        <w:r>
          <w:rPr>
            <w:rStyle w:val="Hyperlink"/>
          </w:rPr>
          <w:t xml:space="preserve">Descritiva e Justificativa: Linha a 60 kV PE Tocha II–Tocha</w:t>
        </w:r>
      </w:hyperlink>
      <w:r>
        <w:rPr>
          <w:rFonts w:ascii="Times New Roman" w:hAnsi="Times New Roman" w:eastAsia="Times New Roman" w:cs="Times New Roman"/>
          <w:sz w:val="16"/>
        </w:rPr>
        <w:t xml:space="preserve">. 19</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February; process 2800-19C007374; PDF pp. 3, 5.</w:t>
      </w:r>
    </w:p>
    <w:p>
      <w:pPr>
        <w:pStyle w:val="Bibliography"/>
        <w:widowControl/>
      </w:pPr>
      <w:bookmarkStart w:id="105" w:name="ref-EREDESPDIRD2020AnnexB"/>
      <w:bookmarkEnd w:id="105"/>
    </w:p>
    <w:p>
      <w:pPr>
        <w:pStyle w:val="Bibliography"/>
        <w:widowControl/>
      </w:pPr>
      <w:r>
        <w:rPr>
          <w:rFonts w:ascii="Times New Roman" w:hAnsi="Times New Roman" w:eastAsia="Times New Roman" w:cs="Times New Roman"/>
          <w:sz w:val="16"/>
        </w:rPr>
        <w:t xml:space="preserve">E-REDES; Entidade Reguladora dos Serviços Energéticos (2020).</w:t>
      </w:r>
      <w:r>
        <w:rPr>
          <w:rFonts w:ascii="Times New Roman" w:hAnsi="Times New Roman" w:eastAsia="Times New Roman" w:cs="Times New Roman"/>
          <w:sz w:val="16"/>
        </w:rPr>
        <w:t xml:space="preserve"> </w:t>
      </w:r>
      <w:hyperlink r:id="rId106">
        <w:r>
          <w:rPr>
            <w:rStyle w:val="Hyperlink"/>
          </w:rPr>
          <w:t xml:space="preserve">PDIRD-E</w:t>
        </w:r>
        <w:r>
          <w:rPr>
            <w:rStyle w:val="Hyperlink"/>
          </w:rPr>
          <w:t xml:space="preserve"> </w:t>
        </w:r>
        <w:r>
          <w:rPr>
            <w:rStyle w:val="Hyperlink"/>
          </w:rPr>
          <w:t xml:space="preserve">2020, Anexo B</w:t>
        </w:r>
      </w:hyperlink>
      <w:r>
        <w:rPr>
          <w:rFonts w:ascii="Times New Roman" w:hAnsi="Times New Roman" w:eastAsia="Times New Roman" w:cs="Times New Roman"/>
          <w:sz w:val="16"/>
        </w:rPr>
        <w:t xml:space="preserve">. ERSE. July version; northern circuit records: PDF</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pp. 93–95.</w:t>
      </w:r>
    </w:p>
    <w:p>
      <w:pPr>
        <w:pStyle w:val="Bibliography"/>
        <w:widowControl/>
      </w:pPr>
      <w:bookmarkStart w:id="107" w:name="ref-EREDESSubstationCapacity"/>
      <w:bookmarkEnd w:id="107"/>
    </w:p>
    <w:p>
      <w:pPr>
        <w:pStyle w:val="Bibliography"/>
        <w:widowControl/>
      </w:pPr>
      <w:r>
        <w:rPr>
          <w:rFonts w:ascii="Times New Roman" w:hAnsi="Times New Roman" w:eastAsia="Times New Roman" w:cs="Times New Roman"/>
          <w:sz w:val="16"/>
        </w:rPr>
        <w:t xml:space="preserve">E-REDES (n.d.-a).</w:t>
      </w:r>
      <w:r>
        <w:rPr>
          <w:rFonts w:ascii="Times New Roman" w:hAnsi="Times New Roman" w:eastAsia="Times New Roman" w:cs="Times New Roman"/>
          <w:sz w:val="16"/>
        </w:rPr>
        <w:t xml:space="preserve"> </w:t>
      </w:r>
      <w:hyperlink r:id="rId108">
        <w:r>
          <w:rPr>
            <w:rStyle w:val="Hyperlink"/>
          </w:rPr>
          <w:t xml:space="preserve">Carga</w:t>
        </w:r>
        <w:r>
          <w:rPr>
            <w:rStyle w:val="Hyperlink"/>
          </w:rPr>
          <w:t xml:space="preserve"> </w:t>
        </w:r>
        <w:r>
          <w:rPr>
            <w:rStyle w:val="Hyperlink"/>
          </w:rPr>
          <w:t xml:space="preserve">na subestação</w:t>
        </w:r>
      </w:hyperlink>
      <w:r>
        <w:rPr>
          <w:rFonts w:ascii="Times New Roman" w:hAnsi="Times New Roman" w:eastAsia="Times New Roman" w:cs="Times New Roman"/>
          <w:sz w:val="16"/>
        </w:rPr>
        <w:t xml:space="preserve">. E-REDES Open Data Portal. Accessed 2026-09-21.</w:t>
      </w:r>
    </w:p>
    <w:p>
      <w:pPr>
        <w:pStyle w:val="Bibliography"/>
        <w:widowControl/>
      </w:pPr>
      <w:bookmarkStart w:id="109" w:name="ref-EREDESNationalConsumption"/>
      <w:bookmarkEnd w:id="109"/>
    </w:p>
    <w:p>
      <w:pPr>
        <w:pStyle w:val="Bibliography"/>
        <w:widowControl/>
      </w:pPr>
      <w:r>
        <w:rPr>
          <w:rFonts w:ascii="Times New Roman" w:hAnsi="Times New Roman" w:eastAsia="Times New Roman" w:cs="Times New Roman"/>
          <w:sz w:val="16"/>
        </w:rPr>
        <w:t xml:space="preserve">E-REDES (n.d.-b).</w:t>
      </w:r>
      <w:r>
        <w:rPr>
          <w:rFonts w:ascii="Times New Roman" w:hAnsi="Times New Roman" w:eastAsia="Times New Roman" w:cs="Times New Roman"/>
          <w:sz w:val="16"/>
        </w:rPr>
        <w:t xml:space="preserve"> </w:t>
      </w:r>
      <w:hyperlink r:id="rId110">
        <w:r>
          <w:rPr>
            <w:rStyle w:val="Hyperlink"/>
          </w:rPr>
          <w:t xml:space="preserve">Consumo</w:t>
        </w:r>
        <w:r>
          <w:rPr>
            <w:rStyle w:val="Hyperlink"/>
          </w:rPr>
          <w:t xml:space="preserve"> </w:t>
        </w:r>
        <w:r>
          <w:rPr>
            <w:rStyle w:val="Hyperlink"/>
          </w:rPr>
          <w:t xml:space="preserve">total nacional</w:t>
        </w:r>
      </w:hyperlink>
      <w:r>
        <w:rPr>
          <w:rFonts w:ascii="Times New Roman" w:hAnsi="Times New Roman" w:eastAsia="Times New Roman" w:cs="Times New Roman"/>
          <w:sz w:val="16"/>
        </w:rPr>
        <w:t xml:space="preserve">. E-REDES Open Data Portal. Accessed 2026-09-21.</w:t>
      </w:r>
    </w:p>
    <w:p>
      <w:pPr>
        <w:pStyle w:val="Bibliography"/>
        <w:widowControl/>
      </w:pPr>
      <w:bookmarkStart w:id="111" w:name="ref-EREDESDistributionInjection"/>
      <w:bookmarkEnd w:id="111"/>
    </w:p>
    <w:p>
      <w:pPr>
        <w:pStyle w:val="Bibliography"/>
        <w:widowControl/>
      </w:pPr>
      <w:r>
        <w:rPr>
          <w:rFonts w:ascii="Times New Roman" w:hAnsi="Times New Roman" w:eastAsia="Times New Roman" w:cs="Times New Roman"/>
          <w:sz w:val="16"/>
        </w:rPr>
        <w:t xml:space="preserve">E-REDES (n.d.-c).</w:t>
      </w:r>
      <w:r>
        <w:rPr>
          <w:rFonts w:ascii="Times New Roman" w:hAnsi="Times New Roman" w:eastAsia="Times New Roman" w:cs="Times New Roman"/>
          <w:sz w:val="16"/>
        </w:rPr>
        <w:t xml:space="preserve"> </w:t>
      </w:r>
      <w:hyperlink r:id="rId112">
        <w:r>
          <w:rPr>
            <w:rStyle w:val="Hyperlink"/>
          </w:rPr>
          <w:t xml:space="preserve">Energia</w:t>
        </w:r>
        <w:r>
          <w:rPr>
            <w:rStyle w:val="Hyperlink"/>
          </w:rPr>
          <w:t xml:space="preserve"> </w:t>
        </w:r>
        <w:r>
          <w:rPr>
            <w:rStyle w:val="Hyperlink"/>
          </w:rPr>
          <w:t xml:space="preserve">injetada na rede de distribuição</w:t>
        </w:r>
      </w:hyperlink>
      <w:r>
        <w:rPr>
          <w:rFonts w:ascii="Times New Roman" w:hAnsi="Times New Roman" w:eastAsia="Times New Roman" w:cs="Times New Roman"/>
          <w:sz w:val="16"/>
        </w:rPr>
        <w:t xml:space="preserve">. E-REDES Open Data Portal. Accessed</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2026-09-21.</w:t>
      </w:r>
    </w:p>
    <w:p>
      <w:pPr>
        <w:pStyle w:val="Bibliography"/>
        <w:widowControl/>
      </w:pPr>
      <w:bookmarkStart w:id="113" w:name="ref-EREDESNationalProduction"/>
      <w:bookmarkEnd w:id="113"/>
    </w:p>
    <w:p>
      <w:pPr>
        <w:pStyle w:val="Bibliography"/>
        <w:widowControl/>
      </w:pPr>
      <w:r>
        <w:rPr>
          <w:rFonts w:ascii="Times New Roman" w:hAnsi="Times New Roman" w:eastAsia="Times New Roman" w:cs="Times New Roman"/>
          <w:sz w:val="16"/>
        </w:rPr>
        <w:t xml:space="preserve">E-REDES (n.d.-d).</w:t>
      </w:r>
      <w:r>
        <w:rPr>
          <w:rFonts w:ascii="Times New Roman" w:hAnsi="Times New Roman" w:eastAsia="Times New Roman" w:cs="Times New Roman"/>
          <w:sz w:val="16"/>
        </w:rPr>
        <w:t xml:space="preserve"> </w:t>
      </w:r>
      <w:hyperlink r:id="rId114">
        <w:r>
          <w:rPr>
            <w:rStyle w:val="Hyperlink"/>
          </w:rPr>
          <w:t xml:space="preserve">Energia</w:t>
        </w:r>
        <w:r>
          <w:rPr>
            <w:rStyle w:val="Hyperlink"/>
          </w:rPr>
          <w:t xml:space="preserve"> </w:t>
        </w:r>
        <w:r>
          <w:rPr>
            <w:rStyle w:val="Hyperlink"/>
          </w:rPr>
          <w:t xml:space="preserve">produzida total nacional</w:t>
        </w:r>
      </w:hyperlink>
      <w:r>
        <w:rPr>
          <w:rFonts w:ascii="Times New Roman" w:hAnsi="Times New Roman" w:eastAsia="Times New Roman" w:cs="Times New Roman"/>
          <w:sz w:val="16"/>
        </w:rPr>
        <w:t xml:space="preserve">. E-REDES Open Data Portal. Accessed</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2026-09-21.</w:t>
      </w:r>
    </w:p>
    <w:p>
      <w:pPr>
        <w:pStyle w:val="Bibliography"/>
        <w:widowControl/>
      </w:pPr>
      <w:bookmarkStart w:id="115" w:name="ref-EREDESMunicipalityConsumption"/>
      <w:bookmarkEnd w:id="115"/>
    </w:p>
    <w:p>
      <w:pPr>
        <w:pStyle w:val="Bibliography"/>
        <w:widowControl/>
      </w:pPr>
      <w:r>
        <w:rPr>
          <w:rFonts w:ascii="Times New Roman" w:hAnsi="Times New Roman" w:eastAsia="Times New Roman" w:cs="Times New Roman"/>
          <w:sz w:val="16"/>
        </w:rPr>
        <w:t xml:space="preserve">E-REDES (n.d.-e).</w:t>
      </w:r>
      <w:r>
        <w:rPr>
          <w:rFonts w:ascii="Times New Roman" w:hAnsi="Times New Roman" w:eastAsia="Times New Roman" w:cs="Times New Roman"/>
          <w:sz w:val="16"/>
        </w:rPr>
        <w:t xml:space="preserve"> </w:t>
      </w:r>
      <w:hyperlink r:id="rId116">
        <w:r>
          <w:rPr>
            <w:rStyle w:val="Hyperlink"/>
          </w:rPr>
          <w:t xml:space="preserve">Monthly</w:t>
        </w:r>
        <w:r>
          <w:rPr>
            <w:rStyle w:val="Hyperlink"/>
          </w:rPr>
          <w:t xml:space="preserve"> </w:t>
        </w:r>
        <w:r>
          <w:rPr>
            <w:rStyle w:val="Hyperlink"/>
          </w:rPr>
          <w:t xml:space="preserve">consumption by municipality</w:t>
        </w:r>
      </w:hyperlink>
      <w:r>
        <w:rPr>
          <w:rFonts w:ascii="Times New Roman" w:hAnsi="Times New Roman" w:eastAsia="Times New Roman" w:cs="Times New Roman"/>
          <w:sz w:val="16"/>
        </w:rPr>
        <w:t xml:space="preserve">. E-REDES Open Data Portal. Accessed</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2026-09-21.</w:t>
      </w:r>
    </w:p>
    <w:p>
      <w:pPr>
        <w:pStyle w:val="Bibliography"/>
        <w:widowControl/>
      </w:pPr>
      <w:bookmarkStart w:id="117" w:name="ref-EREDESRND2026"/>
      <w:bookmarkEnd w:id="117"/>
    </w:p>
    <w:p>
      <w:pPr>
        <w:pStyle w:val="Bibliography"/>
        <w:widowControl/>
      </w:pPr>
      <w:r>
        <w:rPr>
          <w:rFonts w:ascii="Times New Roman" w:hAnsi="Times New Roman" w:eastAsia="Times New Roman" w:cs="Times New Roman"/>
          <w:sz w:val="16"/>
        </w:rPr>
        <w:t xml:space="preserve">E-REDES (n.d.-f).</w:t>
      </w:r>
      <w:r>
        <w:rPr>
          <w:rFonts w:ascii="Times New Roman" w:hAnsi="Times New Roman" w:eastAsia="Times New Roman" w:cs="Times New Roman"/>
          <w:sz w:val="16"/>
        </w:rPr>
        <w:t xml:space="preserve"> </w:t>
      </w:r>
      <w:hyperlink r:id="rId118">
        <w:r>
          <w:rPr>
            <w:rStyle w:val="Hyperlink"/>
          </w:rPr>
          <w:t xml:space="preserve">Rede Nacional de</w:t>
        </w:r>
        <w:r>
          <w:rPr>
            <w:rStyle w:val="Hyperlink"/>
          </w:rPr>
          <w:t xml:space="preserve"> </w:t>
        </w:r>
        <w:r>
          <w:rPr>
            <w:rStyle w:val="Hyperlink"/>
          </w:rPr>
          <w:t xml:space="preserve">Distribuição: Dados da Rede AT e Cargas de Subestação</w:t>
        </w:r>
      </w:hyperlink>
      <w:r>
        <w:rPr>
          <w:rFonts w:ascii="Times New Roman" w:hAnsi="Times New Roman" w:eastAsia="Times New Roman" w:cs="Times New Roman"/>
          <w:sz w:val="16"/>
        </w:rPr>
        <w:t xml:space="preserve">. Open data</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portal. Accessed 2026-09-21.</w:t>
      </w:r>
    </w:p>
    <w:p>
      <w:pPr>
        <w:pStyle w:val="Bibliography"/>
        <w:widowControl/>
      </w:pPr>
      <w:bookmarkStart w:id="119" w:name="ref-GISCO2024"/>
      <w:bookmarkEnd w:id="119"/>
    </w:p>
    <w:p>
      <w:pPr>
        <w:pStyle w:val="Bibliography"/>
        <w:widowControl/>
      </w:pPr>
      <w:r>
        <w:rPr>
          <w:rFonts w:ascii="Times New Roman" w:hAnsi="Times New Roman" w:eastAsia="Times New Roman" w:cs="Times New Roman"/>
          <w:sz w:val="16"/>
        </w:rPr>
        <w:t xml:space="preserve">Eurostat GISCO (2024).</w:t>
      </w:r>
      <w:r>
        <w:rPr>
          <w:rFonts w:ascii="Times New Roman" w:hAnsi="Times New Roman" w:eastAsia="Times New Roman" w:cs="Times New Roman"/>
          <w:sz w:val="16"/>
        </w:rPr>
        <w:t xml:space="preserve"> </w:t>
      </w:r>
      <w:hyperlink r:id="rId120">
        <w:r>
          <w:rPr>
            <w:rStyle w:val="Hyperlink"/>
          </w:rPr>
          <w:t xml:space="preserve">Countries</w:t>
        </w:r>
        <w:r>
          <w:rPr>
            <w:rStyle w:val="Hyperlink"/>
          </w:rPr>
          <w:t xml:space="preserve"> </w:t>
        </w:r>
        <w:r>
          <w:rPr>
            <w:rStyle w:val="Hyperlink"/>
          </w:rPr>
          <w:t xml:space="preserve">2024: Portugal Boundary, 1:1 Million, EPSG:4326</w:t>
        </w:r>
      </w:hyperlink>
      <w:r>
        <w:rPr>
          <w:rFonts w:ascii="Times New Roman" w:hAnsi="Times New Roman" w:eastAsia="Times New Roman" w:cs="Times New Roman"/>
          <w:sz w:val="16"/>
        </w:rPr>
        <w:t xml:space="preserve">. Geospatial dataset.</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Accessed 2026-09-21.</w:t>
      </w:r>
    </w:p>
    <w:p>
      <w:pPr>
        <w:pStyle w:val="Bibliography"/>
        <w:widowControl/>
      </w:pPr>
      <w:bookmarkStart w:id="121" w:name="ref-GeoPandas2026"/>
      <w:bookmarkEnd w:id="121"/>
    </w:p>
    <w:p>
      <w:pPr>
        <w:pStyle w:val="Bibliography"/>
        <w:widowControl/>
      </w:pPr>
      <w:r>
        <w:rPr>
          <w:rFonts w:ascii="Times New Roman" w:hAnsi="Times New Roman" w:eastAsia="Times New Roman" w:cs="Times New Roman"/>
          <w:sz w:val="16"/>
        </w:rPr>
        <w:t xml:space="preserve">Fleischmann, Martin; Van den Bossche, Joris; Jordahl, Kelsey; Richards,</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Matthew John; McBride, James; Wasserman, Jacob; Ward, Brendan; Wolf,</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Levi John (2026).</w:t>
      </w:r>
      <w:r>
        <w:rPr>
          <w:rFonts w:ascii="Times New Roman" w:hAnsi="Times New Roman" w:eastAsia="Times New Roman" w:cs="Times New Roman"/>
          <w:sz w:val="16"/>
        </w:rPr>
        <w:t xml:space="preserve"> </w:t>
      </w:r>
      <w:hyperlink r:id="rId122">
        <w:r>
          <w:rPr>
            <w:rStyle w:val="Hyperlink"/>
          </w:rPr>
          <w:t xml:space="preserve">GeoPandas:</w:t>
        </w:r>
        <w:r>
          <w:rPr>
            <w:rStyle w:val="Hyperlink"/>
          </w:rPr>
          <w:t xml:space="preserve"> </w:t>
        </w:r>
        <w:r>
          <w:rPr>
            <w:rStyle w:val="Hyperlink"/>
          </w:rPr>
          <w:t xml:space="preserve">Fundamental Data Structures for Vector Spatial Data in Python</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Computers, Environment and Urban Systems</w:t>
      </w:r>
      <w:r>
        <w:rPr>
          <w:rFonts w:ascii="Times New Roman" w:hAnsi="Times New Roman" w:eastAsia="Times New Roman" w:cs="Times New Roman"/>
          <w:sz w:val="16"/>
        </w:rPr>
        <w:t xml:space="preserve">, 130, 102495.</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Author/year/DOI verified against the official GeoPandas CITATION.md and</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Crossref on 2026-09-21; assigned issue December 2026, not asserted as</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the online publication date.</w:t>
      </w:r>
    </w:p>
    <w:p>
      <w:pPr>
        <w:pStyle w:val="Bibliography"/>
        <w:widowControl/>
      </w:pPr>
      <w:bookmarkStart w:id="123" w:name="ref-GeofabrikPortugal2026"/>
      <w:bookmarkEnd w:id="123"/>
    </w:p>
    <w:p>
      <w:pPr>
        <w:pStyle w:val="Bibliography"/>
        <w:widowControl/>
      </w:pPr>
      <w:r>
        <w:rPr>
          <w:rFonts w:ascii="Times New Roman" w:hAnsi="Times New Roman" w:eastAsia="Times New Roman" w:cs="Times New Roman"/>
          <w:sz w:val="16"/>
        </w:rPr>
        <w:t xml:space="preserve">Geofabrik GmbH (n.d.).</w:t>
      </w:r>
      <w:r>
        <w:rPr>
          <w:rFonts w:ascii="Times New Roman" w:hAnsi="Times New Roman" w:eastAsia="Times New Roman" w:cs="Times New Roman"/>
          <w:sz w:val="16"/>
        </w:rPr>
        <w:t xml:space="preserve"> </w:t>
      </w:r>
      <w:hyperlink r:id="rId124">
        <w:r>
          <w:rPr>
            <w:rStyle w:val="Hyperlink"/>
          </w:rPr>
          <w:t xml:space="preserve">OpenStreetMap</w:t>
        </w:r>
        <w:r>
          <w:rPr>
            <w:rStyle w:val="Hyperlink"/>
          </w:rPr>
          <w:t xml:space="preserve"> </w:t>
        </w:r>
        <w:r>
          <w:rPr>
            <w:rStyle w:val="Hyperlink"/>
          </w:rPr>
          <w:t xml:space="preserve">Data Extract for Portugal</w:t>
        </w:r>
      </w:hyperlink>
      <w:r>
        <w:rPr>
          <w:rFonts w:ascii="Times New Roman" w:hAnsi="Times New Roman" w:eastAsia="Times New Roman" w:cs="Times New Roman"/>
          <w:sz w:val="16"/>
        </w:rPr>
        <w:t xml:space="preserve">. Geospatial data extract. Accessed</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2026-09-21.</w:t>
      </w:r>
    </w:p>
    <w:p>
      <w:pPr>
        <w:pStyle w:val="Bibliography"/>
        <w:widowControl/>
      </w:pPr>
      <w:bookmarkStart w:id="125" w:name="ref-Horsch2018"/>
      <w:bookmarkEnd w:id="125"/>
    </w:p>
    <w:p>
      <w:pPr>
        <w:pStyle w:val="Bibliography"/>
        <w:widowControl/>
      </w:pPr>
      <w:r>
        <w:rPr>
          <w:rFonts w:ascii="Times New Roman" w:hAnsi="Times New Roman" w:eastAsia="Times New Roman" w:cs="Times New Roman"/>
          <w:sz w:val="16"/>
        </w:rPr>
        <w:t xml:space="preserve">Hörsch, Jonas; Hofmann, Fabian; Schlachtberger, David; Brown, Tom</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(2018).</w:t>
      </w:r>
      <w:r>
        <w:rPr>
          <w:rFonts w:ascii="Times New Roman" w:hAnsi="Times New Roman" w:eastAsia="Times New Roman" w:cs="Times New Roman"/>
          <w:sz w:val="16"/>
        </w:rPr>
        <w:t xml:space="preserve"> </w:t>
      </w:r>
      <w:hyperlink r:id="rId126">
        <w:r>
          <w:rPr>
            <w:rStyle w:val="Hyperlink"/>
          </w:rPr>
          <w:t xml:space="preserve">PyPSA-Eur: An</w:t>
        </w:r>
        <w:r>
          <w:rPr>
            <w:rStyle w:val="Hyperlink"/>
          </w:rPr>
          <w:t xml:space="preserve"> </w:t>
        </w:r>
        <w:r>
          <w:rPr>
            <w:rStyle w:val="Hyperlink"/>
          </w:rPr>
          <w:t xml:space="preserve">Open Optimisation Model of the European Transmission System</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Energy Strategy Reviews</w:t>
      </w:r>
      <w:r>
        <w:rPr>
          <w:rFonts w:ascii="Times New Roman" w:hAnsi="Times New Roman" w:eastAsia="Times New Roman" w:cs="Times New Roman"/>
          <w:sz w:val="16"/>
        </w:rPr>
        <w:t xml:space="preserve">, 22, 207-215.</w:t>
      </w:r>
    </w:p>
    <w:p>
      <w:pPr>
        <w:pStyle w:val="Bibliography"/>
        <w:widowControl/>
      </w:pPr>
      <w:bookmarkStart w:id="127" w:name="ref-Meinecke2020"/>
      <w:bookmarkEnd w:id="127"/>
    </w:p>
    <w:p>
      <w:pPr>
        <w:pStyle w:val="Bibliography"/>
        <w:widowControl/>
      </w:pPr>
      <w:r>
        <w:rPr>
          <w:rFonts w:ascii="Times New Roman" w:hAnsi="Times New Roman" w:eastAsia="Times New Roman" w:cs="Times New Roman"/>
          <w:sz w:val="16"/>
        </w:rPr>
        <w:t xml:space="preserve">Meinecke, Steffen; Sarajlić, Džanan; Drauz, Simon Ruben; Klettke,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Annika; Lauven, Lars-Peter; Rehtanz, Christian; Moser, Albert; Braun,</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Martin (2020).</w:t>
      </w:r>
      <w:r>
        <w:rPr>
          <w:rFonts w:ascii="Times New Roman" w:hAnsi="Times New Roman" w:eastAsia="Times New Roman" w:cs="Times New Roman"/>
          <w:sz w:val="16"/>
        </w:rPr>
        <w:t xml:space="preserve"> </w:t>
      </w:r>
      <w:hyperlink r:id="rId128">
        <w:r>
          <w:rPr>
            <w:rStyle w:val="Hyperlink"/>
          </w:rPr>
          <w:t xml:space="preserve">SimBench—A</w:t>
        </w:r>
        <w:r>
          <w:rPr>
            <w:rStyle w:val="Hyperlink"/>
          </w:rPr>
          <w:t xml:space="preserve"> </w:t>
        </w:r>
        <w:r>
          <w:rPr>
            <w:rStyle w:val="Hyperlink"/>
          </w:rPr>
          <w:t xml:space="preserve">Benchmark Dataset of Electric Power Systems to Compare Innovative</w:t>
        </w:r>
        <w:r>
          <w:rPr>
            <w:rStyle w:val="Hyperlink"/>
          </w:rPr>
          <w:t xml:space="preserve"> </w:t>
        </w:r>
        <w:r>
          <w:rPr>
            <w:rStyle w:val="Hyperlink"/>
          </w:rPr>
          <w:t xml:space="preserve">Solutions Based on Power Flow Analysis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Energies</w:t>
      </w:r>
      <w:r>
        <w:rPr>
          <w:rFonts w:ascii="Times New Roman" w:hAnsi="Times New Roman" w:eastAsia="Times New Roman" w:cs="Times New Roman"/>
          <w:sz w:val="16"/>
        </w:rPr>
        <w:t xml:space="preserve">, 13(12), 3290.</w:t>
      </w:r>
    </w:p>
    <w:p>
      <w:pPr>
        <w:pStyle w:val="Bibliography"/>
        <w:widowControl/>
      </w:pPr>
      <w:bookmarkStart w:id="129" w:name="ref-OpenInfraMap2026"/>
      <w:bookmarkEnd w:id="129"/>
    </w:p>
    <w:p>
      <w:pPr>
        <w:pStyle w:val="Bibliography"/>
        <w:widowControl/>
      </w:pPr>
      <w:r>
        <w:rPr>
          <w:rFonts w:ascii="Times New Roman" w:hAnsi="Times New Roman" w:eastAsia="Times New Roman" w:cs="Times New Roman"/>
          <w:sz w:val="16"/>
        </w:rPr>
        <w:t xml:space="preserve">OpenInfraMap contributors (n.d.).</w:t>
      </w:r>
      <w:r>
        <w:rPr>
          <w:rFonts w:ascii="Times New Roman" w:hAnsi="Times New Roman" w:eastAsia="Times New Roman" w:cs="Times New Roman"/>
          <w:sz w:val="16"/>
        </w:rPr>
        <w:t xml:space="preserve"> </w:t>
      </w:r>
      <w:hyperlink r:id="rId130">
        <w:r>
          <w:rPr>
            <w:rStyle w:val="Hyperlink"/>
          </w:rPr>
          <w:t xml:space="preserve">OpenInfraMap</w:t>
        </w:r>
      </w:hyperlink>
      <w:r>
        <w:rPr>
          <w:rFonts w:ascii="Times New Roman" w:hAnsi="Times New Roman" w:eastAsia="Times New Roman" w:cs="Times New Roman"/>
          <w:sz w:val="16"/>
        </w:rPr>
        <w:t xml:space="preserve">. Web map of</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infrastructure data derived from OpenStreetMap. Accessed 2026-09-21.</w:t>
      </w:r>
    </w:p>
    <w:p>
      <w:pPr>
        <w:pStyle w:val="Bibliography"/>
        <w:widowControl/>
      </w:pPr>
      <w:bookmarkStart w:id="131" w:name="ref-OSM2026"/>
      <w:bookmarkEnd w:id="131"/>
    </w:p>
    <w:p>
      <w:pPr>
        <w:pStyle w:val="Bibliography"/>
        <w:widowControl/>
      </w:pPr>
      <w:r>
        <w:rPr>
          <w:rFonts w:ascii="Times New Roman" w:hAnsi="Times New Roman" w:eastAsia="Times New Roman" w:cs="Times New Roman"/>
          <w:sz w:val="16"/>
        </w:rPr>
        <w:t xml:space="preserve">OpenStreetMap contributors (n.d.).</w:t>
      </w:r>
      <w:r>
        <w:rPr>
          <w:rFonts w:ascii="Times New Roman" w:hAnsi="Times New Roman" w:eastAsia="Times New Roman" w:cs="Times New Roman"/>
          <w:sz w:val="16"/>
        </w:rPr>
        <w:t xml:space="preserve"> </w:t>
      </w:r>
      <w:hyperlink r:id="rId132">
        <w:r>
          <w:rPr>
            <w:rStyle w:val="Hyperlink"/>
          </w:rPr>
          <w:t xml:space="preserve">OpenStreetMap</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Collaborative geospatial database. Accessed 2026-09-21.</w:t>
      </w:r>
    </w:p>
    <w:p>
      <w:pPr>
        <w:pStyle w:val="Bibliography"/>
        <w:widowControl/>
      </w:pPr>
      <w:bookmarkStart w:id="133" w:name="ref-REE2012"/>
      <w:bookmarkEnd w:id="133"/>
    </w:p>
    <w:p>
      <w:pPr>
        <w:pStyle w:val="Bibliography"/>
        <w:widowControl/>
      </w:pPr>
      <w:r>
        <w:rPr>
          <w:rFonts w:ascii="Times New Roman" w:hAnsi="Times New Roman" w:eastAsia="Times New Roman" w:cs="Times New Roman"/>
          <w:sz w:val="16"/>
        </w:rPr>
        <w:t xml:space="preserve">Red Eléctrica de España (2012).</w:t>
      </w:r>
      <w:r>
        <w:rPr>
          <w:rFonts w:ascii="Times New Roman" w:hAnsi="Times New Roman" w:eastAsia="Times New Roman" w:cs="Times New Roman"/>
          <w:sz w:val="16"/>
        </w:rPr>
        <w:t xml:space="preserve"> </w:t>
      </w:r>
      <w:hyperlink r:id="rId134">
        <w:r>
          <w:rPr>
            <w:rStyle w:val="Hyperlink"/>
          </w:rPr>
          <w:t xml:space="preserve">Interconexiones</w:t>
        </w:r>
        <w:r>
          <w:rPr>
            <w:rStyle w:val="Hyperlink"/>
          </w:rPr>
          <w:t xml:space="preserve"> </w:t>
        </w:r>
        <w:r>
          <w:rPr>
            <w:rStyle w:val="Hyperlink"/>
          </w:rPr>
          <w:t xml:space="preserve">eléctricas: un paso para el mercado único de la energía en Europa</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September; PDF p. 10.</w:t>
      </w:r>
    </w:p>
    <w:p>
      <w:pPr>
        <w:pStyle w:val="Bibliography"/>
        <w:widowControl/>
      </w:pPr>
      <w:bookmarkStart w:id="135" w:name="ref-REN2015Estoi"/>
      <w:bookmarkEnd w:id="135"/>
    </w:p>
    <w:p>
      <w:pPr>
        <w:pStyle w:val="Bibliography"/>
        <w:widowControl/>
      </w:pPr>
      <w:r>
        <w:rPr>
          <w:rFonts w:ascii="Times New Roman" w:hAnsi="Times New Roman" w:eastAsia="Times New Roman" w:cs="Times New Roman"/>
          <w:sz w:val="16"/>
        </w:rPr>
        <w:t xml:space="preserve">REN (2015).</w:t>
      </w:r>
      <w:r>
        <w:rPr>
          <w:rFonts w:ascii="Times New Roman" w:hAnsi="Times New Roman" w:eastAsia="Times New Roman" w:cs="Times New Roman"/>
          <w:sz w:val="16"/>
        </w:rPr>
        <w:t xml:space="preserve"> </w:t>
      </w:r>
      <w:hyperlink r:id="rId136">
        <w:r>
          <w:rPr>
            <w:rStyle w:val="Hyperlink"/>
          </w:rPr>
          <w:t xml:space="preserve">PDIRT</w:t>
        </w:r>
        <w:r>
          <w:rPr>
            <w:rStyle w:val="Hyperlink"/>
          </w:rPr>
          <w:t xml:space="preserve"> </w:t>
        </w:r>
        <w:r>
          <w:rPr>
            <w:rStyle w:val="Hyperlink"/>
          </w:rPr>
          <w:t xml:space="preserve">2016–2025, Anexo 6: Equipamento em serviço previsto em finais de 2016,</w:t>
        </w:r>
        <w:r>
          <w:rPr>
            <w:rStyle w:val="Hyperlink"/>
          </w:rPr>
          <w:t xml:space="preserve"> </w:t>
        </w:r>
        <w:r>
          <w:rPr>
            <w:rStyle w:val="Hyperlink"/>
          </w:rPr>
          <w:t xml:space="preserve">2018, 2020 e 2025</w:t>
        </w:r>
      </w:hyperlink>
      <w:r>
        <w:rPr>
          <w:rFonts w:ascii="Times New Roman" w:hAnsi="Times New Roman" w:eastAsia="Times New Roman" w:cs="Times New Roman"/>
          <w:sz w:val="16"/>
        </w:rPr>
        <w:t xml:space="preserve">. Proposal archive; PDF pp. 50, 52, 54, 56. Year</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follows archive label, not a newly inferred issue date.</w:t>
      </w:r>
    </w:p>
    <w:p>
      <w:pPr>
        <w:pStyle w:val="Bibliography"/>
        <w:widowControl/>
      </w:pPr>
      <w:bookmarkStart w:id="137" w:name="ref-ERSEPDIRT2024"/>
      <w:bookmarkEnd w:id="137"/>
    </w:p>
    <w:p>
      <w:pPr>
        <w:pStyle w:val="Bibliography"/>
        <w:widowControl/>
      </w:pPr>
      <w:r>
        <w:rPr>
          <w:rFonts w:ascii="Times New Roman" w:hAnsi="Times New Roman" w:eastAsia="Times New Roman" w:cs="Times New Roman"/>
          <w:sz w:val="16"/>
        </w:rPr>
        <w:t xml:space="preserve">REN (2024).</w:t>
      </w:r>
      <w:r>
        <w:rPr>
          <w:rFonts w:ascii="Times New Roman" w:hAnsi="Times New Roman" w:eastAsia="Times New Roman" w:cs="Times New Roman"/>
          <w:sz w:val="16"/>
        </w:rPr>
        <w:t xml:space="preserve"> </w:t>
      </w:r>
      <w:hyperlink r:id="rId138">
        <w:r>
          <w:rPr>
            <w:rStyle w:val="Hyperlink"/>
          </w:rPr>
          <w:t xml:space="preserve">PDIRT</w:t>
        </w:r>
        <w:r>
          <w:rPr>
            <w:rStyle w:val="Hyperlink"/>
          </w:rPr>
          <w:t xml:space="preserve"> </w:t>
        </w:r>
        <w:r>
          <w:rPr>
            <w:rStyle w:val="Hyperlink"/>
          </w:rPr>
          <w:t xml:space="preserve">2025–2034, Proposta Inicial, Volume I, Anexos 1 a 16</w:t>
        </w:r>
      </w:hyperlink>
      <w:r>
        <w:rPr>
          <w:rFonts w:ascii="Times New Roman" w:hAnsi="Times New Roman" w:eastAsia="Times New Roman" w:cs="Times New Roman"/>
          <w:sz w:val="16"/>
        </w:rPr>
        <w:t xml:space="preserve">. ERSE (public</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consultation archive). December 2024 proposal; archived by ERSE.</w:t>
      </w:r>
    </w:p>
    <w:p>
      <w:pPr>
        <w:pStyle w:val="Bibliography"/>
        <w:widowControl/>
      </w:pPr>
      <w:bookmarkStart w:id="139" w:name="ref-RENDataHub2026"/>
      <w:bookmarkEnd w:id="139"/>
    </w:p>
    <w:p>
      <w:pPr>
        <w:pStyle w:val="Bibliography"/>
        <w:widowControl/>
      </w:pPr>
      <w:r>
        <w:rPr>
          <w:rFonts w:ascii="Times New Roman" w:hAnsi="Times New Roman" w:eastAsia="Times New Roman" w:cs="Times New Roman"/>
          <w:sz w:val="16"/>
        </w:rPr>
        <w:t xml:space="preserve">REN (n.d.).</w:t>
      </w:r>
      <w:r>
        <w:rPr>
          <w:rFonts w:ascii="Times New Roman" w:hAnsi="Times New Roman" w:eastAsia="Times New Roman" w:cs="Times New Roman"/>
          <w:sz w:val="16"/>
        </w:rPr>
        <w:t xml:space="preserve"> </w:t>
      </w:r>
      <w:hyperlink r:id="rId140">
        <w:r>
          <w:rPr>
            <w:rStyle w:val="Hyperlink"/>
          </w:rPr>
          <w:t xml:space="preserve">Electrical</w:t>
        </w:r>
        <w:r>
          <w:rPr>
            <w:rStyle w:val="Hyperlink"/>
          </w:rPr>
          <w:t xml:space="preserve"> </w:t>
        </w:r>
        <w:r>
          <w:rPr>
            <w:rStyle w:val="Hyperlink"/>
          </w:rPr>
          <w:t xml:space="preserve">Grid Data Hub</w:t>
        </w:r>
      </w:hyperlink>
      <w:r>
        <w:rPr>
          <w:rFonts w:ascii="Times New Roman" w:hAnsi="Times New Roman" w:eastAsia="Times New Roman" w:cs="Times New Roman"/>
          <w:sz w:val="16"/>
        </w:rPr>
        <w:t xml:space="preserve">. Official data portal. Accessed 2026-09-21.</w:t>
      </w:r>
    </w:p>
    <w:p>
      <w:pPr>
        <w:pStyle w:val="Bibliography"/>
        <w:widowControl/>
      </w:pPr>
      <w:bookmarkStart w:id="141" w:name="ref-Thurner2018"/>
      <w:bookmarkEnd w:id="141"/>
    </w:p>
    <w:p>
      <w:pPr>
        <w:pStyle w:val="Bibliography"/>
        <w:widowControl/>
      </w:pPr>
      <w:r>
        <w:rPr>
          <w:rFonts w:ascii="Times New Roman" w:hAnsi="Times New Roman" w:eastAsia="Times New Roman" w:cs="Times New Roman"/>
          <w:sz w:val="16"/>
        </w:rPr>
        <w:t xml:space="preserve">Thurner, Leon; Scheidler, Alexander; Schäfer, Florian; Menke,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Jan-Hendrik; Dollichon, Julian; Meier, Friederike; Meinecke, Steffen;</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Braun, Martin (2018).</w:t>
      </w:r>
      <w:r>
        <w:rPr>
          <w:rFonts w:ascii="Times New Roman" w:hAnsi="Times New Roman" w:eastAsia="Times New Roman" w:cs="Times New Roman"/>
          <w:sz w:val="16"/>
        </w:rPr>
        <w:t xml:space="preserve"> </w:t>
      </w:r>
      <w:hyperlink r:id="rId142">
        <w:r>
          <w:rPr>
            <w:rStyle w:val="Hyperlink"/>
          </w:rPr>
          <w:t xml:space="preserve">pandapower—An</w:t>
        </w:r>
        <w:r>
          <w:rPr>
            <w:rStyle w:val="Hyperlink"/>
          </w:rPr>
          <w:t xml:space="preserve"> </w:t>
        </w:r>
        <w:r>
          <w:rPr>
            <w:rStyle w:val="Hyperlink"/>
          </w:rPr>
          <w:t xml:space="preserve">Open-Source Python Tool for Convenient Modeling, Analysis, and</w:t>
        </w:r>
        <w:r>
          <w:rPr>
            <w:rStyle w:val="Hyperlink"/>
          </w:rPr>
          <w:t xml:space="preserve"> </w:t>
        </w:r>
        <w:r>
          <w:rPr>
            <w:rStyle w:val="Hyperlink"/>
          </w:rPr>
          <w:t xml:space="preserve">Optimization of Electric Power Systems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IEEE Transactions on</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Power Systems</w:t>
      </w:r>
      <w:r>
        <w:rPr>
          <w:rFonts w:ascii="Times New Roman" w:hAnsi="Times New Roman" w:eastAsia="Times New Roman" w:cs="Times New Roman"/>
          <w:sz w:val="16"/>
        </w:rPr>
        <w:t xml:space="preserve">, 33(6), 6510-6521.</w:t>
      </w:r>
    </w:p>
    <w:p>
      <w:pPr>
        <w:pStyle w:val="Bibliography"/>
        <w:widowControl/>
      </w:pPr>
      <w:bookmarkStart w:id="143" w:name="ref-Xiong2025"/>
      <w:bookmarkEnd w:id="143"/>
    </w:p>
    <w:p>
      <w:pPr>
        <w:pStyle w:val="Bibliography"/>
        <w:widowControl/>
      </w:pPr>
      <w:r>
        <w:rPr>
          <w:rFonts w:ascii="Times New Roman" w:hAnsi="Times New Roman" w:eastAsia="Times New Roman" w:cs="Times New Roman"/>
          <w:sz w:val="16"/>
        </w:rPr>
        <w:t xml:space="preserve">Xiong, Bobby; Fioriti, Davide; Neumann, Fabian; Riepin, Iegor; Brown,</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Tom (2025).</w:t>
      </w:r>
      <w:r>
        <w:rPr>
          <w:rFonts w:ascii="Times New Roman" w:hAnsi="Times New Roman" w:eastAsia="Times New Roman" w:cs="Times New Roman"/>
          <w:sz w:val="16"/>
        </w:rPr>
        <w:t xml:space="preserve"> </w:t>
      </w:r>
      <w:hyperlink r:id="rId144">
        <w:r>
          <w:rPr>
            <w:rStyle w:val="Hyperlink"/>
          </w:rPr>
          <w:t xml:space="preserve">Modelling</w:t>
        </w:r>
        <w:r>
          <w:rPr>
            <w:rStyle w:val="Hyperlink"/>
          </w:rPr>
          <w:t xml:space="preserve"> </w:t>
        </w:r>
        <w:r>
          <w:rPr>
            <w:rStyle w:val="Hyperlink"/>
          </w:rPr>
          <w:t xml:space="preserve">the High-Voltage Grid Using Open Data for Europe and Beyond</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Scientific Data</w:t>
      </w:r>
      <w:r>
        <w:rPr>
          <w:rFonts w:ascii="Times New Roman" w:hAnsi="Times New Roman" w:eastAsia="Times New Roman" w:cs="Times New Roman"/>
          <w:sz w:val="16"/>
        </w:rPr>
        <w:t xml:space="preserve">, 12(1), 277.</w:t>
      </w:r>
    </w:p>
    <w:bookmarkEnd w:id="145"/>
    <w:sectPr>
      <w:footerReference w:type="default" r:id="rId9"/>
      <w:pgSz w:w="12240" w:h="15840"/>
      <w:pgMar w:top="1440" w:bottom="1440" w:left="1440" w:right="1440" w:header="720" w:footer="72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view w:val="print"/>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styleId="BodyText" w:type="paragraph">
    <w:name w:val="Body Text"/>
    <w:basedOn w:val="Normal"/>
    <w:link w:val="BodyTextChar"/>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customStyle="1" w:styleId="FirstParagraph" w:type="paragraph">
    <w:name w:val="First Paragraph"/>
    <w:basedOn w:val="BodyText"/>
    <w:next w:val="BodyText"/>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customStyle="1" w:styleId="Compact" w:type="paragraph">
    <w:name w:val="Compact"/>
    <w:basedOn w:val="BodyText"/>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styleId="Title" w:type="paragraph">
    <w:name w:val="Title"/>
    <w:basedOn w:val="Normal"/>
    <w:next w:val="BodyText"/>
    <w:link w:val="TitleChar"/>
    <w:uiPriority w:val="10"/>
    <w:qFormat/>
    <w:rsid w:val="00A10FD9"/>
    <w:pPr>
      <w:keepNext/>
      <w:widowControl/>
      <w:spacing w:after="200" w:line="240"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pacing w:val="-10"/>
      <w:kern w:val="28"/>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widowControl/>
      <w:spacing w:before="0" w:after="60" w:line="240" w:lineRule="auto"/>
      <w:jc w:val="center"/>
    </w:pPr>
    <w:rPr>
      <w:rFonts w:ascii="Times New Roman" w:hAnsi="Times New Roman" w:eastAsia="Times New Roman" w:cs="Times New Roman"/>
      <w:b w:val="0"/>
      <w:i w:val="0"/>
      <w:color w:val="000000"/>
      <w:sz w:val="22"/>
    </w:rPr>
  </w:style>
  <w:style w:styleId="Date" w:type="paragraph">
    <w:name w:val="Date"/>
    <w:next w:val="BodyText"/>
    <w:qFormat/>
    <w:pPr>
      <w:keepNext/>
      <w:keepLines/>
      <w:widowControl/>
      <w:spacing w:before="0" w:after="180" w:line="240" w:lineRule="auto"/>
      <w:jc w:val="center"/>
    </w:pPr>
    <w:rPr>
      <w:rFonts w:ascii="Times New Roman" w:hAnsi="Times New Roman" w:eastAsia="Times New Roman" w:cs="Times New Roman"/>
      <w:b w:val="0"/>
      <w:i w:val="0"/>
      <w:color w:val="000000"/>
      <w:sz w:val="20"/>
    </w:rPr>
  </w:style>
  <w:style w:customStyle="1" w:styleId="AbstractTitle" w:type="paragraph">
    <w:name w:val="Abstract Title"/>
    <w:basedOn w:val="Normal"/>
    <w:next w:val="Abstract"/>
    <w:qFormat/>
    <w:pPr>
      <w:keepNext/>
      <w:keepLines/>
      <w:widowControl/>
      <w:spacing w:after="80" w:before="60" w:line="240" w:lineRule="auto"/>
      <w:jc w:val="center"/>
    </w:pPr>
    <w:rPr>
      <w:rFonts w:ascii="Times New Roman" w:hAnsi="Times New Roman" w:eastAsia="Times New Roman" w:cs="Times New Roman"/>
      <w:b/>
      <w:i w:val="0"/>
      <w:color w:val="000000"/>
      <w:sz w:val="22"/>
      <w:szCs w:val="20"/>
    </w:rPr>
  </w:style>
  <w:style w:customStyle="1" w:styleId="Abstract" w:type="paragraph">
    <w:name w:val="Abstract"/>
    <w:basedOn w:val="Normal"/>
    <w:next w:val="BodyText"/>
    <w:qFormat/>
    <w:pPr>
      <w:keepNext w:val="0"/>
      <w:keepLines/>
      <w:widowControl/>
      <w:spacing w:after="140" w:before="0" w:line="259" w:lineRule="auto"/>
      <w:jc w:val="both"/>
    </w:pPr>
    <w:rPr>
      <w:rFonts w:ascii="Times New Roman" w:hAnsi="Times New Roman" w:eastAsia="Times New Roman" w:cs="Times New Roman"/>
      <w:b w:val="0"/>
      <w:i w:val="0"/>
      <w:color w:val="000000"/>
      <w:sz w:val="20"/>
      <w:szCs w:val="20"/>
    </w:rPr>
  </w:style>
  <w:style w:styleId="Bibliography" w:type="paragraph">
    <w:name w:val="Bibliography"/>
    <w:basedOn w:val="Normal"/>
    <w:next w:val="Bibliography"/>
    <w:qFormat/>
    <w:pPr>
      <w:keepNext w:val="0"/>
      <w:widowControl/>
      <w:spacing w:before="0" w:after="20" w:line="228" w:lineRule="auto"/>
      <w:ind w:left="360" w:hanging="360"/>
      <w:jc w:val="left"/>
    </w:pPr>
    <w:rPr>
      <w:rFonts w:ascii="Times New Roman" w:hAnsi="Times New Roman" w:eastAsia="Times New Roman" w:cs="Times New Roman"/>
      <w:b w:val="0"/>
      <w:i w:val="0"/>
      <w:color w:val="000000"/>
      <w:sz w:val="16"/>
    </w:rPr>
  </w:style>
  <w:style w:styleId="Heading1" w:type="paragraph">
    <w:name w:val="heading 1"/>
    <w:basedOn w:val="Normal"/>
    <w:next w:val="BodyText"/>
    <w:link w:val="Heading1Char"/>
    <w:uiPriority w:val="9"/>
    <w:qFormat/>
    <w:rsid w:val="00A10FD9"/>
    <w:pPr>
      <w:keepNext/>
      <w:keepLines/>
      <w:widowControl/>
      <w:spacing w:after="120" w:before="280" w:line="240" w:lineRule="auto"/>
      <w:outlineLvl w:val="0"/>
    </w:pPr>
    <w:rPr>
      <w:rFonts w:asciiTheme="majorHAnsi" w:cstheme="majorBidi" w:eastAsiaTheme="majorEastAsia" w:hAnsiTheme="majorHAnsi" w:ascii="Times New Roman" w:hAnsi="Times New Roman" w:eastAsia="Times New Roman" w:cs="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200" w:line="240" w:lineRule="auto"/>
      <w:outlineLvl w:val="1"/>
    </w:pPr>
    <w:rPr>
      <w:rFonts w:asciiTheme="majorHAnsi" w:cstheme="majorBidi" w:eastAsiaTheme="majorEastAsia" w:hAnsiTheme="majorHAnsi" w:ascii="Times New Roman" w:hAnsi="Times New Roman" w:eastAsia="Times New Roman" w:cs="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widowControl/>
      <w:spacing w:after="60" w:before="160" w:line="240" w:lineRule="auto"/>
      <w:outlineLvl w:val="2"/>
    </w:pPr>
    <w:rPr>
      <w:rFonts w:cstheme="majorBidi" w:eastAsiaTheme="majorEastAsia" w:ascii="Times New Roman" w:hAnsi="Times New Roman" w:eastAsia="Times New Roman" w:cs="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widowControl/>
      <w:spacing w:after="80" w:before="120" w:line="240" w:lineRule="auto"/>
      <w:jc w:val="left"/>
    </w:pPr>
    <w:rPr>
      <w:rFonts w:ascii="Times New Roman" w:hAnsi="Times New Roman" w:eastAsia="Times New Roman" w:cs="Times New Roman"/>
      <w:b w:val="0"/>
      <w:i/>
      <w:color w:val="000000"/>
      <w:sz w:val="18"/>
    </w:rPr>
  </w:style>
  <w:style w:customStyle="1" w:styleId="TableCaption" w:type="paragraph">
    <w:name w:val="Table Caption"/>
    <w:basedOn w:val="Caption"/>
    <w:pPr>
      <w:keepNext/>
      <w:widowControl/>
      <w:spacing w:before="120" w:after="80" w:line="240" w:lineRule="auto"/>
      <w:jc w:val="left"/>
    </w:pPr>
    <w:rPr>
      <w:rFonts w:ascii="Times New Roman" w:hAnsi="Times New Roman" w:eastAsia="Times New Roman" w:cs="Times New Roman"/>
      <w:b w:val="0"/>
      <w:i/>
      <w:color w:val="000000"/>
      <w:sz w:val="18"/>
    </w:rPr>
  </w:style>
  <w:style w:customStyle="1" w:styleId="ImageCaption" w:type="paragraph">
    <w:name w:val="Image Caption"/>
    <w:basedOn w:val="Caption"/>
    <w:pPr>
      <w:keepNext w:val="0"/>
      <w:widowControl/>
      <w:spacing w:before="60" w:after="160" w:line="240" w:lineRule="auto"/>
      <w:jc w:val="both"/>
    </w:pPr>
    <w:rPr>
      <w:rFonts w:ascii="Times New Roman" w:hAnsi="Times New Roman" w:eastAsia="Times New Roman" w:cs="Times New Roman"/>
      <w:b w:val="0"/>
      <w:i/>
      <w:color w:val="000000"/>
      <w:sz w:val="18"/>
    </w:rPr>
  </w:style>
  <w:style w:customStyle="1" w:styleId="Figure" w:type="paragraph">
    <w:name w:val="Figure"/>
    <w:basedOn w:val="Normal"/>
  </w:style>
  <w:style w:customStyle="1" w:styleId="CaptionedFigure" w:type="paragraph">
    <w:name w:val="Captioned Figure"/>
    <w:basedOn w:val="Figure"/>
    <w:pPr>
      <w:keepNext/>
      <w:widowControl/>
      <w:spacing w:before="0" w:after="0" w:line="240" w:lineRule="auto"/>
      <w:jc w:val="center"/>
    </w:pPr>
    <w:rPr>
      <w:rFonts w:ascii="Times New Roman" w:hAnsi="Times New Roman" w:eastAsia="Times New Roman" w:cs="Times New Roman"/>
      <w:b w:val="0"/>
      <w:i w:val="0"/>
      <w:color w:val="000000"/>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Next w:val="0"/>
      <w:widowControl/>
      <w:wordWrap w:val="off"/>
      <w:spacing w:before="0" w:after="60" w:line="240" w:lineRule="auto"/>
    </w:pPr>
    <w:rPr>
      <w:rFonts w:ascii="Courier New" w:hAnsi="Courier New" w:eastAsia="Times New Roman" w:cs="Times New Roman"/>
      <w:b w:val="0"/>
      <w:i w:val="0"/>
      <w:color w:val="000000"/>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27" Type="http://schemas.openxmlformats.org/officeDocument/2006/relationships/image" Target="media/rId27.png"/><Relationship Id="rId43" Type="http://schemas.openxmlformats.org/officeDocument/2006/relationships/image" Target="media/rId43.png"/><Relationship Id="rId49" Type="http://schemas.openxmlformats.org/officeDocument/2006/relationships/image" Target="media/rId49.png"/><Relationship Id="rId57" Type="http://schemas.openxmlformats.org/officeDocument/2006/relationships/image" Target="media/rId57.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4" Type="http://schemas.openxmlformats.org/officeDocument/2006/relationships/image" Target="media/rId74.png"/><Relationship Id="rId80" Type="http://schemas.openxmlformats.org/officeDocument/2006/relationships/image" Target="media/rId80.png"/><Relationship Id="rId84" Type="http://schemas.openxmlformats.org/officeDocument/2006/relationships/image" Target="media/rId84.png"/><Relationship Id="rId140" Type="http://schemas.openxmlformats.org/officeDocument/2006/relationships/hyperlink" Target="https://datahub.ren.pt/en/networks/electrical-grid/" TargetMode="External"/><Relationship Id="rId122" Type="http://schemas.openxmlformats.org/officeDocument/2006/relationships/hyperlink" Target="https://doi.org/10.1016/j.compenvurbsys.2026.102495" TargetMode="External"/><Relationship Id="rId126" Type="http://schemas.openxmlformats.org/officeDocument/2006/relationships/hyperlink" Target="https://doi.org/10.1016/j.esr.2018.08.012" TargetMode="External"/><Relationship Id="rId144" Type="http://schemas.openxmlformats.org/officeDocument/2006/relationships/hyperlink" Target="https://doi.org/10.1038/s41597-025-04550-7" TargetMode="External"/><Relationship Id="rId142" Type="http://schemas.openxmlformats.org/officeDocument/2006/relationships/hyperlink" Target="https://doi.org/10.1109/TPWRS.2018.2829021" TargetMode="External"/><Relationship Id="rId128" Type="http://schemas.openxmlformats.org/officeDocument/2006/relationships/hyperlink" Target="https://doi.org/10.3390/en13123290" TargetMode="External"/><Relationship Id="rId124" Type="http://schemas.openxmlformats.org/officeDocument/2006/relationships/hyperlink" Target="https://download.geofabrik.de/europe/portugal.html" TargetMode="External"/><Relationship Id="rId116" Type="http://schemas.openxmlformats.org/officeDocument/2006/relationships/hyperlink" Target="https://e-redes.opendatasoft.com/explore/dataset/3-consumos-faturados-por-municipio-ultimos-10-anos/" TargetMode="External"/><Relationship Id="rId108" Type="http://schemas.openxmlformats.org/officeDocument/2006/relationships/hyperlink" Target="https://e-redes.opendatasoft.com/explore/dataset/carga-na-subestacao/" TargetMode="External"/><Relationship Id="rId110" Type="http://schemas.openxmlformats.org/officeDocument/2006/relationships/hyperlink" Target="https://e-redes.opendatasoft.com/explore/dataset/consumo-total-nacional/" TargetMode="External"/><Relationship Id="rId112" Type="http://schemas.openxmlformats.org/officeDocument/2006/relationships/hyperlink" Target="https://e-redes.opendatasoft.com/explore/dataset/energia-injetada-na-rede-de-distribuicao/" TargetMode="External"/><Relationship Id="rId114" Type="http://schemas.openxmlformats.org/officeDocument/2006/relationships/hyperlink" Target="https://e-redes.opendatasoft.com/explore/dataset/energia-produzida-total-nacional/" TargetMode="External"/><Relationship Id="rId118" Type="http://schemas.openxmlformats.org/officeDocument/2006/relationships/hyperlink" Target="https://e-redes.opendatasoft.com/pages/rnd/" TargetMode="External"/><Relationship Id="rId120" Type="http://schemas.openxmlformats.org/officeDocument/2006/relationships/hyperlink" Target="https://gisco-services.ec.europa.eu/distribution/v2/countries/" TargetMode="External"/><Relationship Id="rId90" Type="http://schemas.openxmlformats.org/officeDocument/2006/relationships/hyperlink" Target="https://github.com/MingLeiZhou/PortugueseOPD/releases/tag/SimPT60-2026.09.21-r1" TargetMode="External"/><Relationship Id="rId130" Type="http://schemas.openxmlformats.org/officeDocument/2006/relationships/hyperlink" Target="https://openinframap.org/about" TargetMode="External"/><Relationship Id="rId104" Type="http://schemas.openxmlformats.org/officeDocument/2006/relationships/hyperlink" Target="https://siaia.apambiente.pt/AIADOC/AIA3274/projeto%20linha%20eletrica%20pe%20tocha%20ii2019729153214.pdf" TargetMode="External"/><Relationship Id="rId94" Type="http://schemas.openxmlformats.org/officeDocument/2006/relationships/hyperlink" Target="https://siaia.apambiente.pt/AIADOC/AIA3403/parecerca_3403202192134944.pdf" TargetMode="External"/><Relationship Id="rId98" Type="http://schemas.openxmlformats.org/officeDocument/2006/relationships/hyperlink" Target="https://siaia.apambiente.pt/PosAvaliacao/DetalhesPosAvaliacao/407" TargetMode="External"/><Relationship Id="rId96" Type="http://schemas.openxmlformats.org/officeDocument/2006/relationships/hyperlink" Target="https://siaia.apambiente.pt/PosAvaliacao/DetalhesPosAvaliacao/421" TargetMode="External"/><Relationship Id="rId100" Type="http://schemas.openxmlformats.org/officeDocument/2006/relationships/hyperlink" Target="https://www.dgeg.gov.pt/media/54fldci3/pnec2030_para_aprov_ar.pdf" TargetMode="External"/><Relationship Id="rId102" Type="http://schemas.openxmlformats.org/officeDocument/2006/relationships/hyperlink" Target="https://www.dgeg.gov.pt/pt/servicos-online/setor-energetico/" TargetMode="External"/><Relationship Id="rId106" Type="http://schemas.openxmlformats.org/officeDocument/2006/relationships/hyperlink" Target="https://www.erse.pt/media/340hrot0/proposta-pdird-e-2020_anexo_b.pdf" TargetMode="External"/><Relationship Id="rId136" Type="http://schemas.openxmlformats.org/officeDocument/2006/relationships/hyperlink" Target="https://www.erse.pt/media/b1edmm30/proposta_pdirt_e_2015_anexos.pdf" TargetMode="External"/><Relationship Id="rId138" Type="http://schemas.openxmlformats.org/officeDocument/2006/relationships/hyperlink" Target="https://www.erse.pt/media/lx5n5kao/pdirt-2025-2034-proposta-inicial-vol-i-anexos-1-a-16.pdf" TargetMode="External"/><Relationship Id="rId132" Type="http://schemas.openxmlformats.org/officeDocument/2006/relationships/hyperlink" Target="https://www.openstreetmap.org/copyright" TargetMode="External"/><Relationship Id="rId134" Type="http://schemas.openxmlformats.org/officeDocument/2006/relationships/hyperlink" Target="https://www.ree.es/sites/default/files/jgk4byy3ukct.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0" Type="http://schemas.openxmlformats.org/officeDocument/2006/relationships/hyperlink" Target="https://datahub.ren.pt/en/networks/electrical-grid/" TargetMode="External"/><Relationship Id="rId122" Type="http://schemas.openxmlformats.org/officeDocument/2006/relationships/hyperlink" Target="https://doi.org/10.1016/j.compenvurbsys.2026.102495" TargetMode="External"/><Relationship Id="rId126" Type="http://schemas.openxmlformats.org/officeDocument/2006/relationships/hyperlink" Target="https://doi.org/10.1016/j.esr.2018.08.012" TargetMode="External"/><Relationship Id="rId144" Type="http://schemas.openxmlformats.org/officeDocument/2006/relationships/hyperlink" Target="https://doi.org/10.1038/s41597-025-04550-7" TargetMode="External"/><Relationship Id="rId142" Type="http://schemas.openxmlformats.org/officeDocument/2006/relationships/hyperlink" Target="https://doi.org/10.1109/TPWRS.2018.2829021" TargetMode="External"/><Relationship Id="rId128" Type="http://schemas.openxmlformats.org/officeDocument/2006/relationships/hyperlink" Target="https://doi.org/10.3390/en13123290" TargetMode="External"/><Relationship Id="rId124" Type="http://schemas.openxmlformats.org/officeDocument/2006/relationships/hyperlink" Target="https://download.geofabrik.de/europe/portugal.html" TargetMode="External"/><Relationship Id="rId116" Type="http://schemas.openxmlformats.org/officeDocument/2006/relationships/hyperlink" Target="https://e-redes.opendatasoft.com/explore/dataset/3-consumos-faturados-por-municipio-ultimos-10-anos/" TargetMode="External"/><Relationship Id="rId108" Type="http://schemas.openxmlformats.org/officeDocument/2006/relationships/hyperlink" Target="https://e-redes.opendatasoft.com/explore/dataset/carga-na-subestacao/" TargetMode="External"/><Relationship Id="rId110" Type="http://schemas.openxmlformats.org/officeDocument/2006/relationships/hyperlink" Target="https://e-redes.opendatasoft.com/explore/dataset/consumo-total-nacional/" TargetMode="External"/><Relationship Id="rId112" Type="http://schemas.openxmlformats.org/officeDocument/2006/relationships/hyperlink" Target="https://e-redes.opendatasoft.com/explore/dataset/energia-injetada-na-rede-de-distribuicao/" TargetMode="External"/><Relationship Id="rId114" Type="http://schemas.openxmlformats.org/officeDocument/2006/relationships/hyperlink" Target="https://e-redes.opendatasoft.com/explore/dataset/energia-produzida-total-nacional/" TargetMode="External"/><Relationship Id="rId118" Type="http://schemas.openxmlformats.org/officeDocument/2006/relationships/hyperlink" Target="https://e-redes.opendatasoft.com/pages/rnd/" TargetMode="External"/><Relationship Id="rId120" Type="http://schemas.openxmlformats.org/officeDocument/2006/relationships/hyperlink" Target="https://gisco-services.ec.europa.eu/distribution/v2/countries/" TargetMode="External"/><Relationship Id="rId90" Type="http://schemas.openxmlformats.org/officeDocument/2006/relationships/hyperlink" Target="https://github.com/MingLeiZhou/PortugueseOPD/releases/tag/SimPT60-2026.09.21-r1" TargetMode="External"/><Relationship Id="rId130" Type="http://schemas.openxmlformats.org/officeDocument/2006/relationships/hyperlink" Target="https://openinframap.org/about" TargetMode="External"/><Relationship Id="rId104" Type="http://schemas.openxmlformats.org/officeDocument/2006/relationships/hyperlink" Target="https://siaia.apambiente.pt/AIADOC/AIA3274/projeto%20linha%20eletrica%20pe%20tocha%20ii2019729153214.pdf" TargetMode="External"/><Relationship Id="rId94" Type="http://schemas.openxmlformats.org/officeDocument/2006/relationships/hyperlink" Target="https://siaia.apambiente.pt/AIADOC/AIA3403/parecerca_3403202192134944.pdf" TargetMode="External"/><Relationship Id="rId98" Type="http://schemas.openxmlformats.org/officeDocument/2006/relationships/hyperlink" Target="https://siaia.apambiente.pt/PosAvaliacao/DetalhesPosAvaliacao/407" TargetMode="External"/><Relationship Id="rId96" Type="http://schemas.openxmlformats.org/officeDocument/2006/relationships/hyperlink" Target="https://siaia.apambiente.pt/PosAvaliacao/DetalhesPosAvaliacao/421" TargetMode="External"/><Relationship Id="rId100" Type="http://schemas.openxmlformats.org/officeDocument/2006/relationships/hyperlink" Target="https://www.dgeg.gov.pt/media/54fldci3/pnec2030_para_aprov_ar.pdf" TargetMode="External"/><Relationship Id="rId102" Type="http://schemas.openxmlformats.org/officeDocument/2006/relationships/hyperlink" Target="https://www.dgeg.gov.pt/pt/servicos-online/setor-energetico/" TargetMode="External"/><Relationship Id="rId106" Type="http://schemas.openxmlformats.org/officeDocument/2006/relationships/hyperlink" Target="https://www.erse.pt/media/340hrot0/proposta-pdird-e-2020_anexo_b.pdf" TargetMode="External"/><Relationship Id="rId136" Type="http://schemas.openxmlformats.org/officeDocument/2006/relationships/hyperlink" Target="https://www.erse.pt/media/b1edmm30/proposta_pdirt_e_2015_anexos.pdf" TargetMode="External"/><Relationship Id="rId138" Type="http://schemas.openxmlformats.org/officeDocument/2006/relationships/hyperlink" Target="https://www.erse.pt/media/lx5n5kao/pdirt-2025-2034-proposta-inicial-vol-i-anexos-1-a-16.pdf" TargetMode="External"/><Relationship Id="rId132" Type="http://schemas.openxmlformats.org/officeDocument/2006/relationships/hyperlink" Target="https://www.openstreetmap.org/copyright" TargetMode="External"/><Relationship Id="rId134"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SimPT60: A Traceable Time-Series Power-Flow Dataset for Portugal's High-Voltage Grid</dc:title>
  <dc:creator/>
  <cp:keywords/>
  <dcterms:created xsi:type="dcterms:W3CDTF">2026-09-21T15:09:04Z</dcterms:created>
  <dcterms:modified xsi:type="dcterms:W3CDTF">2026-09-21T15:09:04Z</dcterms:modified>
  <cp:lastModifiedBy/>
  <dc:description>Editable submission manuscript export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N−1 contingency screening. SimPT60 is a public-data-derived research model and has not been validated as an operator network model at equipment level.Keywords: power-system dataset; Portugal; public data; grid reconstruction; power flow; time series; provenance; cross-source validation</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September 2026</vt:lpwstr>
  </property>
  <property fmtid="{D5CDD505-2E9C-101B-9397-08002B2CF9AE}" pid="6" name="reference-section-title">
    <vt:lpwstr>References</vt:lpwstr>
  </property>
</Properties>
</file>