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rId27.pdf" ContentType="application/pdf"/>
  <Override PartName="/word/media/rId43.pdf" ContentType="application/pdf"/>
  <Override PartName="/word/media/rId52.pdf" ContentType="application/pdf"/>
  <Override PartName="/word/media/rId57.pdf" ContentType="application/pdf"/>
  <Override PartName="/word/media/rId61.pdf" ContentType="application/pdf"/>
  <Override PartName="/word/media/rId65.pdf" ContentType="application/pdf"/>
  <Override PartName="/word/media/rId69.pdf" ContentType="application/pdf"/>
  <Override PartName="/word/media/rId74.pdf" ContentType="application/pd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widowControl/>
      </w:pPr>
      <w:r>
        <w:rPr>
          <w:rFonts w:ascii="Times New Roman" w:hAnsi="Times New Roman" w:eastAsia="Times New Roman" w:cs="Times New Roman"/>
          <w:sz w:val="36"/>
        </w:rPr>
        <w:t xml:space="preserve">A traceable time-series power-flow dataset for Portugal’s high-voltage grid</w:t>
      </w:r>
    </w:p>
    <w:p>
      <w:pPr>
        <w:pStyle w:val="AbstractTitle"/>
        <w:widowControl/>
      </w:pPr>
      <w:r>
        <w:rPr>
          <w:rFonts w:ascii="Times New Roman" w:hAnsi="Times New Roman" w:eastAsia="Times New Roman" w:cs="Times New Roman"/>
          <w:sz w:val="22"/>
        </w:rPr>
        <w:t xml:space="preserve">Abstract</w:t>
      </w:r>
    </w:p>
    <w:p>
      <w:pPr>
        <w:pStyle w:val="Abstract"/>
        <w:widowControl/>
      </w:pPr>
      <w:r>
        <w:rPr>
          <w:rFonts w:ascii="Times New Roman" w:hAnsi="Times New Roman" w:eastAsia="Times New Roman" w:cs="Times New Roman"/>
          <w:sz w:val="20"/>
        </w:rPr>
        <w:t xml:space="preserve">Publicly accessible power-system data are commonly fragmented across network structure, equipment attributes, and operating records, which limits their direct use in continuous power-flow analysis and method comparison. We present SimPT60, a research dataset reconstructed from multiple public sources for the continental Portuguese 60–400 kV grid and the Portugal–Spain interconnection boundary. SimPT60 organizes the static network, operating time series, and alternating-current power-flow results in a unified data framework. It provides continuous 15-minute operating cases, source-level provenance, and validation products for assessing model consistency. The dataset supports time-series power-flow studies, scenario comparison, relative-risk screening, and testing of grid-analysis algorithms. Its research utility is demonstrated using E-REDES public datasets that were withheld from nodal-power construction, parameter-sensitivity experiments, and single-element (N−1) contingency screening. SimPT60 is a public-data-derived research model and has not been validated as an operator network model at equipment level.</w:t>
      </w:r>
    </w:p>
    <w:bookmarkStart w:id="22" w:name="background-summary"/>
    <w:p>
      <w:pPr>
        <w:pStyle w:val="Heading1"/>
        <w:keepNext/>
        <w:keepLines/>
        <w:widowControl/>
      </w:pPr>
      <w:r>
        <w:rPr>
          <w:rFonts w:ascii="Times New Roman" w:hAnsi="Times New Roman" w:eastAsia="Times New Roman" w:cs="Times New Roman"/>
          <w:sz w:val="28"/>
        </w:rPr>
        <w:t xml:space="preserve">Background &amp; Summary</w:t>
      </w:r>
    </w:p>
    <w:p>
      <w:pPr>
        <w:pStyle w:val="FirstParagraph"/>
        <w:widowControl/>
      </w:pPr>
      <w:r>
        <w:rPr>
          <w:rFonts w:ascii="Times New Roman" w:hAnsi="Times New Roman" w:eastAsia="Times New Roman" w:cs="Times New Roman"/>
          <w:sz w:val="21"/>
        </w:rPr>
        <w:t xml:space="preserve">Power-flow simulation underpins many studies of grid operation, planning, and risk, and requires data that describe network topology, equipment attributes, and operating conditions</w:t>
      </w:r>
      <w:r>
        <w:rPr>
          <w:rFonts w:ascii="Times New Roman" w:hAnsi="Times New Roman" w:eastAsia="Times New Roman" w:cs="Times New Roman"/>
          <w:sz w:val="21"/>
          <w:vertAlign w:val="superscript"/>
        </w:rPr>
        <w:t xml:space="preserve">1</w:t>
      </w:r>
      <w:r>
        <w:rPr>
          <w:rFonts w:ascii="Times New Roman" w:hAnsi="Times New Roman" w:eastAsia="Times New Roman" w:cs="Times New Roman"/>
          <w:sz w:val="21"/>
        </w:rPr>
        <w:t xml:space="preserve">. As research moves from individual snapshots to time-series analysis, a static network must also be linked to continuous load, generation, and other operating records</w:t>
      </w:r>
      <w:r>
        <w:rPr>
          <w:rFonts w:ascii="Times New Roman" w:hAnsi="Times New Roman" w:eastAsia="Times New Roman" w:cs="Times New Roman"/>
          <w:sz w:val="21"/>
          <w:vertAlign w:val="superscript"/>
        </w:rPr>
        <w:t xml:space="preserve">2,3</w:t>
      </w:r>
      <w:r>
        <w:rPr>
          <w:rFonts w:ascii="Times New Roman" w:hAnsi="Times New Roman" w:eastAsia="Times New Roman" w:cs="Times New Roman"/>
          <w:sz w:val="21"/>
        </w:rPr>
        <w:t xml:space="preserve">.</w:t>
      </w:r>
    </w:p>
    <w:p>
      <w:pPr>
        <w:pStyle w:val="BodyText"/>
        <w:widowControl/>
      </w:pPr>
      <w:r>
        <w:rPr>
          <w:rFonts w:ascii="Times New Roman" w:hAnsi="Times New Roman" w:eastAsia="Times New Roman" w:cs="Times New Roman"/>
          <w:sz w:val="21"/>
        </w:rPr>
        <w:t xml:space="preserve">Several public resources already provide reusable grid models and benchmark datasets. PyPSA-Eur supplies a transmission-network model for European energy-system optimization and operational studies</w:t>
      </w:r>
      <w:r>
        <w:rPr>
          <w:rFonts w:ascii="Times New Roman" w:hAnsi="Times New Roman" w:eastAsia="Times New Roman" w:cs="Times New Roman"/>
          <w:sz w:val="21"/>
          <w:vertAlign w:val="superscript"/>
        </w:rPr>
        <w:t xml:space="preserve">2</w:t>
      </w:r>
      <w:r>
        <w:rPr>
          <w:rFonts w:ascii="Times New Roman" w:hAnsi="Times New Roman" w:eastAsia="Times New Roman" w:cs="Times New Roman"/>
          <w:sz w:val="21"/>
        </w:rPr>
        <w:t xml:space="preserve">. Recent open-data reconstruction work has expanded the geographic representation of the European high-voltage grid</w:t>
      </w:r>
      <w:r>
        <w:rPr>
          <w:rFonts w:ascii="Times New Roman" w:hAnsi="Times New Roman" w:eastAsia="Times New Roman" w:cs="Times New Roman"/>
          <w:sz w:val="21"/>
          <w:vertAlign w:val="superscript"/>
        </w:rPr>
        <w:t xml:space="preserve">4</w:t>
      </w:r>
      <w:r>
        <w:rPr>
          <w:rFonts w:ascii="Times New Roman" w:hAnsi="Times New Roman" w:eastAsia="Times New Roman" w:cs="Times New Roman"/>
          <w:sz w:val="21"/>
        </w:rPr>
        <w:t xml:space="preserve">. SimBench provides representative networks across several voltage levels together with annual load and generation profiles</w:t>
      </w:r>
      <w:r>
        <w:rPr>
          <w:rFonts w:ascii="Times New Roman" w:hAnsi="Times New Roman" w:eastAsia="Times New Roman" w:cs="Times New Roman"/>
          <w:sz w:val="21"/>
          <w:vertAlign w:val="superscript"/>
        </w:rPr>
        <w:t xml:space="preserve">3</w:t>
      </w:r>
      <w:r>
        <w:rPr>
          <w:rFonts w:ascii="Times New Roman" w:hAnsi="Times New Roman" w:eastAsia="Times New Roman" w:cs="Times New Roman"/>
          <w:sz w:val="21"/>
        </w:rPr>
        <w:t xml:space="preserve">. These resources support system optimization, network reconstruction, and method comparison, respectively, and provide an important basis for open power-system research.</w:t>
      </w:r>
    </w:p>
    <w:bookmarkStart w:id="20" w:name="motivation"/>
    <w:p>
      <w:pPr>
        <w:pStyle w:val="Heading2"/>
        <w:keepNext/>
        <w:keepLines/>
        <w:widowControl/>
      </w:pPr>
      <w:r>
        <w:rPr>
          <w:rFonts w:ascii="Times New Roman" w:hAnsi="Times New Roman" w:eastAsia="Times New Roman" w:cs="Times New Roman"/>
          <w:sz w:val="24"/>
        </w:rPr>
        <w:t xml:space="preserve">Motivation</w:t>
      </w:r>
    </w:p>
    <w:p>
      <w:pPr>
        <w:pStyle w:val="FirstParagraph"/>
        <w:widowControl/>
      </w:pPr>
      <w:r>
        <w:rPr>
          <w:rFonts w:ascii="Times New Roman" w:hAnsi="Times New Roman" w:eastAsia="Times New Roman" w:cs="Times New Roman"/>
          <w:sz w:val="21"/>
        </w:rPr>
        <w:t xml:space="preserve">Portugal’s National Energy and Climate Plan identifies renewable generation, storage, electrification, and cross-border interconnection as central elements of the energy transition</w:t>
      </w:r>
      <w:r>
        <w:rPr>
          <w:rFonts w:ascii="Times New Roman" w:hAnsi="Times New Roman" w:eastAsia="Times New Roman" w:cs="Times New Roman"/>
          <w:sz w:val="21"/>
          <w:vertAlign w:val="superscript"/>
        </w:rPr>
        <w:t xml:space="preserve">5</w:t>
      </w:r>
      <w:r>
        <w:rPr>
          <w:rFonts w:ascii="Times New Roman" w:hAnsi="Times New Roman" w:eastAsia="Times New Roman" w:cs="Times New Roman"/>
          <w:sz w:val="21"/>
        </w:rPr>
        <w:t xml:space="preserve">. These developments alter the scale and spatial distribution of generation and demand and therefore affect line flows, bus voltages, and system risk. Studying the time-varying behavior of the Portuguese grid consequently requires a data foundation that represents both network structure and continuous operating conditions.</w:t>
      </w:r>
    </w:p>
    <w:p>
      <w:pPr>
        <w:pStyle w:val="BodyText"/>
        <w:widowControl/>
      </w:pPr>
      <w:r>
        <w:rPr>
          <w:rFonts w:ascii="Times New Roman" w:hAnsi="Times New Roman" w:eastAsia="Times New Roman" w:cs="Times New Roman"/>
          <w:sz w:val="21"/>
        </w:rPr>
        <w:t xml:space="preserve">The relevant public records are distributed across E-REDES, Redes Energéticas Nacionais (REN), the Direção-Geral de Energia e Geologia (DGEG), the Entidade Reguladora dos Serviços Energéticos (ERSE), and open geospatial platforms</w:t>
      </w:r>
      <w:r>
        <w:rPr>
          <w:rFonts w:ascii="Times New Roman" w:hAnsi="Times New Roman" w:eastAsia="Times New Roman" w:cs="Times New Roman"/>
          <w:sz w:val="21"/>
          <w:vertAlign w:val="superscript"/>
        </w:rPr>
        <w:t xml:space="preserve">6–10</w:t>
      </w:r>
      <w:r>
        <w:rPr>
          <w:rFonts w:ascii="Times New Roman" w:hAnsi="Times New Roman" w:eastAsia="Times New Roman" w:cs="Times New Roman"/>
          <w:sz w:val="21"/>
        </w:rPr>
        <w:t xml:space="preserve">. Their spatial coverage, temporal resolution, identifiers, and field definitions differ. Using them in a common power-flow model requires topology reconstruction, completion of electrical parameters, asset-to-bus mapping, temporal alignment, and allocation of aggregate power to nodes.</w:t>
      </w:r>
    </w:p>
    <w:p>
      <w:pPr>
        <w:pStyle w:val="BodyText"/>
        <w:widowControl/>
      </w:pPr>
      <w:r>
        <w:rPr>
          <w:rFonts w:ascii="Times New Roman" w:hAnsi="Times New Roman" w:eastAsia="Times New Roman" w:cs="Times New Roman"/>
          <w:sz w:val="21"/>
        </w:rPr>
        <w:t xml:space="preserve">Existing resources also have different modelling objectives and scopes. European-scale models primarily address cross-regional system studies</w:t>
      </w:r>
      <w:r>
        <w:rPr>
          <w:rFonts w:ascii="Times New Roman" w:hAnsi="Times New Roman" w:eastAsia="Times New Roman" w:cs="Times New Roman"/>
          <w:sz w:val="21"/>
          <w:vertAlign w:val="superscript"/>
        </w:rPr>
        <w:t xml:space="preserve">2</w:t>
      </w:r>
      <w:r>
        <w:rPr>
          <w:rFonts w:ascii="Times New Roman" w:hAnsi="Times New Roman" w:eastAsia="Times New Roman" w:cs="Times New Roman"/>
          <w:sz w:val="21"/>
        </w:rPr>
        <w:t xml:space="preserve">; open high-voltage reconstructions focus mainly on AC networks at 220 kV and above</w:t>
      </w:r>
      <w:r>
        <w:rPr>
          <w:rFonts w:ascii="Times New Roman" w:hAnsi="Times New Roman" w:eastAsia="Times New Roman" w:cs="Times New Roman"/>
          <w:sz w:val="21"/>
          <w:vertAlign w:val="superscript"/>
        </w:rPr>
        <w:t xml:space="preserve">4</w:t>
      </w:r>
      <w:r>
        <w:rPr>
          <w:rFonts w:ascii="Times New Roman" w:hAnsi="Times New Roman" w:eastAsia="Times New Roman" w:cs="Times New Roman"/>
          <w:sz w:val="21"/>
        </w:rPr>
        <w:t xml:space="preserve">; and representative benchmarks do not describe the geographic Portuguese grid</w:t>
      </w:r>
      <w:r>
        <w:rPr>
          <w:rFonts w:ascii="Times New Roman" w:hAnsi="Times New Roman" w:eastAsia="Times New Roman" w:cs="Times New Roman"/>
          <w:sz w:val="21"/>
          <w:vertAlign w:val="superscript"/>
        </w:rPr>
        <w:t xml:space="preserve">3</w:t>
      </w:r>
      <w:r>
        <w:rPr>
          <w:rFonts w:ascii="Times New Roman" w:hAnsi="Times New Roman" w:eastAsia="Times New Roman" w:cs="Times New Roman"/>
          <w:sz w:val="21"/>
        </w:rPr>
        <w:t xml:space="preserve">. A public research resource that combines the continental Portuguese 60–400 kV network, 15-minute operating time series, solvable power-flow cases, and explicit provenance has therefore remained unavailable.</w:t>
      </w:r>
    </w:p>
    <w:p>
      <w:pPr>
        <w:pStyle w:val="BodyText"/>
        <w:widowControl/>
      </w:pPr>
      <w:r>
        <w:rPr>
          <w:rFonts w:ascii="Times New Roman" w:hAnsi="Times New Roman" w:eastAsia="Times New Roman" w:cs="Times New Roman"/>
          <w:sz w:val="21"/>
        </w:rPr>
        <w:t xml:space="preserve">This study develops a traceable, computationally usable Portuguese high-voltage grid dataset with continuous time-indexed cases for power-flow analysis, grid-risk screening, scenario comparison, and method testing.</w:t>
      </w:r>
    </w:p>
    <w:bookmarkEnd w:id="20"/>
    <w:bookmarkStart w:id="21" w:name="dataset-scope-and-contribution"/>
    <w:p>
      <w:pPr>
        <w:pStyle w:val="Heading2"/>
        <w:keepNext/>
        <w:keepLines/>
        <w:widowControl/>
      </w:pPr>
      <w:r>
        <w:rPr>
          <w:rFonts w:ascii="Times New Roman" w:hAnsi="Times New Roman" w:eastAsia="Times New Roman" w:cs="Times New Roman"/>
          <w:sz w:val="24"/>
        </w:rPr>
        <w:t xml:space="preserve">Dataset scope and contribution</w:t>
      </w:r>
    </w:p>
    <w:p>
      <w:pPr>
        <w:pStyle w:val="FirstParagraph"/>
        <w:widowControl/>
      </w:pPr>
      <w:r>
        <w:rPr>
          <w:rFonts w:ascii="Times New Roman" w:hAnsi="Times New Roman" w:eastAsia="Times New Roman" w:cs="Times New Roman"/>
          <w:sz w:val="21"/>
        </w:rPr>
        <w:t xml:space="preserve">SimPT60 reconstructs the continental Portuguese high-voltage grid from multiple public sources. It covers the 60, 130, 150, 220, and 400 kV networks and retains the boundary nodes required to represent Portugal–Spain interconnections. Raw sources, the static network, time-series inputs, power-flow results, and validation records are stored in linked layers so that users can trace key fields to their source and processing rule.</w:t>
      </w:r>
    </w:p>
    <w:p>
      <w:pPr>
        <w:pStyle w:val="BodyText"/>
        <w:widowControl/>
      </w:pPr>
      <w:r>
        <w:rPr>
          <w:rFonts w:ascii="Times New Roman" w:hAnsi="Times New Roman" w:eastAsia="Times New Roman" w:cs="Times New Roman"/>
          <w:sz w:val="21"/>
        </w:rPr>
        <w:t xml:space="preserve">The main contribution is a versioned data product that links a traceable public-data reconstruction of the continental Portuguese 60–400 kV grid to 31,492 consecutive and reproducible 15-minute AC power-flow states. Raw records, derived objects, and validation results remain separate but connected. Table 1 summarizes the scope, principal products, and interpretation boundaries; the Limitations subsection states the limitations.</w:t>
      </w:r>
    </w:p>
    <w:p>
      <w:pPr>
        <w:pStyle w:val="TableCaption"/>
        <w:keepNext/>
        <w:widowControl/>
      </w:pPr>
      <w:r>
        <w:rPr>
          <w:rFonts w:ascii="Times New Roman" w:hAnsi="Times New Roman" w:eastAsia="Times New Roman" w:cs="Times New Roman"/>
          <w:b/>
          <w:bCs/>
          <w:sz w:val="18"/>
        </w:rPr>
        <w:t xml:space="preserve">Table 1—Scope and data products of SimPT60.</w:t>
      </w:r>
    </w:p>
    <w:tbl>
      <w:tblPr>
        <w:tblStyle w:val="Table"/>
        <w:tblW w:type="pct" w:w="5000"/>
        <w:jc w:val="left"/>
        <w:tblLayout w:type="autofit"/>
        <w:tblLook w:firstRow="1" w:lastRow="0" w:firstColumn="0" w:lastColumn="0" w:noHBand="0" w:noVBand="0" w:val="0020"/>
      </w:tblPr>
      <w:tblGrid>
        <w:gridCol w:w="2640"/>
        <w:gridCol w:w="2640"/>
        <w:gridCol w:w="2640"/>
      </w:tblGrid>
      <w:tr>
        <w:trPr>
          <w:tblHeader w:val="on"/>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Dimension</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sz w:val="16"/>
              </w:rPr>
              <w:t xml:space="preserve">Scope or product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Interpretation boundary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Geography</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Continental Portugal and Portugal–Spain boundary endpoints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Excludes islands and distribution networks below 60 kV</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Voltage</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60, 130, 150, 220, and 400 kV</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Reconstructed from multiple public sources</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Time</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2025-05-01 to 2026-03-24; 15 min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Europe/Lisbon civil days; aligned in Coordinated Universal Time (UTC)</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Static network</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Buses, lines, transformers, assets, and geometry</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Public connection evidence and engineering proxies coexist</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Operating cases</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31,492 steady-state AC power-flow cases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Computed model states, not equipment telemetry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Distribution and provenance</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Main database, 11 monthly databases, raw-record locators, and source hashes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Source licensing and release snapshots are managed separately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Validation and scenario records</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External temporal/spatial comparisons, perturbation tests, and sampled N−1 screening</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Aggregate consistency does not establish equipment-level truth</w:t>
            </w:r>
          </w:p>
        </w:tc>
      </w:tr>
    </w:tbl>
    <w:p>
      <w:pPr>
        <w:pStyle w:val="BodyText"/>
        <w:widowControl/>
      </w:pPr>
      <w:r>
        <w:rPr>
          <w:rFonts w:ascii="Times New Roman" w:hAnsi="Times New Roman" w:eastAsia="Times New Roman" w:cs="Times New Roman"/>
          <w:b/>
          <w:bCs/>
          <w:sz w:val="21"/>
        </w:rPr>
        <w:t xml:space="preserve">Table note.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The Background &amp; Summary, Methods, and Data Records sections define the scope, construction rules, and data products.</w:t>
      </w:r>
    </w:p>
    <w:p>
      <w:pPr>
        <w:pStyle w:val="BodyText"/>
        <w:widowControl/>
      </w:pPr>
      <w:r>
        <w:rPr>
          <w:rFonts w:ascii="Times New Roman" w:hAnsi="Times New Roman" w:eastAsia="Times New Roman" w:cs="Times New Roman"/>
          <w:sz w:val="21"/>
        </w:rPr>
        <w:t xml:space="preserve">The following sections describe construction of the resource, the released records, and the checks used to establish technical quality. Reuse guidance and interpretation boundaries are provided in Usage Notes.</w:t>
      </w:r>
    </w:p>
    <w:bookmarkEnd w:id="21"/>
    <w:bookmarkEnd w:id="22"/>
    <w:bookmarkStart w:id="42" w:name="methods"/>
    <w:p>
      <w:pPr>
        <w:pStyle w:val="Heading1"/>
        <w:keepNext/>
        <w:keepLines/>
        <w:widowControl/>
      </w:pPr>
      <w:r>
        <w:rPr>
          <w:rFonts w:ascii="Times New Roman" w:hAnsi="Times New Roman" w:eastAsia="Times New Roman" w:cs="Times New Roman"/>
          <w:sz w:val="28"/>
        </w:rPr>
        <w:t xml:space="preserve">Methods</w:t>
      </w:r>
    </w:p>
    <w:p>
      <w:pPr>
        <w:pStyle w:val="FirstParagraph"/>
        <w:widowControl/>
      </w:pPr>
      <w:r>
        <w:rPr>
          <w:rFonts w:ascii="Times New Roman" w:hAnsi="Times New Roman" w:eastAsia="Times New Roman" w:cs="Times New Roman"/>
          <w:sz w:val="21"/>
        </w:rPr>
        <w:t xml:space="preserve">SimPT60 was constructed in five stages: archiving and standardizing public records; reconstructing the 60–400 kV static network; mapping assets and operating records to a common 15-minute calendar; generating and solving one AC power-flow case per interval; and storing the results in linked layers with explicit quality controls.</w:t>
      </w:r>
    </w:p>
    <w:bookmarkStart w:id="25" w:name="public-data-scope-and-standardization"/>
    <w:p>
      <w:pPr>
        <w:pStyle w:val="Heading2"/>
        <w:keepNext/>
        <w:keepLines/>
        <w:widowControl/>
      </w:pPr>
      <w:r>
        <w:rPr>
          <w:rFonts w:ascii="Times New Roman" w:hAnsi="Times New Roman" w:eastAsia="Times New Roman" w:cs="Times New Roman"/>
          <w:sz w:val="24"/>
        </w:rPr>
        <w:t xml:space="preserve">Public data scope and standardization</w:t>
      </w:r>
    </w:p>
    <w:bookmarkStart w:id="23" w:name="scope-and-sources"/>
    <w:p>
      <w:pPr>
        <w:pStyle w:val="Heading3"/>
        <w:keepNext/>
        <w:keepLines/>
        <w:widowControl/>
      </w:pPr>
      <w:r>
        <w:rPr>
          <w:rFonts w:ascii="Times New Roman" w:hAnsi="Times New Roman" w:eastAsia="Times New Roman" w:cs="Times New Roman"/>
          <w:sz w:val="22"/>
        </w:rPr>
        <w:t xml:space="preserve">Scope and sources</w:t>
      </w:r>
    </w:p>
    <w:p>
      <w:pPr>
        <w:pStyle w:val="FirstParagraph"/>
        <w:widowControl/>
      </w:pPr>
      <w:r>
        <w:rPr>
          <w:rFonts w:ascii="Times New Roman" w:hAnsi="Times New Roman" w:eastAsia="Times New Roman" w:cs="Times New Roman"/>
          <w:sz w:val="21"/>
        </w:rPr>
        <w:t xml:space="preserve">The geographic, voltage, and temporal scope is given in Table 1. Network geometry is drawn mainly from the E-REDES 60/130 kV network and the OpenStreetMap (OSM)/Geofabrik 150/220/400 kV network</w:t>
      </w:r>
      <w:r>
        <w:rPr>
          <w:rFonts w:ascii="Times New Roman" w:hAnsi="Times New Roman" w:eastAsia="Times New Roman" w:cs="Times New Roman"/>
          <w:sz w:val="21"/>
          <w:vertAlign w:val="superscript"/>
        </w:rPr>
        <w:t xml:space="preserve">11</w:t>
      </w:r>
      <w:r>
        <w:rPr>
          <w:rFonts w:ascii="Times New Roman" w:hAnsi="Times New Roman" w:eastAsia="Times New Roman" w:cs="Times New Roman"/>
          <w:sz w:val="21"/>
        </w:rPr>
        <w:t xml:space="preserve">. DGEG and Agência Portuguesa do Ambiente (APA) records supplement generation, storage, and connection evidence</w:t>
      </w:r>
      <w:r>
        <w:rPr>
          <w:rFonts w:ascii="Times New Roman" w:hAnsi="Times New Roman" w:eastAsia="Times New Roman" w:cs="Times New Roman"/>
          <w:sz w:val="21"/>
          <w:vertAlign w:val="superscript"/>
        </w:rPr>
        <w:t xml:space="preserve">8,12–14</w:t>
      </w:r>
      <w:r>
        <w:rPr>
          <w:rFonts w:ascii="Times New Roman" w:hAnsi="Times New Roman" w:eastAsia="Times New Roman" w:cs="Times New Roman"/>
          <w:sz w:val="21"/>
        </w:rPr>
        <w:t xml:space="preserve">. REN provides national 15-minute operating series, whereas E-REDES provides substation energy. The</w:t>
      </w:r>
      <w:r>
        <w:rPr>
          <w:rFonts w:ascii="Times New Roman" w:hAnsi="Times New Roman" w:eastAsia="Times New Roman" w:cs="Times New Roman"/>
          <w:sz w:val="21"/>
        </w:rPr>
        <w:t xml:space="preserve"> </w:t>
      </w:r>
      <w:r>
        <w:rPr>
          <w:rFonts w:ascii="Times New Roman" w:hAnsi="Times New Roman" w:eastAsia="Times New Roman" w:cs="Times New Roman"/>
          <w:i/>
          <w:iCs/>
          <w:sz w:val="21"/>
        </w:rPr>
        <w:t xml:space="preserve">Plano de Desenvolvimento e Investimento da Rede de Transporte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(PDIRT) and</w:t>
      </w:r>
      <w:r>
        <w:rPr>
          <w:rFonts w:ascii="Times New Roman" w:hAnsi="Times New Roman" w:eastAsia="Times New Roman" w:cs="Times New Roman"/>
          <w:sz w:val="21"/>
        </w:rPr>
        <w:t xml:space="preserve"> </w:t>
      </w:r>
      <w:r>
        <w:rPr>
          <w:rFonts w:ascii="Times New Roman" w:hAnsi="Times New Roman" w:eastAsia="Times New Roman" w:cs="Times New Roman"/>
          <w:i/>
          <w:iCs/>
          <w:sz w:val="21"/>
        </w:rPr>
        <w:t xml:space="preserve">Plano de Desenvolvimento e Investimento da Rede Nacional de Distribuição</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(PDIRD) provide delivery-point profiles and selected equipment parameters</w:t>
      </w:r>
      <w:r>
        <w:rPr>
          <w:rFonts w:ascii="Times New Roman" w:hAnsi="Times New Roman" w:eastAsia="Times New Roman" w:cs="Times New Roman"/>
          <w:sz w:val="21"/>
          <w:vertAlign w:val="superscript"/>
        </w:rPr>
        <w:t xml:space="preserve">6,7,9,10</w:t>
      </w:r>
      <w:r>
        <w:rPr>
          <w:rFonts w:ascii="Times New Roman" w:hAnsi="Times New Roman" w:eastAsia="Times New Roman" w:cs="Times New Roman"/>
          <w:sz w:val="21"/>
        </w:rPr>
        <w:t xml:space="preserve">. The European Commission’s Geographical Information System (GISCO) supplies the continental boundary</w:t>
      </w:r>
      <w:r>
        <w:rPr>
          <w:rFonts w:ascii="Times New Roman" w:hAnsi="Times New Roman" w:eastAsia="Times New Roman" w:cs="Times New Roman"/>
          <w:sz w:val="21"/>
          <w:vertAlign w:val="superscript"/>
        </w:rPr>
        <w:t xml:space="preserve">15</w:t>
      </w:r>
      <w:r>
        <w:rPr>
          <w:rFonts w:ascii="Times New Roman" w:hAnsi="Times New Roman" w:eastAsia="Times New Roman" w:cs="Times New Roman"/>
          <w:sz w:val="21"/>
        </w:rPr>
        <w:t xml:space="preserve">; REN and Red Eléctrica de España (REE) records support transmission and interconnection checks. OpenInfraMap, which derives from OSM, is used only for display checks and is not treated as independent evidence</w:t>
      </w:r>
      <w:r>
        <w:rPr>
          <w:rFonts w:ascii="Times New Roman" w:hAnsi="Times New Roman" w:eastAsia="Times New Roman" w:cs="Times New Roman"/>
          <w:sz w:val="21"/>
          <w:vertAlign w:val="superscript"/>
        </w:rPr>
        <w:t xml:space="preserve">16</w:t>
      </w:r>
      <w:r>
        <w:rPr>
          <w:rFonts w:ascii="Times New Roman" w:hAnsi="Times New Roman" w:eastAsia="Times New Roman" w:cs="Times New Roman"/>
          <w:sz w:val="21"/>
        </w:rPr>
        <w:t xml:space="preserve">.</w:t>
      </w:r>
    </w:p>
    <w:p>
      <w:pPr>
        <w:pStyle w:val="BodyText"/>
        <w:widowControl/>
      </w:pPr>
      <w:r>
        <w:rPr>
          <w:rFonts w:ascii="Times New Roman" w:hAnsi="Times New Roman" w:eastAsia="Times New Roman" w:cs="Times New Roman"/>
          <w:sz w:val="21"/>
        </w:rPr>
        <w:t xml:space="preserve">Table 2 summarizes the source scope and modelling role. The common study window is determined by synchronized E-REDES and REN series. Static-source versions, case dates, and historical availability are recorded separately; the common window is not interpreted as the observation date of every device.</w:t>
      </w:r>
    </w:p>
    <w:p>
      <w:pPr>
        <w:pStyle w:val="TableCaption"/>
        <w:keepNext/>
        <w:widowControl/>
      </w:pPr>
      <w:r>
        <w:rPr>
          <w:rFonts w:ascii="Times New Roman" w:hAnsi="Times New Roman" w:eastAsia="Times New Roman" w:cs="Times New Roman"/>
          <w:b/>
          <w:bCs/>
          <w:sz w:val="18"/>
        </w:rPr>
        <w:t xml:space="preserve">Table 2—Public data sources, coverage, and modelling roles.</w:t>
      </w:r>
    </w:p>
    <w:tbl>
      <w:tblPr>
        <w:tblStyle w:val="Table"/>
        <w:tblW w:type="pct" w:w="5000"/>
        <w:jc w:val="left"/>
        <w:tblLayout w:type="autofit"/>
        <w:tblLook w:firstRow="1" w:lastRow="0" w:firstColumn="0" w:lastColumn="0" w:noHBand="0" w:noVBand="0" w:val="0020"/>
      </w:tblPr>
      <w:tblGrid>
        <w:gridCol w:w="1980"/>
        <w:gridCol w:w="1980"/>
        <w:gridCol w:w="1980"/>
        <w:gridCol w:w="1980"/>
      </w:tblGrid>
      <w:tr>
        <w:trPr>
          <w:tblHeader w:val="on"/>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Publisher / product</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sz w:val="16"/>
              </w:rPr>
              <w:t xml:space="preserve">Spatial or temporal coverage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Principal content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Role in this study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E-REDES / RND high-voltage network (AT in the source portal)</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Continental 60/130 kV; archived snapshot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Lines, facilities, codes, and geometry</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Network construction</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OSM / Geofabrik</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Continental Portugal and Spain boundary; archived snapshot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150/220/400 kV facilities and circuits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Network and asset construction</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DGEG; APA; project notices</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Generation, storage, and connection records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Location, technology, capacity, and commissioning evidence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Asset completion and evidence</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REN / Data Hub</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15 min in common window; 15 series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Demand, generation, storage, imports, and exports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Inputs and withheld comparison</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E-REDES / substation energy</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397 stations; 15 min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Facility code, interval-end timestamp, and kWh</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Direct nodal load</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ERSE / PDIRT; PDIRD</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Planning and equipment inventories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Delivery-point profiles, circuits, and ratings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Residual weights and parameter evidence</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REN / REE</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Transmission system and interconnection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Circuit, length, and capacity aggregates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Inventory, calibration, and context</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GISCO</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Continental Portugal</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National boundary geometry</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Spatial clipping and cartography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E-REDES auxiliary statistics</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14 datasets; multiple resolutions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National, municipal, injection, and seasonal load statistics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External comparison; excluded from nodal construction</w:t>
            </w:r>
          </w:p>
        </w:tc>
      </w:tr>
    </w:tbl>
    <w:p>
      <w:pPr>
        <w:pStyle w:val="BodyText"/>
        <w:widowControl/>
      </w:pPr>
      <w:r>
        <w:rPr>
          <w:rFonts w:ascii="Times New Roman" w:hAnsi="Times New Roman" w:eastAsia="Times New Roman" w:cs="Times New Roman"/>
          <w:b/>
          <w:bCs/>
          <w:sz w:val="21"/>
        </w:rPr>
        <w:t xml:space="preserve">Table note.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The common modelling window is 2025-05-01 to 2026-03-24. Source entry points, archived versions, and file fingerprints are listed in the data documentation and release manifest.</w:t>
      </w:r>
    </w:p>
    <w:bookmarkEnd w:id="23"/>
    <w:bookmarkStart w:id="24" w:name="archiving-and-standardization"/>
    <w:p>
      <w:pPr>
        <w:pStyle w:val="Heading3"/>
        <w:keepNext/>
        <w:keepLines/>
        <w:widowControl/>
      </w:pPr>
      <w:r>
        <w:rPr>
          <w:rFonts w:ascii="Times New Roman" w:hAnsi="Times New Roman" w:eastAsia="Times New Roman" w:cs="Times New Roman"/>
          <w:sz w:val="22"/>
        </w:rPr>
        <w:t xml:space="preserve">Archiving and standardization</w:t>
      </w:r>
    </w:p>
    <w:p>
      <w:pPr>
        <w:pStyle w:val="FirstParagraph"/>
        <w:widowControl/>
      </w:pPr>
      <w:r>
        <w:rPr>
          <w:rFonts w:ascii="Times New Roman" w:hAnsi="Times New Roman" w:eastAsia="Times New Roman" w:cs="Times New Roman"/>
          <w:sz w:val="21"/>
        </w:rPr>
        <w:t xml:space="preserve">Raw files are archived immutably by source together with the source URL, download time, file size, and SHA-256 hash; processing reads the raw layer without modifying it. Coordinates are stored in World Geodetic System 1984 (WGS 84) and transformed to the Portuguese national projection for distance calculations. Voltage, power, energy, and distance are standardized to kV, MW/Mvar, kWh, and km. E-REDES 15-minute energy is converted to interval-average power according to Equation (1):</w:t>
      </w:r>
    </w:p>
    <w:p>
      <w:pPr>
        <w:pStyle w:val="BodyText"/>
        <w:keepLines/>
        <w:widowControl/>
        <w:tabs>
          <w:tab w:val="center" w:pos="4680"/>
          <w:tab w:val="right" w:pos="9360"/>
        </w:tabs>
        <w:jc w:val="left"/>
      </w:pPr>
      <w:r>
        <w:tab/>
      </w:r>
      <m:oMath>
        <m:sSub>
          <m:e>
            <m:r>
              <m:t>P</m:t>
            </m:r>
          </m:e>
          <m:sub>
            <m:r>
              <m:rPr>
                <m:sty m:val="p"/>
              </m:rPr>
              <m:t>M</m:t>
            </m:r>
            <m:r>
              <m:rPr>
                <m:sty m:val="p"/>
              </m:rPr>
              <m:t>W</m:t>
            </m:r>
          </m:sub>
        </m:sSub>
        <m:r>
          <m:rPr>
            <m:sty m:val="p"/>
          </m:rPr>
          <m:t>=</m:t>
        </m:r>
        <m:f>
          <m:fPr>
            <m:type m:val="bar"/>
          </m:fPr>
          <m:num>
            <m:sSub>
              <m:e>
                <m:r>
                  <m:t>E</m:t>
                </m:r>
              </m:e>
              <m:sub>
                <m:r>
                  <m:rPr>
                    <m:sty m:val="p"/>
                  </m:rPr>
                  <m:t>k</m:t>
                </m:r>
                <m:r>
                  <m:rPr>
                    <m:sty m:val="p"/>
                  </m:rPr>
                  <m:t>W</m:t>
                </m:r>
                <m:r>
                  <m:rPr>
                    <m:sty m:val="p"/>
                  </m:rPr>
                  <m:t>h</m:t>
                </m:r>
              </m:sub>
            </m:sSub>
          </m:num>
          <m:den>
            <m:r>
              <m:t>250</m:t>
            </m:r>
          </m:den>
        </m:f>
        <m:r>
          <m:rPr>
            <m:sty m:val="p"/>
          </m:rPr>
          <m:t>.</m:t>
        </m:r>
      </m:oMath>
      <w:r>
        <w:rPr>
          <w:rFonts w:ascii="Times New Roman" w:hAnsi="Times New Roman" w:eastAsia="Times New Roman" w:cs="Times New Roman"/>
          <w:sz w:val="21"/>
        </w:rPr>
        <w:tab/>
        <w:t>(1)</w:t>
      </w:r>
    </w:p>
    <w:p>
      <w:pPr>
        <w:pStyle w:val="FirstParagraph"/>
        <w:widowControl/>
      </w:pPr>
      <w:r>
        <w:rPr>
          <w:rFonts w:ascii="Times New Roman" w:hAnsi="Times New Roman" w:eastAsia="Times New Roman" w:cs="Times New Roman"/>
          <w:sz w:val="21"/>
        </w:rPr>
        <w:t xml:space="preserve">Both Europe/Lisbon local time and UTC are retained. Stable identifiers are derived from source equipment codes, and every derived object retains source keys and processing status. Table 5 summarizes the principal transformations; the released data dictionary maps each source field to its standardized meaning, transformation, join key, and missing-data rule.</w:t>
      </w:r>
    </w:p>
    <w:bookmarkEnd w:id="24"/>
    <w:bookmarkEnd w:id="25"/>
    <w:bookmarkStart w:id="32" w:name="static-network-reconstruction"/>
    <w:p>
      <w:pPr>
        <w:pStyle w:val="Heading2"/>
        <w:keepNext/>
        <w:keepLines/>
        <w:widowControl/>
      </w:pPr>
      <w:r>
        <w:rPr>
          <w:rFonts w:ascii="Times New Roman" w:hAnsi="Times New Roman" w:eastAsia="Times New Roman" w:cs="Times New Roman"/>
          <w:sz w:val="24"/>
        </w:rPr>
        <w:t xml:space="preserve">Static network reconstruction</w:t>
      </w:r>
    </w:p>
    <w:p>
      <w:pPr>
        <w:pStyle w:val="FirstParagraph"/>
        <w:widowControl/>
      </w:pPr>
      <w:r>
        <w:rPr>
          <w:rFonts w:ascii="Times New Roman" w:hAnsi="Times New Roman" w:eastAsia="Times New Roman" w:cs="Times New Roman"/>
          <w:sz w:val="21"/>
        </w:rPr>
        <w:t xml:space="preserve">The static network is represented by Equation (2):</w:t>
      </w:r>
    </w:p>
    <w:p>
      <w:pPr>
        <w:pStyle w:val="BodyText"/>
        <w:keepLines/>
        <w:widowControl/>
        <w:tabs>
          <w:tab w:val="center" w:pos="4680"/>
          <w:tab w:val="right" w:pos="9360"/>
        </w:tabs>
        <w:jc w:val="left"/>
      </w:pPr>
      <w:r>
        <w:tab/>
      </w:r>
      <m:oMath>
        <m:r>
          <m:t>G</m:t>
        </m:r>
        <m:r>
          <m:rPr>
            <m:sty m:val="p"/>
          </m:rPr>
          <m:t>=</m:t>
        </m:r>
        <m:d>
          <m:dPr>
            <m:begChr m:val="("/>
            <m:endChr m:val=")"/>
            <m:sepChr m:val=""/>
            <m:grow/>
          </m:dPr>
          <m:e>
            <m:r>
              <m:t>B</m:t>
            </m:r>
            <m:r>
              <m:rPr>
                <m:sty m:val="p"/>
              </m:rPr>
              <m:t>,</m:t>
            </m:r>
            <m:r>
              <m:t>L</m:t>
            </m:r>
            <m:r>
              <m:rPr>
                <m:sty m:val="p"/>
              </m:rPr>
              <m:t>,</m:t>
            </m:r>
            <m:r>
              <m:t>T</m:t>
            </m:r>
          </m:e>
        </m:d>
        <m:r>
          <m:rPr>
            <m:sty m:val="p"/>
          </m:rPr>
          <m:t>,</m:t>
        </m:r>
      </m:oMath>
      <w:r>
        <w:rPr>
          <w:rFonts w:ascii="Times New Roman" w:hAnsi="Times New Roman" w:eastAsia="Times New Roman" w:cs="Times New Roman"/>
          <w:sz w:val="21"/>
        </w:rPr>
        <w:tab/>
        <w:t>(2)</w:t>
      </w:r>
    </w:p>
    <w:p>
      <w:pPr>
        <w:pStyle w:val="FirstParagraph"/>
        <w:widowControl/>
      </w:pPr>
      <w:r>
        <w:rPr>
          <w:rFonts w:ascii="Times New Roman" w:hAnsi="Times New Roman" w:eastAsia="Times New Roman" w:cs="Times New Roman"/>
          <w:sz w:val="21"/>
        </w:rPr>
        <w:t xml:space="preserve">where</w:t>
      </w:r>
      <w:r>
        <w:rPr>
          <w:rFonts w:ascii="Times New Roman" w:hAnsi="Times New Roman" w:eastAsia="Times New Roman" w:cs="Times New Roman"/>
          <w:sz w:val="21"/>
        </w:rPr>
        <w:t xml:space="preserve"> </w:t>
      </w:r>
      <m:oMath>
        <m:r>
          <m:t>B</m:t>
        </m:r>
      </m:oMath>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m:oMath>
        <m:r>
          <m:t>L</m:t>
        </m:r>
      </m:oMath>
      <w:r>
        <w:rPr>
          <w:rFonts w:ascii="Times New Roman" w:hAnsi="Times New Roman" w:eastAsia="Times New Roman" w:cs="Times New Roman"/>
          <w:sz w:val="21"/>
        </w:rPr>
        <w:t xml:space="preserve">, and</w:t>
      </w:r>
      <w:r>
        <w:rPr>
          <w:rFonts w:ascii="Times New Roman" w:hAnsi="Times New Roman" w:eastAsia="Times New Roman" w:cs="Times New Roman"/>
          <w:sz w:val="21"/>
        </w:rPr>
        <w:t xml:space="preserve"> </w:t>
      </w:r>
      <m:oMath>
        <m:r>
          <m:t>T</m:t>
        </m:r>
      </m:oMath>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denote buses, lines, and transformers. Connections are established in the order source relationship, voltage consistency, and constrained spatial matching. This hierarchy prevents geographic proximity or line crossings from being interpreted directly as electrical connectivity.</w:t>
      </w:r>
    </w:p>
    <w:bookmarkStart w:id="26" w:name="buses-and-lines"/>
    <w:p>
      <w:pPr>
        <w:pStyle w:val="Heading3"/>
        <w:keepNext/>
        <w:keepLines/>
        <w:widowControl/>
      </w:pPr>
      <w:r>
        <w:rPr>
          <w:rFonts w:ascii="Times New Roman" w:hAnsi="Times New Roman" w:eastAsia="Times New Roman" w:cs="Times New Roman"/>
          <w:sz w:val="22"/>
        </w:rPr>
        <w:t xml:space="preserve">Buses and lines</w:t>
      </w:r>
    </w:p>
    <w:p>
      <w:pPr>
        <w:pStyle w:val="FirstParagraph"/>
        <w:widowControl/>
      </w:pPr>
      <w:r>
        <w:rPr>
          <w:rFonts w:ascii="Times New Roman" w:hAnsi="Times New Roman" w:eastAsia="Times New Roman" w:cs="Times New Roman"/>
          <w:sz w:val="21"/>
        </w:rPr>
        <w:t xml:space="preserve">E-REDES is preferred for 60/130 kV lines, whereas OSM supplies most 150/220/400 kV lines and facilities; the latter are checked against REN length statistics. Duplicate E-REDES facilities, mobile facilities within 250 m of permanent stations, and colocated same-name stations are normalized while retaining a merge ledger.</w:t>
      </w:r>
    </w:p>
    <w:p>
      <w:pPr>
        <w:pStyle w:val="BodyText"/>
        <w:widowControl/>
        <w:jc w:val="left"/>
      </w:pPr>
      <w:r>
        <w:rPr>
          <w:rFonts w:ascii="Times New Roman" w:hAnsi="Times New Roman" w:eastAsia="Times New Roman" w:cs="Times New Roman"/>
          <w:sz w:val="21"/>
        </w:rPr>
        <w:t xml:space="preserve">Line endpoints are grouped by voltage and clustered within 75 m in EPSG:3763 coordinates. Different voltage levels are never merged. Each endpoint cluster is assigned to a same-voltage facility within 250 m; otherwise, a derived connection bus is created. OSM ways are split only at way endpoints or explicit shared nodes, so geometric crossings do not create connections. The OSM</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circuit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line_section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relations restore circuit identity. Parallel circuits are retained, while self-loops and non-positive-length branches are blocked and recorded.</w:t>
      </w:r>
    </w:p>
    <w:bookmarkEnd w:id="26"/>
    <w:bookmarkStart w:id="30" w:name="transformers-and-parameters"/>
    <w:p>
      <w:pPr>
        <w:pStyle w:val="Heading3"/>
        <w:keepNext/>
        <w:keepLines/>
        <w:widowControl/>
      </w:pPr>
      <w:r>
        <w:rPr>
          <w:rFonts w:ascii="Times New Roman" w:hAnsi="Times New Roman" w:eastAsia="Times New Roman" w:cs="Times New Roman"/>
          <w:sz w:val="22"/>
        </w:rPr>
        <w:t xml:space="preserve">Transformers and parameters</w:t>
      </w:r>
    </w:p>
    <w:p>
      <w:pPr>
        <w:pStyle w:val="FirstParagraph"/>
        <w:widowControl/>
      </w:pPr>
      <w:r>
        <w:rPr>
          <w:rFonts w:ascii="Times New Roman" w:hAnsi="Times New Roman" w:eastAsia="Times New Roman" w:cs="Times New Roman"/>
          <w:sz w:val="21"/>
        </w:rPr>
        <w:t xml:space="preserve">Transformers are created from three evidence classes. Explicit OSM transformers are matched to high- and low-voltage buses within 1 km. Adjacent voltage levels in the same OSM substation produce colocated transformers. RARI (Regulamento do Acesso às Redes e às Interligações do Setor Elétrico) boundary names are matched to facilities within 5 km, with a fallback to a 60 kV endpoint within 1 km of the high-voltage station. Public</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rating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values take precedence; remaining capacities and impedances use voltage-pair proxies. A voltage-pair capacity is scaled upward when its aggregate falls below the corresponding REN total, and the calibration factor is retained</w:t>
      </w:r>
      <w:r>
        <w:rPr>
          <w:rFonts w:ascii="Times New Roman" w:hAnsi="Times New Roman" w:eastAsia="Times New Roman" w:cs="Times New Roman"/>
          <w:sz w:val="21"/>
          <w:vertAlign w:val="superscript"/>
        </w:rPr>
        <w:t xml:space="preserve">7</w:t>
      </w:r>
      <w:r>
        <w:rPr>
          <w:rFonts w:ascii="Times New Roman" w:hAnsi="Times New Roman" w:eastAsia="Times New Roman" w:cs="Times New Roman"/>
          <w:sz w:val="21"/>
        </w:rPr>
        <w:t xml:space="preserve">.</w:t>
      </w:r>
    </w:p>
    <w:p>
      <w:pPr>
        <w:pStyle w:val="BodyText"/>
        <w:widowControl/>
      </w:pPr>
      <w:r>
        <w:rPr>
          <w:rFonts w:ascii="Times New Roman" w:hAnsi="Times New Roman" w:eastAsia="Times New Roman" w:cs="Times New Roman"/>
          <w:sz w:val="21"/>
        </w:rPr>
        <w:t xml:space="preserve">Line parameters comprise</w:t>
      </w:r>
      <w:r>
        <w:rPr>
          <w:rFonts w:ascii="Times New Roman" w:hAnsi="Times New Roman" w:eastAsia="Times New Roman" w:cs="Times New Roman"/>
          <w:sz w:val="21"/>
        </w:rPr>
        <w:t xml:space="preserve"> </w:t>
      </w:r>
      <m:oMath>
        <m:r>
          <m:t>r</m:t>
        </m:r>
      </m:oMath>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m:oMath>
        <m:r>
          <m:t>x</m:t>
        </m:r>
      </m:oMath>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m:oMath>
        <m:r>
          <m:t>c</m:t>
        </m:r>
      </m:oMath>
      <w:r>
        <w:rPr>
          <w:rFonts w:ascii="Times New Roman" w:hAnsi="Times New Roman" w:eastAsia="Times New Roman" w:cs="Times New Roman"/>
          <w:sz w:val="21"/>
        </w:rPr>
        <w:t xml:space="preserve">, and</w:t>
      </w:r>
      <w:r>
        <w:rPr>
          <w:rFonts w:ascii="Times New Roman" w:hAnsi="Times New Roman" w:eastAsia="Times New Roman" w:cs="Times New Roman"/>
          <w:sz w:val="21"/>
        </w:rPr>
        <w:t xml:space="preserve"> </w:t>
      </w:r>
      <m:oMath>
        <m:sSub>
          <m:e>
            <m:r>
              <m:t>I</m:t>
            </m:r>
          </m:e>
          <m:sub>
            <m:r>
              <m:rPr>
                <m:sty m:val="p"/>
              </m:rPr>
              <m:t>max</m:t>
            </m:r>
          </m:sub>
        </m:sSub>
      </m:oMath>
      <w:r>
        <w:rPr>
          <w:rFonts w:ascii="Times New Roman" w:hAnsi="Times New Roman" w:eastAsia="Times New Roman" w:cs="Times New Roman"/>
          <w:sz w:val="21"/>
        </w:rPr>
        <w:t xml:space="preserve">. Each 60 kV branch is matched to a public PDIRD circuit inventory by a length-weighted shortest path, accepted only when the model-to-source length ratio lies between 0.65 and 1.60</w:t>
      </w:r>
      <w:r>
        <w:rPr>
          <w:rFonts w:ascii="Times New Roman" w:hAnsi="Times New Roman" w:eastAsia="Times New Roman" w:cs="Times New Roman"/>
          <w:sz w:val="21"/>
          <w:vertAlign w:val="superscript"/>
        </w:rPr>
        <w:t xml:space="preserve">17</w:t>
      </w:r>
      <w:r>
        <w:rPr>
          <w:rFonts w:ascii="Times New Roman" w:hAnsi="Times New Roman" w:eastAsia="Times New Roman" w:cs="Times New Roman"/>
          <w:sz w:val="21"/>
        </w:rPr>
        <w:t xml:space="preserve">. Remaining lines use voltage-class defaults and cable correction factors. Each parameter is labelled as directly published, derived from public documentation, aggregate-calibrated, or an engineering proxy. Some resistance support is transferred from conductor parameters reported in project documentation</w:t>
      </w:r>
      <w:r>
        <w:rPr>
          <w:rFonts w:ascii="Times New Roman" w:hAnsi="Times New Roman" w:eastAsia="Times New Roman" w:cs="Times New Roman"/>
          <w:sz w:val="21"/>
          <w:vertAlign w:val="superscript"/>
        </w:rPr>
        <w:t xml:space="preserve">18</w:t>
      </w:r>
      <w:r>
        <w:rPr>
          <w:rFonts w:ascii="Times New Roman" w:hAnsi="Times New Roman" w:eastAsia="Times New Roman" w:cs="Times New Roman"/>
          <w:sz w:val="21"/>
        </w:rPr>
        <w:t xml:space="preserve">; this transfer remains an engineering assumption rather than a direct line measurement.</w:t>
      </w:r>
    </w:p>
    <w:p>
      <w:pPr>
        <w:pStyle w:val="BodyText"/>
        <w:widowControl/>
      </w:pPr>
      <w:r>
        <w:rPr>
          <w:rFonts w:ascii="Times New Roman" w:hAnsi="Times New Roman" w:eastAsia="Times New Roman" w:cs="Times New Roman"/>
          <w:sz w:val="21"/>
        </w:rPr>
        <w:t xml:space="preserve">Post-construction checks cover equipment keys, endpoints, positive length, voltage consistency, connected components, and the Portugal–Spain boundary inventory. Lengths at 150, 220, and 400 kV are compared with REN statistics. Parameter completeness means that the model is computationally usable; it does not mean that all parameters are operator measurements.</w:t>
      </w:r>
    </w:p>
    <w:p>
      <w:pPr>
        <w:pStyle w:val="BodyText"/>
        <w:widowControl/>
      </w:pPr>
      <w:r>
        <w:rPr>
          <w:rFonts w:ascii="Times New Roman" w:hAnsi="Times New Roman" w:eastAsia="Times New Roman" w:cs="Times New Roman"/>
          <w:sz w:val="21"/>
        </w:rPr>
        <w:t xml:space="preserve">Figure 1 illustrates the connection decisions, and Table 3 lists thresholds and unmatched-record handling.</w:t>
      </w:r>
    </w:p>
    <w:p>
      <w:pPr>
        <w:pStyle w:val="BodyText"/>
        <w:widowControl/>
      </w:pPr>
      <w:r>
        <w:rPr>
          <w:rFonts w:ascii="Times New Roman" w:hAnsi="Times New Roman" w:eastAsia="Times New Roman" w:cs="Times New Roman"/>
          <w:sz w:val="21"/>
        </w:rPr>
        <w:drawing>
          <wp:inline>
            <wp:extent cx="5623560" cy="3202605"/>
            <wp:effectExtent b="0" l="0" r="0" t="0"/>
            <wp:docPr descr="Figure 1—Connection rules used in static-network reconstruction. (a) Same-voltage endpoint clustering and facility matching; (b) distinction between geometric crossings and explicit shared nodes; (c) preservation of series segments and parallel-circuit identity; and (d) cross-voltage connection from explicit equipment, colocated facilities, and RARI boundary evidence. The diagrams are abstract electrical schematics rather than geographic device locations. Distance thresholds and fallback rules are listed in Table 3." title="Figure 1" id="28" name="Picture"/>
            <a:graphic>
              <a:graphicData uri="http://schemas.openxmlformats.org/drawingml/2006/picture">
                <pic:pic>
                  <pic:nvPicPr>
                    <pic:cNvPr descr="figures_final/fig01_network_reconstruction.pdf" id="29" name="Picture"/>
                    <pic:cNvPicPr>
                      <a:picLocks noChangeArrowheads="1" noChangeAspect="1"/>
                    </pic:cNvPicPr>
                  </pic:nvPicPr>
                  <pic:blipFill>
                    <a:blip r:embed="rId27"/>
                    <a:stretch>
                      <a:fillRect/>
                    </a:stretch>
                  </pic:blipFill>
                  <pic:spPr bwMode="auto">
                    <a:xfrm>
                      <a:off x="0" y="0"/>
                      <a:ext cx="5623560" cy="3202605"/>
                    </a:xfrm>
                    <a:prstGeom prst="rect">
                      <a:avLst/>
                    </a:prstGeom>
                    <a:noFill/>
                    <a:ln w="9525">
                      <a:noFill/>
                      <a:headEnd/>
                      <a:tailEnd/>
                    </a:ln>
                  </pic:spPr>
                </pic:pic>
              </a:graphicData>
            </a:graphic>
          </wp:inline>
        </w:drawing>
      </w:r>
    </w:p>
    <w:p>
      <w:pPr>
        <w:pStyle w:val="ImageCaption"/>
        <w:keepLines/>
        <w:widowControl/>
      </w:pPr>
      <w:r>
        <w:rPr>
          <w:rFonts w:ascii="Times New Roman" w:hAnsi="Times New Roman" w:eastAsia="Times New Roman" w:cs="Times New Roman"/>
          <w:b/>
          <w:bCs/>
          <w:sz w:val="18"/>
        </w:rPr>
        <w:t xml:space="preserve">Figure 1—Connection rules used in static-network reconstruction.</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(a) Same-voltage endpoint clustering and facility matching; (b) distinction between geometric crossings and explicit shared nodes; (c) preservation of series segments and parallel-circuit identity; and (d) cross-voltage connection from explicit equipment, colocated facilities, and RARI boundary evidence. The diagrams are abstract electrical schematics rather than geographic device locations. Distance thresholds and fallback rules are listed in Table 3.</w:t>
      </w:r>
    </w:p>
    <w:p>
      <w:pPr>
        <w:pStyle w:val="TableCaption"/>
        <w:keepNext/>
        <w:widowControl/>
      </w:pPr>
      <w:r>
        <w:rPr>
          <w:rFonts w:ascii="Times New Roman" w:hAnsi="Times New Roman" w:eastAsia="Times New Roman" w:cs="Times New Roman"/>
          <w:b/>
          <w:bCs/>
          <w:sz w:val="18"/>
        </w:rPr>
        <w:t xml:space="preserve">Table 3—Topology rules and thresholds.</w:t>
      </w:r>
    </w:p>
    <w:tbl>
      <w:tblPr>
        <w:tblStyle w:val="Table"/>
        <w:tblW w:type="pct" w:w="5000"/>
        <w:jc w:val="left"/>
        <w:tblLayout w:type="autofit"/>
        <w:tblLook w:firstRow="1" w:lastRow="0" w:firstColumn="0" w:lastColumn="0" w:noHBand="0" w:noVBand="0" w:val="0020"/>
      </w:tblPr>
      <w:tblGrid>
        <w:gridCol w:w="2640"/>
        <w:gridCol w:w="2640"/>
        <w:gridCol w:w="2640"/>
      </w:tblGrid>
      <w:tr>
        <w:trPr>
          <w:tblHeader w:val="on"/>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Object / step</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sz w:val="16"/>
              </w:rPr>
              <w:t xml:space="preserve">Rule or threshold</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Constraint / unmatched handling</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Distance coordinates</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EPSG:3763; metres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Longitude and latitude stored in WGS 84</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Endpoint clustering</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75 m within the same voltage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Different voltages are not merged</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Facility assignment</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Same-voltage facility within 250 m</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Create a derived connection bus if unmatched</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Facility normalization</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Duplicate or colocated same-name facilities; mobile facilities within 250 m of permanent stations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Retain merge records</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OSM splitting</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Way endpoints or explicit shared nodes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Geometric crossings do not create connections</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Circuit identity</w:t>
            </w:r>
          </w:p>
        </w:tc>
        <w:tc>
          <w:tcPr>
            <w:vAlign w:val="center"/>
            <w:tcMar>
              <w:top w:w="70" w:type="dxa"/>
              <w:bottom w:w="70" w:type="dxa"/>
              <w:start w:w="90" w:type="dxa"/>
              <w:end w:w="90" w:type="dxa"/>
            </w:tcMar>
          </w:tcPr>
          <w:p>
            <w:pPr>
              <w:pStyle w:val="Compact"/>
              <w:widowControl/>
              <w:spacing w:before="0" w:after="40" w:line="240" w:lineRule="auto"/>
              <w:jc w:val="center"/>
            </w:pPr>
            <w:r>
              <w:rPr>
                <w:rStyle w:val="VerbatimChar"/>
                <w:rFonts w:ascii="Times New Roman" w:hAnsi="Times New Roman" w:eastAsia="Times New Roman" w:cs="Times New Roman"/>
                <w:b w:val="0"/>
                <w:sz w:val="16"/>
              </w:rPr>
              <w:t xml:space="preserve">circuit</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w:t>
            </w:r>
            <w:r>
              <w:rPr>
                <w:rFonts w:ascii="Times New Roman" w:hAnsi="Times New Roman" w:eastAsia="Times New Roman" w:cs="Times New Roman"/>
                <w:b w:val="0"/>
                <w:sz w:val="16"/>
              </w:rPr>
              <w:t xml:space="preserve"> </w:t>
            </w:r>
            <w:r>
              <w:rPr>
                <w:rStyle w:val="VerbatimChar"/>
                <w:rFonts w:ascii="Times New Roman" w:hAnsi="Times New Roman" w:eastAsia="Times New Roman" w:cs="Times New Roman"/>
                <w:b w:val="0"/>
                <w:sz w:val="16"/>
              </w:rPr>
              <w:t xml:space="preserve">line_section</w:t>
            </w:r>
            <w:r>
              <w:rPr>
                <w:rFonts w:ascii="Times New Roman" w:hAnsi="Times New Roman" w:eastAsia="Times New Roman" w:cs="Times New Roman"/>
                <w:b w:val="0"/>
                <w:sz w:val="16"/>
              </w:rPr>
              <w:t xml:space="preserve">; parallel circuits retained</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N−1 removes series model segments by physical circuit</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Explicit transformer</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Match high- and low-voltage buses within 1 km</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Preserve voltage-level consistency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Colocated transformer</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Adjacent voltage levels in one OSM station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Derived connection with evidence level retained</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RARI boundary</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Name-to-facility match within 5 km</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May fall back to a 60 kV endpoint within 1 km of the high-voltage station</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PDIRD parameter path</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Length-weighted shortest path; model/source length 0.65–1.60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Use voltage-class proxy when rejected</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Blocking checks</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Self-loop, non-positive length, endpoint or voltage conflict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Record and block invalid branches</w:t>
            </w:r>
          </w:p>
        </w:tc>
      </w:tr>
    </w:tbl>
    <w:p>
      <w:pPr>
        <w:pStyle w:val="BodyText"/>
        <w:widowControl/>
        <w:jc w:val="left"/>
      </w:pPr>
      <w:r>
        <w:rPr>
          <w:rFonts w:ascii="Times New Roman" w:hAnsi="Times New Roman" w:eastAsia="Times New Roman" w:cs="Times New Roman"/>
          <w:b/>
          <w:bCs/>
          <w:sz w:val="21"/>
        </w:rPr>
        <w:t xml:space="preserve">Table note.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Rules are defined in the Static network reconstruction subsection and the frozen</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model_config.json</w:t>
      </w:r>
      <w:r>
        <w:rPr>
          <w:rFonts w:ascii="Times New Roman" w:hAnsi="Times New Roman" w:eastAsia="Times New Roman" w:cs="Times New Roman"/>
          <w:sz w:val="21"/>
        </w:rPr>
        <w:t xml:space="preserve">. All distances are projected planar distances. They are reconstruction rules, not operator accuracy guarantees. The configuration file records voltage-class defaults, cable factors, transformer proxies, and seasonal rating factors; equipment tables retain the field-level evidence status and any source-backed override.</w:t>
      </w:r>
    </w:p>
    <w:bookmarkEnd w:id="30"/>
    <w:bookmarkStart w:id="31" w:name="Xefefd72f15ef8eb94d82faa2f6649a6349cf7d4"/>
    <w:p>
      <w:pPr>
        <w:pStyle w:val="Heading3"/>
        <w:keepNext/>
        <w:keepLines/>
        <w:widowControl/>
      </w:pPr>
      <w:r>
        <w:rPr>
          <w:rFonts w:ascii="Times New Roman" w:hAnsi="Times New Roman" w:eastAsia="Times New Roman" w:cs="Times New Roman"/>
          <w:sz w:val="22"/>
        </w:rPr>
        <w:t xml:space="preserve">Evidence applicability and historical availability</w:t>
      </w:r>
    </w:p>
    <w:p>
      <w:pPr>
        <w:pStyle w:val="FirstParagraph"/>
        <w:widowControl/>
        <w:jc w:val="left"/>
      </w:pPr>
      <w:r>
        <w:rPr>
          <w:rFonts w:ascii="Times New Roman" w:hAnsi="Times New Roman" w:eastAsia="Times New Roman" w:cs="Times New Roman"/>
          <w:sz w:val="21"/>
        </w:rPr>
        <w:t xml:space="preserve">Static-source dates and operating-case dates are versioned separately. Only assets with an explicit commissioning date are switched by time. Ordinary lines, transformers, and interconnections retain the frozen static state when contemporaneous status records are unavailable. Project documents support only the stated equipment and fields and are not used to infer historical switching states. Cross-section scaling of conductor resistance and transfer to other conductor families remain engineering assumptions. Document pages, equipment identifiers, and field-level judgements are stored in</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citation_evidence_ledger.csv</w:t>
      </w:r>
      <w:r>
        <w:rPr>
          <w:rFonts w:ascii="Times New Roman" w:hAnsi="Times New Roman" w:eastAsia="Times New Roman" w:cs="Times New Roman"/>
          <w:sz w:val="21"/>
        </w:rPr>
        <w:t xml:space="preserve">; Table 4 summarizes temporal handling.</w:t>
      </w:r>
    </w:p>
    <w:p>
      <w:pPr>
        <w:pStyle w:val="TableCaption"/>
        <w:keepNext/>
        <w:widowControl/>
      </w:pPr>
      <w:r>
        <w:rPr>
          <w:rFonts w:ascii="Times New Roman" w:hAnsi="Times New Roman" w:eastAsia="Times New Roman" w:cs="Times New Roman"/>
          <w:b/>
          <w:bCs/>
          <w:sz w:val="18"/>
        </w:rPr>
        <w:t xml:space="preserve">Table 4—Source versions, validity dates, and case treatment.</w:t>
      </w:r>
    </w:p>
    <w:tbl>
      <w:tblPr>
        <w:tblStyle w:val="Table"/>
        <w:tblW w:type="pct" w:w="5000"/>
        <w:jc w:val="left"/>
        <w:tblLayout w:type="autofit"/>
        <w:tblLook w:firstRow="1" w:lastRow="0" w:firstColumn="0" w:lastColumn="0" w:noHBand="0" w:noVBand="0" w:val="0020"/>
      </w:tblPr>
      <w:tblGrid>
        <w:gridCol w:w="2640"/>
        <w:gridCol w:w="2640"/>
        <w:gridCol w:w="2640"/>
      </w:tblGrid>
      <w:tr>
        <w:trPr>
          <w:tblHeader w:val="on"/>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Object</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sz w:val="16"/>
              </w:rPr>
              <w:t xml:space="preserve">Date or status evidence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Case treatment and limitation</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Ordinary lines and transformers</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Historical status absent for most individual devices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Frozen static state; not a complete historical replay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New Minho–Galicia interconnection</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REE announcement dated 2026-07-02</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Disabled in every study case</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Other Portugal–Spain interconnections</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Maintenance and switching histories unavailable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Fixed boundary equivalent; historical maps used only to check corridor names</w:t>
            </w:r>
            <w:r>
              <w:rPr>
                <w:rFonts w:ascii="Times New Roman" w:hAnsi="Times New Roman" w:eastAsia="Times New Roman" w:cs="Times New Roman"/>
                <w:b w:val="0"/>
                <w:sz w:val="16"/>
                <w:vertAlign w:val="superscript"/>
              </w:rPr>
              <w:t xml:space="preserve">19</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Generation and storage</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366 dated and 824 undated assets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Known dates gate availability; unknown dates are treated as available and flagged</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PDIRT/PDIRD and project evidence</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Planning inventories, seasonal profiles, or project records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Parameter, weight, and connection evidence; no inference of real-time commissioning</w:t>
            </w:r>
          </w:p>
        </w:tc>
      </w:tr>
    </w:tbl>
    <w:p>
      <w:pPr>
        <w:pStyle w:val="BodyText"/>
        <w:widowControl/>
      </w:pPr>
      <w:r>
        <w:rPr>
          <w:rFonts w:ascii="Times New Roman" w:hAnsi="Times New Roman" w:eastAsia="Times New Roman" w:cs="Times New Roman"/>
          <w:b/>
          <w:bCs/>
          <w:sz w:val="21"/>
        </w:rPr>
        <w:t xml:space="preserve">Table note.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In N1-3787, the capacity and voltage pair of the three Estoi parallel equivalents are supported by a planning inventory, but simultaneous availability and identical parameters remain model assumptions</w:t>
      </w:r>
      <w:r>
        <w:rPr>
          <w:rFonts w:ascii="Times New Roman" w:hAnsi="Times New Roman" w:eastAsia="Times New Roman" w:cs="Times New Roman"/>
          <w:sz w:val="21"/>
          <w:vertAlign w:val="superscript"/>
        </w:rPr>
        <w:t xml:space="preserve">20</w:t>
      </w:r>
      <w:r>
        <w:rPr>
          <w:rFonts w:ascii="Times New Roman" w:hAnsi="Times New Roman" w:eastAsia="Times New Roman" w:cs="Times New Roman"/>
          <w:sz w:val="21"/>
        </w:rPr>
        <w:t xml:space="preserve">.</w:t>
      </w:r>
    </w:p>
    <w:bookmarkEnd w:id="31"/>
    <w:bookmarkEnd w:id="32"/>
    <w:bookmarkStart w:id="35" w:name="asset-mapping-and-time-series-alignment"/>
    <w:p>
      <w:pPr>
        <w:pStyle w:val="Heading2"/>
        <w:keepNext/>
        <w:keepLines/>
        <w:widowControl/>
      </w:pPr>
      <w:r>
        <w:rPr>
          <w:rFonts w:ascii="Times New Roman" w:hAnsi="Times New Roman" w:eastAsia="Times New Roman" w:cs="Times New Roman"/>
          <w:sz w:val="24"/>
        </w:rPr>
        <w:t xml:space="preserve">Asset mapping and time-series alignment</w:t>
      </w:r>
    </w:p>
    <w:bookmarkStart w:id="33" w:name="asset-mapping-and-calendar"/>
    <w:p>
      <w:pPr>
        <w:pStyle w:val="Heading3"/>
        <w:keepNext/>
        <w:keepLines/>
        <w:widowControl/>
      </w:pPr>
      <w:r>
        <w:rPr>
          <w:rFonts w:ascii="Times New Roman" w:hAnsi="Times New Roman" w:eastAsia="Times New Roman" w:cs="Times New Roman"/>
          <w:sz w:val="22"/>
        </w:rPr>
        <w:t xml:space="preserve">Asset mapping and calendar</w:t>
      </w:r>
    </w:p>
    <w:p>
      <w:pPr>
        <w:pStyle w:val="FirstParagraph"/>
        <w:widowControl/>
      </w:pPr>
      <w:r>
        <w:rPr>
          <w:rFonts w:ascii="Times New Roman" w:hAnsi="Times New Roman" w:eastAsia="Times New Roman" w:cs="Times New Roman"/>
          <w:sz w:val="21"/>
        </w:rPr>
        <w:t xml:space="preserve">The generation and storage inventory combines OSM, DGEG, and project evidence. Plant and generator representations within 3 km and with consistent capacity are merged. DGEG wind records replace incomplete OSM wind capacities, and non-duplicate DGEG photovoltaic (PV) records supplement OSM. Mapping priority is public connection evidence, declared voltage, and then constrained spatial proximity. An asset without declared voltage and with capacity of at least 100 MW searches only buses at 150 kV and above; smaller assets search buses at 60 kV and above. The maximum distance is 20 km. Assets beyond this distance remain in the inventory but are not injected. Assets commissioned after a case date are unavailable; missing dates are treated as available and explicitly flagged.</w:t>
      </w:r>
    </w:p>
    <w:p>
      <w:pPr>
        <w:pStyle w:val="BodyText"/>
        <w:widowControl/>
        <w:jc w:val="left"/>
      </w:pPr>
      <w:r>
        <w:rPr>
          <w:rFonts w:ascii="Times New Roman" w:hAnsi="Times New Roman" w:eastAsia="Times New Roman" w:cs="Times New Roman"/>
          <w:sz w:val="21"/>
        </w:rPr>
        <w:t xml:space="preserve">The common calendar uses</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interval_start_utc</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as its logical key. REN timestamps denote interval starts, whereas E-REDES timestamps denote interval ends, as formalized in Equation (3):</w:t>
      </w:r>
    </w:p>
    <w:p>
      <w:pPr>
        <w:pStyle w:val="BodyText"/>
        <w:keepLines/>
        <w:widowControl/>
        <w:tabs>
          <w:tab w:val="center" w:pos="4680"/>
          <w:tab w:val="right" w:pos="9360"/>
        </w:tabs>
        <w:jc w:val="left"/>
      </w:pPr>
      <w:r>
        <w:tab/>
      </w:r>
      <m:oMath>
        <m:sSub>
          <m:e>
            <m:r>
              <m:t>t</m:t>
            </m:r>
          </m:e>
          <m:sub>
            <m:r>
              <m:rPr>
                <m:sty m:val="p"/>
              </m:rPr>
              <m:t>E</m:t>
            </m:r>
            <m:r>
              <m:rPr>
                <m:nor/>
                <m:sty m:val="p"/>
              </m:rPr>
              <m:t>-</m:t>
            </m:r>
            <m:r>
              <m:rPr>
                <m:sty m:val="p"/>
              </m:rPr>
              <m:t>R</m:t>
            </m:r>
            <m:r>
              <m:rPr>
                <m:sty m:val="p"/>
              </m:rPr>
              <m:t>E</m:t>
            </m:r>
            <m:r>
              <m:rPr>
                <m:sty m:val="p"/>
              </m:rPr>
              <m:t>D</m:t>
            </m:r>
            <m:r>
              <m:rPr>
                <m:sty m:val="p"/>
              </m:rPr>
              <m:t>E</m:t>
            </m:r>
            <m:r>
              <m:rPr>
                <m:sty m:val="p"/>
              </m:rPr>
              <m:t>S</m:t>
            </m:r>
          </m:sub>
        </m:sSub>
        <m:r>
          <m:rPr>
            <m:sty m:val="p"/>
          </m:rPr>
          <m:t>=</m:t>
        </m:r>
        <m:sSub>
          <m:e>
            <m:r>
              <m:t>t</m:t>
            </m:r>
          </m:e>
          <m:sub>
            <m:r>
              <m:rPr>
                <m:sty m:val="p"/>
              </m:rPr>
              <m:t>R</m:t>
            </m:r>
            <m:r>
              <m:rPr>
                <m:sty m:val="p"/>
              </m:rPr>
              <m:t>E</m:t>
            </m:r>
            <m:r>
              <m:rPr>
                <m:sty m:val="p"/>
              </m:rPr>
              <m:t>N</m:t>
            </m:r>
          </m:sub>
        </m:sSub>
        <m:r>
          <m:rPr>
            <m:sty m:val="p"/>
          </m:rPr>
          <m:t>+</m:t>
        </m:r>
        <m:r>
          <m:t>15</m:t>
        </m:r>
        <m:r>
          <m:t> </m:t>
        </m:r>
        <m:r>
          <m:rPr>
            <m:sty m:val="p"/>
          </m:rPr>
          <m:t>m</m:t>
        </m:r>
        <m:r>
          <m:rPr>
            <m:sty m:val="p"/>
          </m:rPr>
          <m:t>i</m:t>
        </m:r>
        <m:r>
          <m:rPr>
            <m:sty m:val="p"/>
          </m:rPr>
          <m:t>n</m:t>
        </m:r>
        <m:r>
          <m:rPr>
            <m:sty m:val="p"/>
          </m:rPr>
          <m:t>.</m:t>
        </m:r>
      </m:oMath>
      <w:r>
        <w:rPr>
          <w:rFonts w:ascii="Times New Roman" w:hAnsi="Times New Roman" w:eastAsia="Times New Roman" w:cs="Times New Roman"/>
          <w:sz w:val="21"/>
        </w:rPr>
        <w:tab/>
        <w:t>(3)</w:t>
      </w:r>
    </w:p>
    <w:p>
      <w:pPr>
        <w:pStyle w:val="FirstParagraph"/>
        <w:widowControl/>
      </w:pPr>
      <w:r>
        <w:rPr>
          <w:rFonts w:ascii="Times New Roman" w:hAnsi="Times New Roman" w:eastAsia="Times New Roman" w:cs="Times New Roman"/>
          <w:sz w:val="21"/>
        </w:rPr>
        <w:t xml:space="preserve">Calendar days follow Europe/Lisbon civil time, giving 92 and 100 intervals on the spring and autumn daylight-saving transitions. REN intra-day sequence numbers distinguish the repeated hour. E-REDES has no fold marker, so duplicate station timestamps are averaged and flagged as ambiguous. Missing intervals are not interpolated.</w:t>
      </w:r>
    </w:p>
    <w:bookmarkEnd w:id="33"/>
    <w:bookmarkStart w:id="34" w:name="load-generation-and-storage"/>
    <w:p>
      <w:pPr>
        <w:pStyle w:val="Heading3"/>
        <w:keepNext/>
        <w:keepLines/>
        <w:widowControl/>
      </w:pPr>
      <w:r>
        <w:rPr>
          <w:rFonts w:ascii="Times New Roman" w:hAnsi="Times New Roman" w:eastAsia="Times New Roman" w:cs="Times New Roman"/>
          <w:sz w:val="22"/>
        </w:rPr>
        <w:t xml:space="preserve">Load, generation, and storage</w:t>
      </w:r>
    </w:p>
    <w:p>
      <w:pPr>
        <w:pStyle w:val="FirstParagraph"/>
        <w:widowControl/>
      </w:pPr>
      <w:r>
        <w:rPr>
          <w:rFonts w:ascii="Times New Roman" w:hAnsi="Times New Roman" w:eastAsia="Times New Roman" w:cs="Times New Roman"/>
          <w:sz w:val="21"/>
        </w:rPr>
        <w:t xml:space="preserve">E-REDES energy is mapped to buses by facility code and converted to nodal load. Equation (4) defines the unobserved national residual:</w:t>
      </w:r>
    </w:p>
    <w:p>
      <w:pPr>
        <w:pStyle w:val="BodyText"/>
        <w:keepLines/>
        <w:widowControl/>
        <w:tabs>
          <w:tab w:val="center" w:pos="4680"/>
          <w:tab w:val="right" w:pos="9360"/>
        </w:tabs>
        <w:jc w:val="left"/>
      </w:pPr>
      <w:r>
        <w:tab/>
      </w:r>
      <m:oMath>
        <m:sSub>
          <m:e>
            <m:r>
              <m:t>R</m:t>
            </m:r>
          </m:e>
          <m:sub>
            <m:r>
              <m:t>t</m:t>
            </m:r>
          </m:sub>
        </m:sSub>
        <m:r>
          <m:rPr>
            <m:sty m:val="p"/>
          </m:rPr>
          <m:t>=</m:t>
        </m:r>
        <m:sSubSup>
          <m:e>
            <m:r>
              <m:t>P</m:t>
            </m:r>
          </m:e>
          <m:sub>
            <m:r>
              <m:rPr>
                <m:sty m:val="p"/>
              </m:rPr>
              <m:t>c</m:t>
            </m:r>
            <m:r>
              <m:rPr>
                <m:sty m:val="p"/>
              </m:rPr>
              <m:t>o</m:t>
            </m:r>
            <m:r>
              <m:rPr>
                <m:sty m:val="p"/>
              </m:rPr>
              <m:t>n</m:t>
            </m:r>
            <m:r>
              <m:rPr>
                <m:sty m:val="p"/>
              </m:rPr>
              <m:t>s</m:t>
            </m:r>
            <m:r>
              <m:rPr>
                <m:sty m:val="p"/>
              </m:rPr>
              <m:t>u</m:t>
            </m:r>
            <m:r>
              <m:rPr>
                <m:sty m:val="p"/>
              </m:rPr>
              <m:t>m</m:t>
            </m:r>
            <m:r>
              <m:rPr>
                <m:sty m:val="p"/>
              </m:rPr>
              <m:t>p</m:t>
            </m:r>
            <m:r>
              <m:rPr>
                <m:sty m:val="p"/>
              </m:rPr>
              <m:t>t</m:t>
            </m:r>
            <m:r>
              <m:rPr>
                <m:sty m:val="p"/>
              </m:rPr>
              <m:t>i</m:t>
            </m:r>
            <m:r>
              <m:rPr>
                <m:sty m:val="p"/>
              </m:rPr>
              <m:t>o</m:t>
            </m:r>
            <m:r>
              <m:rPr>
                <m:sty m:val="p"/>
              </m:rPr>
              <m:t>n</m:t>
            </m:r>
            <m:r>
              <m:rPr>
                <m:sty m:val="p"/>
              </m:rPr>
              <m:t>,</m:t>
            </m:r>
            <m:r>
              <m:t>t</m:t>
            </m:r>
          </m:sub>
          <m:sup>
            <m:r>
              <m:rPr>
                <m:sty m:val="p"/>
              </m:rPr>
              <m:t>R</m:t>
            </m:r>
            <m:r>
              <m:rPr>
                <m:sty m:val="p"/>
              </m:rPr>
              <m:t>E</m:t>
            </m:r>
            <m:r>
              <m:rPr>
                <m:sty m:val="p"/>
              </m:rPr>
              <m:t>N</m:t>
            </m:r>
          </m:sup>
        </m:sSubSup>
        <m:r>
          <m:rPr>
            <m:sty m:val="p"/>
          </m:rPr>
          <m:t>−</m:t>
        </m:r>
        <m:nary>
          <m:naryPr>
            <m:chr m:val="∑"/>
            <m:limLoc m:val="undOvr"/>
            <m:subHide m:val="off"/>
            <m:supHide m:val="on"/>
          </m:naryPr>
          <m:sub>
            <m:r>
              <m:t>j</m:t>
            </m:r>
          </m:sub>
          <m:sup>
            <m:r>
              <m:t>​</m:t>
            </m:r>
          </m:sup>
          <m:e>
            <m:sSubSup>
              <m:e>
                <m:r>
                  <m:t>P</m:t>
                </m:r>
              </m:e>
              <m:sub>
                <m:r>
                  <m:t>j</m:t>
                </m:r>
                <m:r>
                  <m:rPr>
                    <m:sty m:val="p"/>
                  </m:rPr>
                  <m:t>,</m:t>
                </m:r>
                <m:r>
                  <m:t>t</m:t>
                </m:r>
              </m:sub>
              <m:sup>
                <m:r>
                  <m:rPr>
                    <m:sty m:val="p"/>
                  </m:rPr>
                  <m:t>E</m:t>
                </m:r>
                <m:r>
                  <m:rPr>
                    <m:sty m:val="p"/>
                  </m:rPr>
                  <m:t>R</m:t>
                </m:r>
                <m:r>
                  <m:rPr>
                    <m:sty m:val="p"/>
                  </m:rPr>
                  <m:t>E</m:t>
                </m:r>
                <m:r>
                  <m:rPr>
                    <m:sty m:val="p"/>
                  </m:rPr>
                  <m:t>D</m:t>
                </m:r>
                <m:r>
                  <m:rPr>
                    <m:sty m:val="p"/>
                  </m:rPr>
                  <m:t>E</m:t>
                </m:r>
                <m:r>
                  <m:rPr>
                    <m:sty m:val="p"/>
                  </m:rPr>
                  <m:t>S</m:t>
                </m:r>
              </m:sup>
            </m:sSubSup>
          </m:e>
        </m:nary>
        <m:r>
          <m:rPr>
            <m:sty m:val="p"/>
          </m:rPr>
          <m:t>.</m:t>
        </m:r>
      </m:oMath>
      <w:r>
        <w:rPr>
          <w:rFonts w:ascii="Times New Roman" w:hAnsi="Times New Roman" w:eastAsia="Times New Roman" w:cs="Times New Roman"/>
          <w:sz w:val="21"/>
        </w:rPr>
        <w:tab/>
        <w:t>(4)</w:t>
      </w:r>
    </w:p>
    <w:p>
      <w:pPr>
        <w:pStyle w:val="FirstParagraph"/>
        <w:widowControl/>
      </w:pPr>
      <w:r>
        <w:rPr>
          <w:rFonts w:ascii="Times New Roman" w:hAnsi="Times New Roman" w:eastAsia="Times New Roman" w:cs="Times New Roman"/>
          <w:sz w:val="21"/>
        </w:rPr>
        <w:t xml:space="preserve">Equation (5) assigns the residual to mapped delivery points using the PDIRT public reference profile from the same season and closest national-load condition</w:t>
      </w:r>
      <w:r>
        <w:rPr>
          <w:rFonts w:ascii="Times New Roman" w:hAnsi="Times New Roman" w:eastAsia="Times New Roman" w:cs="Times New Roman"/>
          <w:sz w:val="21"/>
          <w:vertAlign w:val="superscript"/>
        </w:rPr>
        <w:t xml:space="preserve">9</w:t>
      </w:r>
      <w:r>
        <w:rPr>
          <w:rFonts w:ascii="Times New Roman" w:hAnsi="Times New Roman" w:eastAsia="Times New Roman" w:cs="Times New Roman"/>
          <w:sz w:val="21"/>
        </w:rPr>
        <w:t xml:space="preserve">:</w:t>
      </w:r>
    </w:p>
    <w:p>
      <w:pPr>
        <w:pStyle w:val="BodyText"/>
        <w:keepLines/>
        <w:widowControl/>
        <w:tabs>
          <w:tab w:val="center" w:pos="4680"/>
          <w:tab w:val="right" w:pos="9360"/>
        </w:tabs>
        <w:jc w:val="left"/>
      </w:pPr>
      <w:r>
        <w:tab/>
      </w:r>
      <m:oMath>
        <m:sSub>
          <m:e>
            <m:r>
              <m:t>w</m:t>
            </m:r>
          </m:e>
          <m:sub>
            <m:r>
              <m:t>j</m:t>
            </m:r>
            <m:r>
              <m:rPr>
                <m:sty m:val="p"/>
              </m:rPr>
              <m:t>,</m:t>
            </m:r>
            <m:r>
              <m:t>t</m:t>
            </m:r>
          </m:sub>
        </m:sSub>
        <m:r>
          <m:rPr>
            <m:sty m:val="p"/>
          </m:rPr>
          <m:t>=</m:t>
        </m:r>
        <m:f>
          <m:fPr>
            <m:type m:val="bar"/>
          </m:fPr>
          <m:num>
            <m:sSubSup>
              <m:e>
                <m:r>
                  <m:t>P</m:t>
                </m:r>
              </m:e>
              <m:sub>
                <m:r>
                  <m:t>j</m:t>
                </m:r>
                <m:r>
                  <m:rPr>
                    <m:sty m:val="p"/>
                  </m:rPr>
                  <m:t>,</m:t>
                </m:r>
                <m:r>
                  <m:t>r</m:t>
                </m:r>
                <m:d>
                  <m:dPr>
                    <m:begChr m:val="("/>
                    <m:endChr m:val=")"/>
                    <m:sepChr m:val=""/>
                    <m:grow/>
                  </m:dPr>
                  <m:e>
                    <m:r>
                      <m:t>t</m:t>
                    </m:r>
                  </m:e>
                </m:d>
              </m:sub>
              <m:sup>
                <m:r>
                  <m:rPr>
                    <m:sty m:val="p"/>
                  </m:rPr>
                  <m:t>P</m:t>
                </m:r>
                <m:r>
                  <m:rPr>
                    <m:sty m:val="p"/>
                  </m:rPr>
                  <m:t>D</m:t>
                </m:r>
                <m:r>
                  <m:rPr>
                    <m:sty m:val="p"/>
                  </m:rPr>
                  <m:t>I</m:t>
                </m:r>
                <m:r>
                  <m:rPr>
                    <m:sty m:val="p"/>
                  </m:rPr>
                  <m:t>R</m:t>
                </m:r>
                <m:r>
                  <m:rPr>
                    <m:sty m:val="p"/>
                  </m:rPr>
                  <m:t>T</m:t>
                </m:r>
              </m:sup>
            </m:sSubSup>
          </m:num>
          <m:den>
            <m:nary>
              <m:naryPr>
                <m:chr m:val="∑"/>
                <m:limLoc m:val="undOvr"/>
                <m:subHide m:val="off"/>
                <m:supHide m:val="on"/>
              </m:naryPr>
              <m:sub>
                <m:r>
                  <m:t>k</m:t>
                </m:r>
                <m:r>
                  <m:rPr>
                    <m:sty m:val="p"/>
                  </m:rPr>
                  <m:t>∈</m:t>
                </m:r>
                <m:r>
                  <m:rPr>
                    <m:sty m:val="p"/>
                    <m:scr m:val="script"/>
                  </m:rPr>
                  <m:t>M</m:t>
                </m:r>
              </m:sub>
              <m:sup>
                <m:r>
                  <m:t>​</m:t>
                </m:r>
              </m:sup>
              <m:e>
                <m:sSubSup>
                  <m:e>
                    <m:r>
                      <m:t>P</m:t>
                    </m:r>
                  </m:e>
                  <m:sub>
                    <m:r>
                      <m:t>k</m:t>
                    </m:r>
                    <m:r>
                      <m:rPr>
                        <m:sty m:val="p"/>
                      </m:rPr>
                      <m:t>,</m:t>
                    </m:r>
                    <m:r>
                      <m:t>r</m:t>
                    </m:r>
                    <m:d>
                      <m:dPr>
                        <m:begChr m:val="("/>
                        <m:endChr m:val=")"/>
                        <m:sepChr m:val=""/>
                        <m:grow/>
                      </m:dPr>
                      <m:e>
                        <m:r>
                          <m:t>t</m:t>
                        </m:r>
                      </m:e>
                    </m:d>
                  </m:sub>
                  <m:sup>
                    <m:r>
                      <m:rPr>
                        <m:sty m:val="p"/>
                      </m:rPr>
                      <m:t>P</m:t>
                    </m:r>
                    <m:r>
                      <m:rPr>
                        <m:sty m:val="p"/>
                      </m:rPr>
                      <m:t>D</m:t>
                    </m:r>
                    <m:r>
                      <m:rPr>
                        <m:sty m:val="p"/>
                      </m:rPr>
                      <m:t>I</m:t>
                    </m:r>
                    <m:r>
                      <m:rPr>
                        <m:sty m:val="p"/>
                      </m:rPr>
                      <m:t>R</m:t>
                    </m:r>
                    <m:r>
                      <m:rPr>
                        <m:sty m:val="p"/>
                      </m:rPr>
                      <m:t>T</m:t>
                    </m:r>
                  </m:sup>
                </m:sSubSup>
              </m:e>
            </m:nary>
          </m:den>
        </m:f>
        <m:r>
          <m:rPr>
            <m:sty m:val="p"/>
          </m:rPr>
          <m:t>,</m:t>
        </m:r>
        <m:r>
          <m:t>  </m:t>
        </m:r>
        <m:sSubSup>
          <m:e>
            <m:r>
              <m:t>P</m:t>
            </m:r>
          </m:e>
          <m:sub>
            <m:r>
              <m:t>j</m:t>
            </m:r>
            <m:r>
              <m:rPr>
                <m:sty m:val="p"/>
              </m:rPr>
              <m:t>,</m:t>
            </m:r>
            <m:r>
              <m:t>t</m:t>
            </m:r>
          </m:sub>
          <m:sup>
            <m:r>
              <m:rPr>
                <m:sty m:val="p"/>
              </m:rPr>
              <m:t>r</m:t>
            </m:r>
            <m:r>
              <m:rPr>
                <m:sty m:val="p"/>
              </m:rPr>
              <m:t>e</m:t>
            </m:r>
            <m:r>
              <m:rPr>
                <m:sty m:val="p"/>
              </m:rPr>
              <m:t>s</m:t>
            </m:r>
          </m:sup>
        </m:sSubSup>
        <m:r>
          <m:rPr>
            <m:sty m:val="p"/>
          </m:rPr>
          <m:t>=</m:t>
        </m:r>
        <m:sSub>
          <m:e>
            <m:r>
              <m:t>w</m:t>
            </m:r>
          </m:e>
          <m:sub>
            <m:r>
              <m:t>j</m:t>
            </m:r>
            <m:r>
              <m:rPr>
                <m:sty m:val="p"/>
              </m:rPr>
              <m:t>,</m:t>
            </m:r>
            <m:r>
              <m:t>t</m:t>
            </m:r>
          </m:sub>
        </m:sSub>
        <m:sSub>
          <m:e>
            <m:r>
              <m:t>R</m:t>
            </m:r>
          </m:e>
          <m:sub>
            <m:r>
              <m:t>t</m:t>
            </m:r>
          </m:sub>
        </m:sSub>
        <m:r>
          <m:rPr>
            <m:sty m:val="p"/>
          </m:rPr>
          <m:t>.</m:t>
        </m:r>
      </m:oMath>
      <w:r>
        <w:rPr>
          <w:rFonts w:ascii="Times New Roman" w:hAnsi="Times New Roman" w:eastAsia="Times New Roman" w:cs="Times New Roman"/>
          <w:sz w:val="21"/>
        </w:rPr>
        <w:tab/>
        <w:t>(5)</w:t>
      </w:r>
    </w:p>
    <w:p>
      <w:pPr>
        <w:pStyle w:val="FirstParagraph"/>
        <w:widowControl/>
      </w:pPr>
      <w:r>
        <w:rPr>
          <w:rFonts w:ascii="Times New Roman" w:hAnsi="Times New Roman" w:eastAsia="Times New Roman" w:cs="Times New Roman"/>
          <w:sz w:val="21"/>
        </w:rPr>
        <w:t xml:space="preserve">The profile provides only spatial weights and does not change the 15-minute resolution. E-REDES load uses a 0.97 power factor where reactive power is not observed; residual load retains the PDIRT</w:t>
      </w:r>
      <w:r>
        <w:rPr>
          <w:rFonts w:ascii="Times New Roman" w:hAnsi="Times New Roman" w:eastAsia="Times New Roman" w:cs="Times New Roman"/>
          <w:sz w:val="21"/>
        </w:rPr>
        <w:t xml:space="preserve"> </w:t>
      </w:r>
      <m:oMath>
        <m:r>
          <m:t>Q</m:t>
        </m:r>
        <m:r>
          <m:rPr>
            <m:sty m:val="p"/>
          </m:rPr>
          <m:t>/</m:t>
        </m:r>
        <m:r>
          <m:t>P</m:t>
        </m:r>
      </m:oMath>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relationship. Pumping and battery charging are distributed by mapped storage capacity, with any remainder assigned to an explicit national proxy. Nodal electric load must sum to REN</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Consumption + Storage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within 0.11 MW.</w:t>
      </w:r>
    </w:p>
    <w:p>
      <w:pPr>
        <w:pStyle w:val="BodyText"/>
        <w:widowControl/>
        <w:jc w:val="left"/>
      </w:pPr>
      <w:r>
        <w:rPr>
          <w:rFonts w:ascii="Times New Roman" w:hAnsi="Times New Roman" w:eastAsia="Times New Roman" w:cs="Times New Roman"/>
          <w:sz w:val="21"/>
        </w:rPr>
        <w:t xml:space="preserve">REN generation by technology is distributed among mapped and commissioned assets of the same technology under</w:t>
      </w:r>
      <w:r>
        <w:rPr>
          <w:rFonts w:ascii="Times New Roman" w:hAnsi="Times New Roman" w:eastAsia="Times New Roman" w:cs="Times New Roman"/>
          <w:sz w:val="21"/>
        </w:rPr>
        <w:t xml:space="preserve"> </w:t>
      </w:r>
      <m:oMath>
        <m:r>
          <m:t>0</m:t>
        </m:r>
        <m:r>
          <m:rPr>
            <m:sty m:val="p"/>
          </m:rPr>
          <m:t>≤</m:t>
        </m:r>
        <m:sSub>
          <m:e>
            <m:r>
              <m:t>P</m:t>
            </m:r>
          </m:e>
          <m:sub>
            <m:r>
              <m:t>g</m:t>
            </m:r>
            <m:r>
              <m:rPr>
                <m:sty m:val="p"/>
              </m:rPr>
              <m:t>,</m:t>
            </m:r>
            <m:r>
              <m:t>t</m:t>
            </m:r>
          </m:sub>
        </m:sSub>
        <m:r>
          <m:rPr>
            <m:sty m:val="p"/>
          </m:rPr>
          <m:t>≤</m:t>
        </m:r>
        <m:sSubSup>
          <m:e>
            <m:r>
              <m:t>P</m:t>
            </m:r>
          </m:e>
          <m:sub>
            <m:r>
              <m:t>g</m:t>
            </m:r>
          </m:sub>
          <m:sup>
            <m:r>
              <m:rPr>
                <m:sty m:val="p"/>
              </m:rPr>
              <m:t>n</m:t>
            </m:r>
            <m:r>
              <m:rPr>
                <m:sty m:val="p"/>
              </m:rPr>
              <m:t>a</m:t>
            </m:r>
            <m:r>
              <m:rPr>
                <m:sty m:val="p"/>
              </m:rPr>
              <m:t>m</m:t>
            </m:r>
            <m:r>
              <m:rPr>
                <m:sty m:val="p"/>
              </m:rPr>
              <m:t>e</m:t>
            </m:r>
            <m:r>
              <m:rPr>
                <m:sty m:val="p"/>
              </m:rPr>
              <m:t>p</m:t>
            </m:r>
            <m:r>
              <m:rPr>
                <m:sty m:val="p"/>
              </m:rPr>
              <m:t>l</m:t>
            </m:r>
            <m:r>
              <m:rPr>
                <m:sty m:val="p"/>
              </m:rPr>
              <m:t>a</m:t>
            </m:r>
            <m:r>
              <m:rPr>
                <m:sty m:val="p"/>
              </m:rPr>
              <m:t>t</m:t>
            </m:r>
            <m:r>
              <m:rPr>
                <m:sty m:val="p"/>
              </m:rPr>
              <m:t>e</m:t>
            </m:r>
          </m:sup>
        </m:sSubSup>
      </m:oMath>
      <w:r>
        <w:rPr>
          <w:rFonts w:ascii="Times New Roman" w:hAnsi="Times New Roman" w:eastAsia="Times New Roman" w:cs="Times New Roman"/>
          <w:sz w:val="21"/>
        </w:rPr>
        <w:t xml:space="preserve">. Hydro and natural gas use deterministic capacity-priority allocation, while other technologies use available-capacity shares. Generation beyond mapped capacity is injected at a designated 400 kV proxy bus as</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UNMAPPED_NATIONAL_RESIDUAL_PROXY</w:t>
      </w:r>
      <w:r>
        <w:rPr>
          <w:rFonts w:ascii="Times New Roman" w:hAnsi="Times New Roman" w:eastAsia="Times New Roman" w:cs="Times New Roman"/>
          <w:sz w:val="21"/>
        </w:rPr>
        <w:t xml:space="preserve">; it must not be interpreted as the location of an omitted plant.</w:t>
      </w:r>
    </w:p>
    <w:p>
      <w:pPr>
        <w:pStyle w:val="BodyText"/>
        <w:widowControl/>
      </w:pPr>
      <w:r>
        <w:rPr>
          <w:rFonts w:ascii="Times New Roman" w:hAnsi="Times New Roman" w:eastAsia="Times New Roman" w:cs="Times New Roman"/>
          <w:sz w:val="21"/>
        </w:rPr>
        <w:t xml:space="preserve">REN imports and exports are aligned to the common calendar but withheld from boundary-power enforcement. Before solution, the pipeline checks timestamps, required series, mapping completeness, load and generation conservation, and capacity limits. Table 5 summarizes the executable mapping and conservation rules. The associated source, bus-assignment, availability, observed-load, residual-load, reactive-power, boundary, and conservation fields are retained in the equipment tables and each case-level audit bundle.</w:t>
      </w:r>
    </w:p>
    <w:p>
      <w:pPr>
        <w:pStyle w:val="TableCaption"/>
        <w:keepNext/>
        <w:widowControl/>
      </w:pPr>
      <w:r>
        <w:rPr>
          <w:rFonts w:ascii="Times New Roman" w:hAnsi="Times New Roman" w:eastAsia="Times New Roman" w:cs="Times New Roman"/>
          <w:b/>
          <w:bCs/>
          <w:sz w:val="18"/>
        </w:rPr>
        <w:t xml:space="preserve">Table 5—Asset mapping and time-series transformation rules.</w:t>
      </w:r>
    </w:p>
    <w:tbl>
      <w:tblPr>
        <w:tblStyle w:val="Table"/>
        <w:tblW w:type="pct" w:w="5000"/>
        <w:jc w:val="left"/>
        <w:tblLayout w:type="autofit"/>
        <w:tblLook w:firstRow="1" w:lastRow="0" w:firstColumn="0" w:lastColumn="0" w:noHBand="0" w:noVBand="0" w:val="0020"/>
      </w:tblPr>
      <w:tblGrid>
        <w:gridCol w:w="2640"/>
        <w:gridCol w:w="2640"/>
        <w:gridCol w:w="2640"/>
      </w:tblGrid>
      <w:tr>
        <w:trPr>
          <w:tblHeader w:val="on"/>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Process</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sz w:val="16"/>
              </w:rPr>
              <w:t xml:space="preserve">Rule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Audit or conservative treatment</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Asset deduplication</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Merge plant/generator records within 3 km and with consistent capacity</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Preserve hierarchical deduplication status</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Bus mapping</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Public connection, declared voltage, then constrained nearest bus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Maximum 20 km; retain but do not inject out-of-range assets</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Asset without declared voltage</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Capacity</w:t>
            </w:r>
            <w:r>
              <w:rPr>
                <w:rFonts w:ascii="Times New Roman" w:hAnsi="Times New Roman" w:eastAsia="Times New Roman" w:cs="Times New Roman"/>
                <w:b w:val="0"/>
                <w:sz w:val="16"/>
              </w:rPr>
              <w:t xml:space="preserve"> </w:t>
            </w:r>
            <m:oMath>
              <m:r>
                <m:rPr>
                  <m:sty m:val="p"/>
                </m:rPr>
                <m:t>≥</m:t>
              </m:r>
              <m:r>
                <m:t>100</m:t>
              </m:r>
            </m:oMath>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MW searches</w:t>
            </w:r>
            <w:r>
              <w:rPr>
                <w:rFonts w:ascii="Times New Roman" w:hAnsi="Times New Roman" w:eastAsia="Times New Roman" w:cs="Times New Roman"/>
                <w:b w:val="0"/>
                <w:sz w:val="16"/>
              </w:rPr>
              <w:t xml:space="preserve"> </w:t>
            </w:r>
            <m:oMath>
              <m:r>
                <m:rPr>
                  <m:sty m:val="p"/>
                </m:rPr>
                <m:t>≥</m:t>
              </m:r>
              <m:r>
                <m:t>150</m:t>
              </m:r>
            </m:oMath>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kV; otherwise</w:t>
            </w:r>
            <w:r>
              <w:rPr>
                <w:rFonts w:ascii="Times New Roman" w:hAnsi="Times New Roman" w:eastAsia="Times New Roman" w:cs="Times New Roman"/>
                <w:b w:val="0"/>
                <w:sz w:val="16"/>
              </w:rPr>
              <w:t xml:space="preserve"> </w:t>
            </w:r>
            <m:oMath>
              <m:r>
                <m:rPr>
                  <m:sty m:val="p"/>
                </m:rPr>
                <m:t>≥</m:t>
              </m:r>
              <m:r>
                <m:t>60</m:t>
              </m:r>
            </m:oMath>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kV</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Spatial proximity is not treated as connection truth</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Commissioning status</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Disable when commissioning date is later than the case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Treat unknown dates as available and flag them</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Time labels</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REN start; E-REDES end shifted by −15 min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Common key is UTC interval start</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Daylight saving / missing data</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Lisbon civil days contain 92, 96, or 100 intervals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Average and flag repeated E-REDES station labels; no interpolation</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Energy to power</w:t>
            </w:r>
          </w:p>
        </w:tc>
        <w:tc>
          <w:tcPr>
            <w:vAlign w:val="center"/>
            <w:tcMar>
              <w:top w:w="70" w:type="dxa"/>
              <w:bottom w:w="70" w:type="dxa"/>
              <w:start w:w="90" w:type="dxa"/>
              <w:end w:w="90" w:type="dxa"/>
            </w:tcMar>
          </w:tcPr>
          <w:p>
            <w:pPr>
              <w:pStyle w:val="Compact"/>
              <w:widowControl/>
              <w:spacing w:before="0" w:after="40" w:line="240" w:lineRule="auto"/>
              <w:jc w:val="center"/>
            </w:pPr>
            <m:oMath>
              <m:r>
                <m:t>P</m:t>
              </m:r>
              <m:d>
                <m:dPr>
                  <m:begChr m:val="("/>
                  <m:endChr m:val=")"/>
                  <m:sepChr m:val=""/>
                  <m:grow/>
                </m:dPr>
                <m:e>
                  <m:r>
                    <m:rPr>
                      <m:sty m:val="p"/>
                    </m:rPr>
                    <m:t>M</m:t>
                  </m:r>
                  <m:r>
                    <m:rPr>
                      <m:sty m:val="p"/>
                    </m:rPr>
                    <m:t>W</m:t>
                  </m:r>
                </m:e>
              </m:d>
              <m:r>
                <m:rPr>
                  <m:sty m:val="p"/>
                </m:rPr>
                <m:t>=</m:t>
              </m:r>
              <m:r>
                <m:t>E</m:t>
              </m:r>
              <m:d>
                <m:dPr>
                  <m:begChr m:val="("/>
                  <m:endChr m:val=")"/>
                  <m:sepChr m:val=""/>
                  <m:grow/>
                </m:dPr>
                <m:e>
                  <m:r>
                    <m:rPr>
                      <m:sty m:val="p"/>
                    </m:rPr>
                    <m:t>k</m:t>
                  </m:r>
                  <m:r>
                    <m:rPr>
                      <m:sty m:val="p"/>
                    </m:rPr>
                    <m:t>W</m:t>
                  </m:r>
                  <m:r>
                    <m:rPr>
                      <m:sty m:val="p"/>
                    </m:rPr>
                    <m:t>h</m:t>
                  </m:r>
                </m:e>
              </m:d>
              <m:r>
                <m:rPr>
                  <m:sty m:val="p"/>
                </m:rPr>
                <m:t>/</m:t>
              </m:r>
              <m:r>
                <m:t>250</m:t>
              </m:r>
            </m:oMath>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Interval-average power over 15 min</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Direct load and residual</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E-REDES observations plus PDIRT-weighted REN consumption residual</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pf=0.97 when Q is missing; retain residual Q/P</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Pumping and battery charging</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Positive values are electric load; distribute by mapped storage capacity</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Total load returns to Consumption + Storage</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Generation allocation</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Same technology, mapped, commissioned, and nameplate-constrained</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Hydro/gas use capacity priority; others use capacity share</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Unmapped generation residual</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Explicit national proxy-bus injection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Must not be interpreted as a physical omitted-plant location</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Cross-border exchange</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REN imports/exports used only after solution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Initial model solution determines boundary injections</w:t>
            </w:r>
          </w:p>
        </w:tc>
      </w:tr>
    </w:tbl>
    <w:p>
      <w:pPr>
        <w:pStyle w:val="BodyText"/>
        <w:widowControl/>
        <w:jc w:val="left"/>
      </w:pPr>
      <w:r>
        <w:rPr>
          <w:rFonts w:ascii="Times New Roman" w:hAnsi="Times New Roman" w:eastAsia="Times New Roman" w:cs="Times New Roman"/>
          <w:b/>
          <w:bCs/>
          <w:sz w:val="21"/>
        </w:rPr>
        <w:t xml:space="preserve">Table note.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The physical fields are named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timestamp_utc</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in the calendar and monthly databases;</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interval_start_utc</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describes their temporal semantics.</w:t>
      </w:r>
    </w:p>
    <w:bookmarkEnd w:id="34"/>
    <w:bookmarkEnd w:id="35"/>
    <w:bookmarkStart w:id="38" w:name="Xcf87b73a2d742fbfcbcb17e03e25b153df55fc3"/>
    <w:p>
      <w:pPr>
        <w:pStyle w:val="Heading2"/>
        <w:keepNext/>
        <w:keepLines/>
        <w:widowControl/>
      </w:pPr>
      <w:r>
        <w:rPr>
          <w:rFonts w:ascii="Times New Roman" w:hAnsi="Times New Roman" w:eastAsia="Times New Roman" w:cs="Times New Roman"/>
          <w:sz w:val="24"/>
        </w:rPr>
        <w:t xml:space="preserve">Time-indexed case generation and alternating-current power flow</w:t>
      </w:r>
    </w:p>
    <w:p>
      <w:pPr>
        <w:pStyle w:val="FirstParagraph"/>
        <w:widowControl/>
      </w:pPr>
      <w:r>
        <w:rPr>
          <w:rFonts w:ascii="Times New Roman" w:hAnsi="Times New Roman" w:eastAsia="Times New Roman" w:cs="Times New Roman"/>
          <w:sz w:val="21"/>
        </w:rPr>
        <w:t xml:space="preserve">Each 15-minute interval defines the steady-state case in Equation (6):</w:t>
      </w:r>
    </w:p>
    <w:p>
      <w:pPr>
        <w:pStyle w:val="BodyText"/>
        <w:keepLines/>
        <w:widowControl/>
        <w:tabs>
          <w:tab w:val="center" w:pos="4680"/>
          <w:tab w:val="right" w:pos="9360"/>
        </w:tabs>
        <w:jc w:val="left"/>
      </w:pPr>
      <w:r>
        <w:tab/>
      </w:r>
      <m:oMath>
        <m:sSub>
          <m:e>
            <m:r>
              <m:t>C</m:t>
            </m:r>
          </m:e>
          <m:sub>
            <m:r>
              <m:t>t</m:t>
            </m:r>
          </m:sub>
        </m:sSub>
        <m:r>
          <m:rPr>
            <m:sty m:val="p"/>
          </m:rPr>
          <m:t>=</m:t>
        </m:r>
        <m:d>
          <m:dPr>
            <m:begChr m:val="("/>
            <m:endChr m:val=")"/>
            <m:sepChr m:val=""/>
            <m:grow/>
          </m:dPr>
          <m:e>
            <m:r>
              <m:t>G</m:t>
            </m:r>
            <m:r>
              <m:rPr>
                <m:sty m:val="p"/>
              </m:rPr>
              <m:t>,</m:t>
            </m:r>
            <m:r>
              <m:t>θ</m:t>
            </m:r>
            <m:r>
              <m:rPr>
                <m:sty m:val="p"/>
              </m:rPr>
              <m:t>,</m:t>
            </m:r>
            <m:sSub>
              <m:e>
                <m:r>
                  <m:t>X</m:t>
                </m:r>
              </m:e>
              <m:sub>
                <m:r>
                  <m:t>t</m:t>
                </m:r>
              </m:sub>
            </m:sSub>
            <m:r>
              <m:rPr>
                <m:sty m:val="p"/>
              </m:rPr>
              <m:t>,</m:t>
            </m:r>
            <m:sSub>
              <m:e>
                <m:r>
                  <m:t>S</m:t>
                </m:r>
              </m:e>
              <m:sub>
                <m:r>
                  <m:t>t</m:t>
                </m:r>
              </m:sub>
            </m:sSub>
            <m:r>
              <m:rPr>
                <m:sty m:val="p"/>
              </m:rPr>
              <m:t>,</m:t>
            </m:r>
            <m:sSub>
              <m:e>
                <m:r>
                  <m:t>U</m:t>
                </m:r>
              </m:e>
              <m:sub>
                <m:r>
                  <m:t>t</m:t>
                </m:r>
              </m:sub>
            </m:sSub>
            <m:r>
              <m:rPr>
                <m:sty m:val="p"/>
              </m:rPr>
              <m:t>,</m:t>
            </m:r>
            <m:sSub>
              <m:e>
                <m:r>
                  <m:t>B</m:t>
                </m:r>
              </m:e>
              <m:sub>
                <m:r>
                  <m:t>t</m:t>
                </m:r>
              </m:sub>
            </m:sSub>
          </m:e>
        </m:d>
        <m:r>
          <m:rPr>
            <m:sty m:val="p"/>
          </m:rPr>
          <m:t>,</m:t>
        </m:r>
      </m:oMath>
      <w:r>
        <w:rPr>
          <w:rFonts w:ascii="Times New Roman" w:hAnsi="Times New Roman" w:eastAsia="Times New Roman" w:cs="Times New Roman"/>
          <w:sz w:val="21"/>
        </w:rPr>
        <w:tab/>
        <w:t>(6)</w:t>
      </w:r>
    </w:p>
    <w:p>
      <w:pPr>
        <w:pStyle w:val="FirstParagraph"/>
        <w:widowControl/>
      </w:pPr>
      <w:r>
        <w:rPr>
          <w:rFonts w:ascii="Times New Roman" w:hAnsi="Times New Roman" w:eastAsia="Times New Roman" w:cs="Times New Roman"/>
          <w:sz w:val="21"/>
        </w:rPr>
        <w:t xml:space="preserve">where the static network</w:t>
      </w:r>
      <w:r>
        <w:rPr>
          <w:rFonts w:ascii="Times New Roman" w:hAnsi="Times New Roman" w:eastAsia="Times New Roman" w:cs="Times New Roman"/>
          <w:sz w:val="21"/>
        </w:rPr>
        <w:t xml:space="preserve"> </w:t>
      </w:r>
      <m:oMath>
        <m:r>
          <m:t>G</m:t>
        </m:r>
      </m:oMath>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parameters</w:t>
      </w:r>
      <w:r>
        <w:rPr>
          <w:rFonts w:ascii="Times New Roman" w:hAnsi="Times New Roman" w:eastAsia="Times New Roman" w:cs="Times New Roman"/>
          <w:sz w:val="21"/>
        </w:rPr>
        <w:t xml:space="preserve"> </w:t>
      </w:r>
      <m:oMath>
        <m:r>
          <m:t>θ</m:t>
        </m:r>
      </m:oMath>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are shared, while operating inputs</w:t>
      </w:r>
      <w:r>
        <w:rPr>
          <w:rFonts w:ascii="Times New Roman" w:hAnsi="Times New Roman" w:eastAsia="Times New Roman" w:cs="Times New Roman"/>
          <w:sz w:val="21"/>
        </w:rPr>
        <w:t xml:space="preserve"> </w:t>
      </w:r>
      <m:oMath>
        <m:sSub>
          <m:e>
            <m:r>
              <m:t>X</m:t>
            </m:r>
          </m:e>
          <m:sub>
            <m:r>
              <m:t>t</m:t>
            </m:r>
          </m:sub>
        </m:sSub>
      </m:oMath>
      <w:r>
        <w:rPr>
          <w:rFonts w:ascii="Times New Roman" w:hAnsi="Times New Roman" w:eastAsia="Times New Roman" w:cs="Times New Roman"/>
          <w:sz w:val="21"/>
        </w:rPr>
        <w:t xml:space="preserve">, device status</w:t>
      </w:r>
      <w:r>
        <w:rPr>
          <w:rFonts w:ascii="Times New Roman" w:hAnsi="Times New Roman" w:eastAsia="Times New Roman" w:cs="Times New Roman"/>
          <w:sz w:val="21"/>
        </w:rPr>
        <w:t xml:space="preserve"> </w:t>
      </w:r>
      <m:oMath>
        <m:sSub>
          <m:e>
            <m:r>
              <m:t>S</m:t>
            </m:r>
          </m:e>
          <m:sub>
            <m:r>
              <m:t>t</m:t>
            </m:r>
          </m:sub>
        </m:sSub>
      </m:oMath>
      <w:r>
        <w:rPr>
          <w:rFonts w:ascii="Times New Roman" w:hAnsi="Times New Roman" w:eastAsia="Times New Roman" w:cs="Times New Roman"/>
          <w:sz w:val="21"/>
        </w:rPr>
        <w:t xml:space="preserve">, controls</w:t>
      </w:r>
      <w:r>
        <w:rPr>
          <w:rFonts w:ascii="Times New Roman" w:hAnsi="Times New Roman" w:eastAsia="Times New Roman" w:cs="Times New Roman"/>
          <w:sz w:val="21"/>
        </w:rPr>
        <w:t xml:space="preserve"> </w:t>
      </w:r>
      <m:oMath>
        <m:sSub>
          <m:e>
            <m:r>
              <m:t>U</m:t>
            </m:r>
          </m:e>
          <m:sub>
            <m:r>
              <m:t>t</m:t>
            </m:r>
          </m:sub>
        </m:sSub>
      </m:oMath>
      <w:r>
        <w:rPr>
          <w:rFonts w:ascii="Times New Roman" w:hAnsi="Times New Roman" w:eastAsia="Times New Roman" w:cs="Times New Roman"/>
          <w:sz w:val="21"/>
        </w:rPr>
        <w:t xml:space="preserve">, and boundary equivalent</w:t>
      </w:r>
      <w:r>
        <w:rPr>
          <w:rFonts w:ascii="Times New Roman" w:hAnsi="Times New Roman" w:eastAsia="Times New Roman" w:cs="Times New Roman"/>
          <w:sz w:val="21"/>
        </w:rPr>
        <w:t xml:space="preserve"> </w:t>
      </w:r>
      <m:oMath>
        <m:sSub>
          <m:e>
            <m:r>
              <m:t>B</m:t>
            </m:r>
          </m:e>
          <m:sub>
            <m:r>
              <m:t>t</m:t>
            </m:r>
          </m:sub>
        </m:sSub>
      </m:oMath>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vary with time. The principal dataset contains one case per interval, while sensitivity and contingency records use separately selected representative times and are stored in distinct scenario tables.</w:t>
      </w:r>
    </w:p>
    <w:bookmarkStart w:id="36" w:name="case-assembly-and-solution"/>
    <w:p>
      <w:pPr>
        <w:pStyle w:val="Heading3"/>
        <w:keepNext/>
        <w:keepLines/>
        <w:widowControl/>
      </w:pPr>
      <w:r>
        <w:rPr>
          <w:rFonts w:ascii="Times New Roman" w:hAnsi="Times New Roman" w:eastAsia="Times New Roman" w:cs="Times New Roman"/>
          <w:sz w:val="22"/>
        </w:rPr>
        <w:t xml:space="preserve">Case assembly and solution</w:t>
      </w:r>
    </w:p>
    <w:p>
      <w:pPr>
        <w:pStyle w:val="FirstParagraph"/>
        <w:widowControl/>
      </w:pPr>
      <w:r>
        <w:rPr>
          <w:rFonts w:ascii="Times New Roman" w:hAnsi="Times New Roman" w:eastAsia="Times New Roman" w:cs="Times New Roman"/>
          <w:sz w:val="21"/>
        </w:rPr>
        <w:t xml:space="preserve">Each case updates load, generation, equipment availability, seasonal ratings, and boundary equivalents. An initial boundary solution determines model net exchange. One angular reference is then retained, and the other boundary nodes receive fixed active-power equivalents distributed by public voltage and circuit count. Contemporaneous REN exchange is used only for post-solution comparison.</w:t>
      </w:r>
    </w:p>
    <w:p>
      <w:pPr>
        <w:pStyle w:val="BodyText"/>
        <w:widowControl/>
      </w:pPr>
      <w:r>
        <w:rPr>
          <w:rFonts w:ascii="Times New Roman" w:hAnsi="Times New Roman" w:eastAsia="Times New Roman" w:cs="Times New Roman"/>
          <w:sz w:val="21"/>
        </w:rPr>
        <w:t xml:space="preserve">AC power flow uses the pandapower Newton–Raphson implementation with DC initialization</w:t>
      </w:r>
      <w:r>
        <w:rPr>
          <w:rFonts w:ascii="Times New Roman" w:hAnsi="Times New Roman" w:eastAsia="Times New Roman" w:cs="Times New Roman"/>
          <w:sz w:val="21"/>
          <w:vertAlign w:val="superscript"/>
        </w:rPr>
        <w:t xml:space="preserve">1</w:t>
      </w:r>
      <w:r>
        <w:rPr>
          <w:rFonts w:ascii="Times New Roman" w:hAnsi="Times New Roman" w:eastAsia="Times New Roman" w:cs="Times New Roman"/>
          <w:sz w:val="21"/>
        </w:rPr>
        <w:t xml:space="preserve">. The principal workflow enforces reactive-power limits, resolves once after boundary reconstruction, and performs a bounded tap search. Table 6 lists seasonal ratings, PV/PQ rules, compensation, reactors, boundary weights, and numerical settings. These common settings are computational proxies rather than operator control policies.</w:t>
      </w:r>
    </w:p>
    <w:bookmarkEnd w:id="36"/>
    <w:bookmarkStart w:id="37" w:name="monthly-execution"/>
    <w:p>
      <w:pPr>
        <w:pStyle w:val="Heading3"/>
        <w:keepNext/>
        <w:keepLines/>
        <w:widowControl/>
      </w:pPr>
      <w:r>
        <w:rPr>
          <w:rFonts w:ascii="Times New Roman" w:hAnsi="Times New Roman" w:eastAsia="Times New Roman" w:cs="Times New Roman"/>
          <w:sz w:val="22"/>
        </w:rPr>
        <w:t xml:space="preserve">Monthly execution</w:t>
      </w:r>
    </w:p>
    <w:p>
      <w:pPr>
        <w:pStyle w:val="FirstParagraph"/>
        <w:widowControl/>
      </w:pPr>
      <w:r>
        <w:rPr>
          <w:rFonts w:ascii="Times New Roman" w:hAnsi="Times New Roman" w:eastAsia="Times New Roman" w:cs="Times New Roman"/>
          <w:sz w:val="21"/>
        </w:rPr>
        <w:t xml:space="preserve">Cases are processed in parallel by civil month. Workers read inputs and solve cases independently, whereas the parent process writes summaries, state arrays, and audit bundles in one transaction. Re-runs skip complete cases and retry failed cases. A month is complete only when expected cases, completed cases, state arrays, and audit bundles agree.</w:t>
      </w:r>
    </w:p>
    <w:p>
      <w:pPr>
        <w:pStyle w:val="TableCaption"/>
        <w:keepNext/>
        <w:widowControl/>
      </w:pPr>
      <w:r>
        <w:rPr>
          <w:rFonts w:ascii="Times New Roman" w:hAnsi="Times New Roman" w:eastAsia="Times New Roman" w:cs="Times New Roman"/>
          <w:b/>
          <w:bCs/>
          <w:sz w:val="18"/>
        </w:rPr>
        <w:t xml:space="preserve">Table 6—Case and solver settings.</w:t>
      </w:r>
    </w:p>
    <w:tbl>
      <w:tblPr>
        <w:tblStyle w:val="Table"/>
        <w:tblW w:type="pct" w:w="5000"/>
        <w:jc w:val="left"/>
        <w:tblLayout w:type="autofit"/>
        <w:tblLook w:firstRow="1" w:lastRow="0" w:firstColumn="0" w:lastColumn="0" w:noHBand="0" w:noVBand="0" w:val="0020"/>
      </w:tblPr>
      <w:tblGrid>
        <w:gridCol w:w="2640"/>
        <w:gridCol w:w="2640"/>
        <w:gridCol w:w="2640"/>
      </w:tblGrid>
      <w:tr>
        <w:trPr>
          <w:tblHeader w:val="on"/>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Item</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sz w:val="16"/>
              </w:rPr>
              <w:t xml:space="preserve">Value or rule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Status</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Seasonal line rating</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May–Sep ×1.00; Mar–Apr and Oct–Nov ×1.10; Dec–Feb ×1.15</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Engineering proxy relative to summer base</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PV threshold</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Non-battery; installed capacity</w:t>
            </w:r>
            <w:r>
              <w:rPr>
                <w:rFonts w:ascii="Times New Roman" w:hAnsi="Times New Roman" w:eastAsia="Times New Roman" w:cs="Times New Roman"/>
                <w:b w:val="0"/>
                <w:sz w:val="16"/>
              </w:rPr>
              <w:t xml:space="preserve"> </w:t>
            </w:r>
            <m:oMath>
              <m:r>
                <m:rPr>
                  <m:sty m:val="p"/>
                </m:rPr>
                <m:t>≥</m:t>
              </m:r>
              <m:r>
                <m:t>20</m:t>
              </m:r>
            </m:oMath>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MW and voltage</w:t>
            </w:r>
            <w:r>
              <w:rPr>
                <w:rFonts w:ascii="Times New Roman" w:hAnsi="Times New Roman" w:eastAsia="Times New Roman" w:cs="Times New Roman"/>
                <w:b w:val="0"/>
                <w:sz w:val="16"/>
              </w:rPr>
              <w:t xml:space="preserve"> </w:t>
            </w:r>
            <m:oMath>
              <m:r>
                <m:rPr>
                  <m:sty m:val="p"/>
                </m:rPr>
                <m:t>≥</m:t>
              </m:r>
              <m:r>
                <m:t>60</m:t>
              </m:r>
            </m:oMath>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kV</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Remaining generation uses constant active and reactive power (PQ)</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PV voltage / reactive power</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1.0 p.u.; ±0.50 × installed MW in Mvar</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Uniform proxy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Load compensation</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Target pf=0.98; maximum 15 Mvar per bus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Engineering proxy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Shunt reactors</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5 × 150 Mvar at 400 kV</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Explicitly flagged proxy equipment</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Boundary</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One angle reference; other nodes weighted by voltage × circuit count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Not calibrated to measured REN exchange</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AC algorithm</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Newton–Raphson; DC initialization; enforce Q limits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Maximum 50 iterations; tolerance</w:t>
            </w:r>
            <w:r>
              <w:rPr>
                <w:rFonts w:ascii="Times New Roman" w:hAnsi="Times New Roman" w:eastAsia="Times New Roman" w:cs="Times New Roman"/>
                <w:b w:val="0"/>
                <w:sz w:val="16"/>
              </w:rPr>
              <w:t xml:space="preserve"> </w:t>
            </w:r>
            <m:oMath>
              <m:sSup>
                <m:e>
                  <m:r>
                    <m:t>10</m:t>
                  </m:r>
                </m:e>
                <m:sup>
                  <m:r>
                    <m:rPr>
                      <m:sty m:val="p"/>
                    </m:rPr>
                    <m:t>−</m:t>
                  </m:r>
                  <m:r>
                    <m:t>6</m:t>
                  </m:r>
                </m:sup>
              </m:sSup>
            </m:oMath>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MVA</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Transformer taps</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High-voltage side ±8 steps; 1.25% per step; maximum 16 rounds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Target 0.985–1.015 p.u.</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General screening</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Voltage 0.90–1.10 p.u.; loading 100%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Violations retained; N−1 criteria defined separately</w:t>
            </w:r>
          </w:p>
        </w:tc>
      </w:tr>
    </w:tbl>
    <w:p>
      <w:pPr>
        <w:pStyle w:val="BodyText"/>
        <w:widowControl/>
        <w:jc w:val="left"/>
      </w:pPr>
      <w:r>
        <w:rPr>
          <w:rFonts w:ascii="Times New Roman" w:hAnsi="Times New Roman" w:eastAsia="Times New Roman" w:cs="Times New Roman"/>
          <w:b/>
          <w:bCs/>
          <w:sz w:val="21"/>
        </w:rPr>
        <w:t xml:space="preserve">Table note.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Settings come from the frozen</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model_config.json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monthly execution code.</w:t>
      </w:r>
    </w:p>
    <w:bookmarkEnd w:id="37"/>
    <w:bookmarkEnd w:id="38"/>
    <w:bookmarkStart w:id="41" w:name="X5b1205fc031ccf504910739c33b3a1b98fddb89"/>
    <w:p>
      <w:pPr>
        <w:pStyle w:val="Heading2"/>
        <w:keepNext/>
        <w:keepLines/>
        <w:widowControl/>
      </w:pPr>
      <w:r>
        <w:rPr>
          <w:rFonts w:ascii="Times New Roman" w:hAnsi="Times New Roman" w:eastAsia="Times New Roman" w:cs="Times New Roman"/>
          <w:sz w:val="24"/>
        </w:rPr>
        <w:t xml:space="preserve">Layered storage, provenance, and quality control</w:t>
      </w:r>
    </w:p>
    <w:bookmarkStart w:id="39" w:name="database-and-provenance"/>
    <w:p>
      <w:pPr>
        <w:pStyle w:val="Heading3"/>
        <w:keepNext/>
        <w:keepLines/>
        <w:widowControl/>
      </w:pPr>
      <w:r>
        <w:rPr>
          <w:rFonts w:ascii="Times New Roman" w:hAnsi="Times New Roman" w:eastAsia="Times New Roman" w:cs="Times New Roman"/>
          <w:sz w:val="22"/>
        </w:rPr>
        <w:t xml:space="preserve">Database and provenance</w:t>
      </w:r>
    </w:p>
    <w:p>
      <w:pPr>
        <w:pStyle w:val="FirstParagraph"/>
        <w:widowControl/>
        <w:jc w:val="left"/>
      </w:pPr>
      <w:r>
        <w:rPr>
          <w:rFonts w:ascii="Times New Roman" w:hAnsi="Times New Roman" w:eastAsia="Times New Roman" w:cs="Times New Roman"/>
          <w:sz w:val="21"/>
        </w:rPr>
        <w:t xml:space="preserve">The main DuckDB stores sources in</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raw_eredes</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raw_dgeg</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raw_osm</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raw_reference</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raw_documents</w:t>
      </w:r>
      <w:r>
        <w:rPr>
          <w:rFonts w:ascii="Times New Roman" w:hAnsi="Times New Roman" w:eastAsia="Times New Roman" w:cs="Times New Roman"/>
          <w:sz w:val="21"/>
        </w:rPr>
        <w:t xml:space="preserve">, 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raw_eredes_aux</w:t>
      </w:r>
      <w:r>
        <w:rPr>
          <w:rFonts w:ascii="Times New Roman" w:hAnsi="Times New Roman" w:eastAsia="Times New Roman" w:cs="Times New Roman"/>
          <w:sz w:val="21"/>
        </w:rPr>
        <w:t xml:space="preserve">. The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grid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geo</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schemas store the static network and geometry,</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scenario</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stores asset operating points,</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main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stores the common calendar and operating series, 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provenance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stores file- and entity-level lineage.</w:t>
      </w:r>
    </w:p>
    <w:p>
      <w:pPr>
        <w:pStyle w:val="BodyText"/>
        <w:widowControl/>
        <w:jc w:val="left"/>
      </w:pPr>
      <w:r>
        <w:rPr>
          <w:rFonts w:ascii="Times New Roman" w:hAnsi="Times New Roman" w:eastAsia="Times New Roman" w:cs="Times New Roman"/>
          <w:sz w:val="21"/>
        </w:rPr>
        <w:t xml:space="preserve">Each month has a separate result database.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monthly_model.cases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stores one row per timestamp with status, summary metrics, and complete result JSON.</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bus_order</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line_order</w:t>
      </w:r>
      <w:r>
        <w:rPr>
          <w:rFonts w:ascii="Times New Roman" w:hAnsi="Times New Roman" w:eastAsia="Times New Roman" w:cs="Times New Roman"/>
          <w:sz w:val="21"/>
        </w:rPr>
        <w:t xml:space="preserve">, 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state_arrays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store bus voltage and line-loading arrays in fixed equipment order.</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audit_bundles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preserve load, generation, boundary, hotspot, and loss records. Views expand arrays to equipment-long tables. The static model is copied once per monthly database rather than repeated for every case.</w:t>
      </w:r>
    </w:p>
    <w:p>
      <w:pPr>
        <w:pStyle w:val="BodyText"/>
        <w:widowControl/>
        <w:jc w:val="left"/>
      </w:pPr>
      <w:r>
        <w:rPr>
          <w:rFonts w:ascii="Times New Roman" w:hAnsi="Times New Roman" w:eastAsia="Times New Roman" w:cs="Times New Roman"/>
          <w:sz w:val="21"/>
        </w:rPr>
        <w:t xml:space="preserve">Source records include URL, archive path, file size, and SHA-256.</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table_lineage</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raw_record_locator</w:t>
      </w:r>
      <w:r>
        <w:rPr>
          <w:rFonts w:ascii="Times New Roman" w:hAnsi="Times New Roman" w:eastAsia="Times New Roman" w:cs="Times New Roman"/>
          <w:sz w:val="21"/>
        </w:rPr>
        <w:t xml:space="preserve">, 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entity_evidence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provide table-, record-, and evidence-level traceability. Each monthly</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run_manifest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records input fingerprints and case counts. The released data dictionary provides the complete data-layer, grain, field-type, constraint, and join-key inventory.</w:t>
      </w:r>
    </w:p>
    <w:bookmarkEnd w:id="39"/>
    <w:bookmarkStart w:id="40" w:name="quality-control-and-recovery"/>
    <w:p>
      <w:pPr>
        <w:pStyle w:val="Heading3"/>
        <w:keepNext/>
        <w:keepLines/>
        <w:widowControl/>
      </w:pPr>
      <w:r>
        <w:rPr>
          <w:rFonts w:ascii="Times New Roman" w:hAnsi="Times New Roman" w:eastAsia="Times New Roman" w:cs="Times New Roman"/>
          <w:sz w:val="22"/>
        </w:rPr>
        <w:t xml:space="preserve">Quality control and recovery</w:t>
      </w:r>
    </w:p>
    <w:p>
      <w:pPr>
        <w:pStyle w:val="FirstParagraph"/>
        <w:widowControl/>
      </w:pPr>
      <w:r>
        <w:rPr>
          <w:rFonts w:ascii="Times New Roman" w:hAnsi="Times New Roman" w:eastAsia="Times New Roman" w:cs="Times New Roman"/>
          <w:sz w:val="21"/>
        </w:rPr>
        <w:t xml:space="preserve">Quality control has four levels. Static checks cover keys, endpoints, voltage, length, connectivity, and the boundary inventory. Time-series checks cover temporal alignment, source completeness, load and generation conservation, and capacity limits. Solver checks cover convergence, voltage, loading, and the active-power-balance residual in Equation (7):</w:t>
      </w:r>
    </w:p>
    <w:p>
      <w:pPr>
        <w:pStyle w:val="BodyText"/>
        <w:keepLines/>
        <w:widowControl/>
        <w:tabs>
          <w:tab w:val="center" w:pos="4680"/>
          <w:tab w:val="right" w:pos="9360"/>
        </w:tabs>
        <w:jc w:val="left"/>
      </w:pPr>
      <w:r>
        <w:tab/>
      </w:r>
      <m:oMath>
        <m:sSub>
          <m:e>
            <m:r>
              <m:t>ε</m:t>
            </m:r>
          </m:e>
          <m:sub>
            <m:r>
              <m:t>t</m:t>
            </m:r>
          </m:sub>
        </m:sSub>
        <m:r>
          <m:rPr>
            <m:sty m:val="p"/>
          </m:rPr>
          <m:t>=</m:t>
        </m:r>
        <m:sSubSup>
          <m:e>
            <m:r>
              <m:t>P</m:t>
            </m:r>
          </m:e>
          <m:sub>
            <m:r>
              <m:t>t</m:t>
            </m:r>
          </m:sub>
          <m:sup>
            <m:r>
              <m:rPr>
                <m:sty m:val="p"/>
              </m:rPr>
              <m:t>g</m:t>
            </m:r>
            <m:r>
              <m:rPr>
                <m:sty m:val="p"/>
              </m:rPr>
              <m:t>e</m:t>
            </m:r>
            <m:r>
              <m:rPr>
                <m:sty m:val="p"/>
              </m:rPr>
              <m:t>n</m:t>
            </m:r>
          </m:sup>
        </m:sSubSup>
        <m:r>
          <m:rPr>
            <m:sty m:val="p"/>
          </m:rPr>
          <m:t>+</m:t>
        </m:r>
        <m:sSubSup>
          <m:e>
            <m:r>
              <m:t>P</m:t>
            </m:r>
          </m:e>
          <m:sub>
            <m:r>
              <m:t>t</m:t>
            </m:r>
          </m:sub>
          <m:sup>
            <m:r>
              <m:rPr>
                <m:sty m:val="p"/>
              </m:rPr>
              <m:t>m</m:t>
            </m:r>
            <m:r>
              <m:rPr>
                <m:sty m:val="p"/>
              </m:rPr>
              <m:t>o</m:t>
            </m:r>
            <m:r>
              <m:rPr>
                <m:sty m:val="p"/>
              </m:rPr>
              <m:t>d</m:t>
            </m:r>
            <m:r>
              <m:rPr>
                <m:sty m:val="p"/>
              </m:rPr>
              <m:t>e</m:t>
            </m:r>
            <m:r>
              <m:rPr>
                <m:sty m:val="p"/>
              </m:rPr>
              <m:t>l</m:t>
            </m:r>
            <m:r>
              <m:rPr>
                <m:sty m:val="p"/>
              </m:rPr>
              <m:t>,</m:t>
            </m:r>
            <m:r>
              <m:rPr>
                <m:sty m:val="p"/>
              </m:rPr>
              <m:t>n</m:t>
            </m:r>
            <m:r>
              <m:rPr>
                <m:sty m:val="p"/>
              </m:rPr>
              <m:t>e</m:t>
            </m:r>
            <m:r>
              <m:rPr>
                <m:sty m:val="p"/>
              </m:rPr>
              <m:t>t</m:t>
            </m:r>
          </m:sup>
        </m:sSubSup>
        <m:r>
          <m:rPr>
            <m:sty m:val="p"/>
          </m:rPr>
          <m:t>−</m:t>
        </m:r>
        <m:sSubSup>
          <m:e>
            <m:r>
              <m:t>P</m:t>
            </m:r>
          </m:e>
          <m:sub>
            <m:r>
              <m:t>t</m:t>
            </m:r>
          </m:sub>
          <m:sup>
            <m:r>
              <m:rPr>
                <m:sty m:val="p"/>
              </m:rPr>
              <m:t>l</m:t>
            </m:r>
            <m:r>
              <m:rPr>
                <m:sty m:val="p"/>
              </m:rPr>
              <m:t>o</m:t>
            </m:r>
            <m:r>
              <m:rPr>
                <m:sty m:val="p"/>
              </m:rPr>
              <m:t>a</m:t>
            </m:r>
            <m:r>
              <m:rPr>
                <m:sty m:val="p"/>
              </m:rPr>
              <m:t>d</m:t>
            </m:r>
          </m:sup>
        </m:sSubSup>
        <m:r>
          <m:rPr>
            <m:sty m:val="p"/>
          </m:rPr>
          <m:t>−</m:t>
        </m:r>
        <m:sSubSup>
          <m:e>
            <m:r>
              <m:t>P</m:t>
            </m:r>
          </m:e>
          <m:sub>
            <m:r>
              <m:t>t</m:t>
            </m:r>
          </m:sub>
          <m:sup>
            <m:r>
              <m:rPr>
                <m:sty m:val="p"/>
              </m:rPr>
              <m:t>l</m:t>
            </m:r>
            <m:r>
              <m:rPr>
                <m:sty m:val="p"/>
              </m:rPr>
              <m:t>o</m:t>
            </m:r>
            <m:r>
              <m:rPr>
                <m:sty m:val="p"/>
              </m:rPr>
              <m:t>s</m:t>
            </m:r>
            <m:r>
              <m:rPr>
                <m:sty m:val="p"/>
              </m:rPr>
              <m:t>s</m:t>
            </m:r>
          </m:sup>
        </m:sSubSup>
        <m:r>
          <m:rPr>
            <m:sty m:val="p"/>
          </m:rPr>
          <m:t>.</m:t>
        </m:r>
      </m:oMath>
      <w:r>
        <w:rPr>
          <w:rFonts w:ascii="Times New Roman" w:hAnsi="Times New Roman" w:eastAsia="Times New Roman" w:cs="Times New Roman"/>
          <w:sz w:val="21"/>
        </w:rPr>
        <w:tab/>
        <w:t>(7)</w:t>
      </w:r>
    </w:p>
    <w:p>
      <w:pPr>
        <w:pStyle w:val="FirstParagraph"/>
        <w:widowControl/>
      </w:pPr>
      <w:r>
        <w:rPr>
          <w:rFonts w:ascii="Times New Roman" w:hAnsi="Times New Roman" w:eastAsia="Times New Roman" w:cs="Times New Roman"/>
          <w:sz w:val="21"/>
        </w:rPr>
        <w:t xml:space="preserve">External checks use E-REDES national, municipal, substation, production, and injection statistics that were excluded from nodal construction, together with REN exchange and monthly loss reports. The 0.90–1.10 p.u. voltage band and 100% loading threshold are screening criteria; violating cases remain in the release.</w:t>
      </w:r>
    </w:p>
    <w:p>
      <w:pPr>
        <w:pStyle w:val="BodyText"/>
        <w:widowControl/>
      </w:pPr>
      <w:r>
        <w:rPr>
          <w:rFonts w:ascii="Times New Roman" w:hAnsi="Times New Roman" w:eastAsia="Times New Roman" w:cs="Times New Roman"/>
          <w:sz w:val="21"/>
        </w:rPr>
        <w:t xml:space="preserve">A case summary, state arrays, and audit bundle are committed in one transaction. Any failure rolls back the full case and retains an error record. Before formal monthly release, expected intervals, completed cases, state arrays, and audit bundles must have matching counts; a failed check prevents the month from being marked complete. Thresholds, failure states, and record locations are preserved in the released configuration, case tables, audit bundles, and run manifests.</w:t>
      </w:r>
    </w:p>
    <w:bookmarkEnd w:id="40"/>
    <w:bookmarkEnd w:id="41"/>
    <w:bookmarkEnd w:id="42"/>
    <w:bookmarkStart w:id="51" w:name="data-records"/>
    <w:p>
      <w:pPr>
        <w:pStyle w:val="Heading1"/>
        <w:keepNext/>
        <w:keepLines/>
        <w:widowControl/>
      </w:pPr>
      <w:r>
        <w:rPr>
          <w:rFonts w:ascii="Times New Roman" w:hAnsi="Times New Roman" w:eastAsia="Times New Roman" w:cs="Times New Roman"/>
          <w:sz w:val="28"/>
        </w:rPr>
        <w:t xml:space="preserve">Data Records</w:t>
      </w:r>
    </w:p>
    <w:p>
      <w:pPr>
        <w:pStyle w:val="FirstParagraph"/>
        <w:widowControl/>
      </w:pPr>
      <w:r>
        <w:rPr>
          <w:rFonts w:ascii="Times New Roman" w:hAnsi="Times New Roman" w:eastAsia="Times New Roman" w:cs="Times New Roman"/>
          <w:sz w:val="21"/>
        </w:rPr>
        <w:t xml:space="preserve">SimPT60 comprises one main database and 11 monthly power-flow result databases. The main database contains the static network, common time series, source records, and validation observations. Monthly databases contain the 15-minute cases and their solved states. The frozen release distinguishes the CORE-3783 and N1-3787 model variants and records their permitted uses.</w:t>
      </w:r>
    </w:p>
    <w:bookmarkStart w:id="46" w:name="static-network-data"/>
    <w:p>
      <w:pPr>
        <w:pStyle w:val="Heading2"/>
        <w:keepNext/>
        <w:keepLines/>
        <w:widowControl/>
      </w:pPr>
      <w:r>
        <w:rPr>
          <w:rFonts w:ascii="Times New Roman" w:hAnsi="Times New Roman" w:eastAsia="Times New Roman" w:cs="Times New Roman"/>
          <w:sz w:val="24"/>
        </w:rPr>
        <w:t xml:space="preserve">Static network data</w:t>
      </w:r>
    </w:p>
    <w:p>
      <w:pPr>
        <w:pStyle w:val="FirstParagraph"/>
        <w:widowControl/>
        <w:jc w:val="left"/>
      </w:pPr>
      <w:r>
        <w:rPr>
          <w:rFonts w:ascii="Times New Roman" w:hAnsi="Times New Roman" w:eastAsia="Times New Roman" w:cs="Times New Roman"/>
          <w:sz w:val="21"/>
        </w:rPr>
        <w:t xml:space="preserve">The static network contains 675 facilities, 3,783 buses, 4,943 lines, 228 transformers, 1,190 generation or storage units, 468 load points, and seven Portugal–Spain boundary endpoints.</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grid.buses</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grid.lines</w:t>
      </w:r>
      <w:r>
        <w:rPr>
          <w:rFonts w:ascii="Times New Roman" w:hAnsi="Times New Roman" w:eastAsia="Times New Roman" w:cs="Times New Roman"/>
          <w:sz w:val="21"/>
        </w:rPr>
        <w:t xml:space="preserve">, 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grid.transformers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provide connectivity and electrical parameters;</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grid.generators</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grid.load_points</w:t>
      </w:r>
      <w:r>
        <w:rPr>
          <w:rFonts w:ascii="Times New Roman" w:hAnsi="Times New Roman" w:eastAsia="Times New Roman" w:cs="Times New Roman"/>
          <w:sz w:val="21"/>
        </w:rPr>
        <w:t xml:space="preserve">, 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grid.interconnectors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link assets to buses. Line and facility geometry is stored separately in</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geo.line_geometries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geo.facility_geometries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to avoid duplicating spatial objects in electrical tables.</w:t>
      </w:r>
    </w:p>
    <w:p>
      <w:pPr>
        <w:pStyle w:val="BodyText"/>
        <w:widowControl/>
        <w:jc w:val="left"/>
      </w:pPr>
      <w:r>
        <w:rPr>
          <w:rFonts w:ascii="Times New Roman" w:hAnsi="Times New Roman" w:eastAsia="Times New Roman" w:cs="Times New Roman"/>
          <w:sz w:val="21"/>
        </w:rPr>
        <w:t xml:space="preserve">Equipment tables retain</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source</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source_status</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parameter_status</w:t>
      </w:r>
      <w:r>
        <w:rPr>
          <w:rFonts w:ascii="Times New Roman" w:hAnsi="Times New Roman" w:eastAsia="Times New Roman" w:cs="Times New Roman"/>
          <w:sz w:val="21"/>
        </w:rPr>
        <w:t xml:space="preserve">, and mapping-rule fields. Users can build the complete pandapower network, select only devices above an evidence threshold, or identify components whose parameters were derived from public records or engineering proxies.</w:t>
      </w:r>
    </w:p>
    <w:p>
      <w:pPr>
        <w:pStyle w:val="BodyText"/>
        <w:widowControl/>
      </w:pPr>
      <w:r>
        <w:rPr>
          <w:rFonts w:ascii="Times New Roman" w:hAnsi="Times New Roman" w:eastAsia="Times New Roman" w:cs="Times New Roman"/>
          <w:sz w:val="21"/>
        </w:rPr>
        <w:t xml:space="preserve">Figure 2 shows the geographic network and one archived operating state. Projection and cartography use GeoPandas</w:t>
      </w:r>
      <w:r>
        <w:rPr>
          <w:rFonts w:ascii="Times New Roman" w:hAnsi="Times New Roman" w:eastAsia="Times New Roman" w:cs="Times New Roman"/>
          <w:sz w:val="21"/>
          <w:vertAlign w:val="superscript"/>
        </w:rPr>
        <w:t xml:space="preserve">21</w:t>
      </w:r>
      <w:r>
        <w:rPr>
          <w:rFonts w:ascii="Times New Roman" w:hAnsi="Times New Roman" w:eastAsia="Times New Roman" w:cs="Times New Roman"/>
          <w:sz w:val="21"/>
        </w:rPr>
        <w:t xml:space="preserve">.</w:t>
      </w:r>
    </w:p>
    <w:p>
      <w:pPr>
        <w:pStyle w:val="BodyText"/>
        <w:widowControl/>
      </w:pPr>
      <w:r>
        <w:rPr>
          <w:rFonts w:ascii="Times New Roman" w:hAnsi="Times New Roman" w:eastAsia="Times New Roman" w:cs="Times New Roman"/>
          <w:sz w:val="21"/>
        </w:rPr>
        <w:drawing>
          <wp:inline>
            <wp:extent cx="5623560" cy="4527073"/>
            <wp:effectExtent b="0" l="0" r="0" t="0"/>
            <wp:docPr descr="Figure 2—Geographic network and solved state at the annual peak. (a) The 60–400 kV network containing 3,783 buses and 4,943 lines; (b) line loading; and (c) bus voltage. All panels use EPSG:3763 with the same scale and extent, retain original line geometry and Portugal–Spain boundary endpoints, and show a 100 km scale bar. The operating state is the archived annual-peak model at 2026-01-15 12:15 UTC (load 11,329.2 MW), joined by stable equipment identifiers. Missing solved states remain grey and are not imputed. The loading scale retains values above 100%. Values are modelled power flows, not telemetry." title="Figure 2" id="44" name="Picture"/>
            <a:graphic>
              <a:graphicData uri="http://schemas.openxmlformats.org/drawingml/2006/picture">
                <pic:pic>
                  <pic:nvPicPr>
                    <pic:cNvPr descr="figures_final/fig02_geographic_network_state.pdf" id="45" name="Picture"/>
                    <pic:cNvPicPr>
                      <a:picLocks noChangeArrowheads="1" noChangeAspect="1"/>
                    </pic:cNvPicPr>
                  </pic:nvPicPr>
                  <pic:blipFill>
                    <a:blip r:embed="rId43"/>
                    <a:stretch>
                      <a:fillRect/>
                    </a:stretch>
                  </pic:blipFill>
                  <pic:spPr bwMode="auto">
                    <a:xfrm>
                      <a:off x="0" y="0"/>
                      <a:ext cx="5623560" cy="4527073"/>
                    </a:xfrm>
                    <a:prstGeom prst="rect">
                      <a:avLst/>
                    </a:prstGeom>
                    <a:noFill/>
                    <a:ln w="9525">
                      <a:noFill/>
                      <a:headEnd/>
                      <a:tailEnd/>
                    </a:ln>
                  </pic:spPr>
                </pic:pic>
              </a:graphicData>
            </a:graphic>
          </wp:inline>
        </w:drawing>
      </w:r>
    </w:p>
    <w:p>
      <w:pPr>
        <w:pStyle w:val="ImageCaption"/>
        <w:keepLines/>
        <w:widowControl/>
      </w:pPr>
      <w:r>
        <w:rPr>
          <w:rFonts w:ascii="Times New Roman" w:hAnsi="Times New Roman" w:eastAsia="Times New Roman" w:cs="Times New Roman"/>
          <w:b/>
          <w:bCs/>
          <w:sz w:val="18"/>
        </w:rPr>
        <w:t xml:space="preserve">Figure 2—Geographic network and solved state at the annual peak.</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(a) The 60–400 kV network containing 3,783 buses and 4,943 lines; (b) line loading; and (c) bus voltage. All panels use EPSG:3763 with the same scale and extent, retain original line geometry and Portugal–Spain boundary endpoints, and show a 100 km scale bar. The operating state is the archived annual-peak model at 2026-01-15 12:15 UTC (load 11,329.2 MW), joined by stable equipment identifiers. Missing solved states remain grey and are not imputed. The loading scale retains values above 100%. Values are modelled power flows, not telemetry.</w:t>
      </w:r>
    </w:p>
    <w:bookmarkEnd w:id="46"/>
    <w:bookmarkStart w:id="47" w:name="time-series-data"/>
    <w:p>
      <w:pPr>
        <w:pStyle w:val="Heading2"/>
        <w:keepNext/>
        <w:keepLines/>
        <w:widowControl/>
      </w:pPr>
      <w:r>
        <w:rPr>
          <w:rFonts w:ascii="Times New Roman" w:hAnsi="Times New Roman" w:eastAsia="Times New Roman" w:cs="Times New Roman"/>
          <w:sz w:val="24"/>
        </w:rPr>
        <w:t xml:space="preserve">Time-series data</w:t>
      </w:r>
    </w:p>
    <w:p>
      <w:pPr>
        <w:pStyle w:val="FirstParagraph"/>
        <w:widowControl/>
        <w:jc w:val="left"/>
      </w:pPr>
      <w:r>
        <w:rPr>
          <w:rStyle w:val="VerbatimChar"/>
          <w:rFonts w:ascii="Times New Roman" w:hAnsi="Times New Roman" w:eastAsia="Times New Roman" w:cs="Times New Roman"/>
          <w:sz w:val="21"/>
        </w:rPr>
        <w:t xml:space="preserve">main.interval_calendar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is the common index for all time series. It covers 328 civil days from 2025-05-01 to 2026-03-24 and contains 31,492 local 15-minute intervals. Interval counts follow Europe/Lisbon daylight-saving transitions and therefore need not equal the number of days multiplied by 96.</w:t>
      </w:r>
    </w:p>
    <w:p>
      <w:pPr>
        <w:pStyle w:val="BodyText"/>
        <w:widowControl/>
        <w:jc w:val="left"/>
      </w:pPr>
      <w:r>
        <w:rPr>
          <w:rStyle w:val="VerbatimChar"/>
          <w:rFonts w:ascii="Times New Roman" w:hAnsi="Times New Roman" w:eastAsia="Times New Roman" w:cs="Times New Roman"/>
          <w:sz w:val="21"/>
        </w:rPr>
        <w:t xml:space="preserve">main.eredes_load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contains 12,360,502 load records for 397 substations. Raw records extend to 2026-03-25, but the joint modelling window ends on 2026-03-24.</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main.ren_dispatch</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contains 472,380 records across 15 national operating series for load, generation by technology, storage, and cross-border exchange.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main.weather_hourly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holds 23,616 hourly records for Lisbon, Porto, and Faro;</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main.ren_rnt_balance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contains 660 monthly balance records over 11 reporting periods.</w:t>
      </w:r>
    </w:p>
    <w:p>
      <w:pPr>
        <w:pStyle w:val="BodyText"/>
        <w:widowControl/>
      </w:pPr>
      <w:r>
        <w:rPr>
          <w:rFonts w:ascii="Times New Roman" w:hAnsi="Times New Roman" w:eastAsia="Times New Roman" w:cs="Times New Roman"/>
          <w:sz w:val="21"/>
        </w:rPr>
        <w:t xml:space="preserve">The database also archives 14 E-REDES auxiliary datasets with 2,239,064 records. They cover national and municipal consumption, contracted power, production, distribution-grid injection, distributed self-consumption, seasonal substation loading, power quality, and continuity of supply. These tables are excluded from nodal-power construction and serve as withheld public observations in Technical Validation.</w:t>
      </w:r>
    </w:p>
    <w:bookmarkEnd w:id="47"/>
    <w:bookmarkStart w:id="48" w:name="time-indexed-power-flow-cases"/>
    <w:p>
      <w:pPr>
        <w:pStyle w:val="Heading2"/>
        <w:keepNext/>
        <w:keepLines/>
        <w:widowControl/>
      </w:pPr>
      <w:r>
        <w:rPr>
          <w:rFonts w:ascii="Times New Roman" w:hAnsi="Times New Roman" w:eastAsia="Times New Roman" w:cs="Times New Roman"/>
          <w:sz w:val="24"/>
        </w:rPr>
        <w:t xml:space="preserve">Time-indexed power-flow cases</w:t>
      </w:r>
    </w:p>
    <w:p>
      <w:pPr>
        <w:pStyle w:val="FirstParagraph"/>
        <w:widowControl/>
      </w:pPr>
      <w:r>
        <w:rPr>
          <w:rFonts w:ascii="Times New Roman" w:hAnsi="Times New Roman" w:eastAsia="Times New Roman" w:cs="Times New Roman"/>
          <w:sz w:val="21"/>
        </w:rPr>
        <w:t xml:space="preserve">Interval results are partitioned by civil month to limit file size and support selective download. Eleven compact monthly databases map one-to-one to the common calendar and contain 31,492 cases. Every case in the present release completed AC power flow and is marked as converged. October 2025 contains 2,980 intervals because daylight saving time ends, whereas March 2026 covers only the first 24 days and contains 2,304 intervals.</w:t>
      </w:r>
    </w:p>
    <w:p>
      <w:pPr>
        <w:pStyle w:val="BodyText"/>
        <w:widowControl/>
        <w:jc w:val="left"/>
      </w:pPr>
      <w:r>
        <w:rPr>
          <w:rFonts w:ascii="Times New Roman" w:hAnsi="Times New Roman" w:eastAsia="Times New Roman" w:cs="Times New Roman"/>
          <w:sz w:val="21"/>
        </w:rPr>
        <w:t xml:space="preserve">Each case retains summary values, equipment-state arrays, and an allocation audit bundle. Fixed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bus_order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line_order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tables expand state arrays to equipment-long form; the static device order is stored once per month. The released data dictionary lists all fields and joins.</w:t>
      </w:r>
    </w:p>
    <w:p>
      <w:pPr>
        <w:pStyle w:val="BodyText"/>
        <w:widowControl/>
      </w:pPr>
      <w:r>
        <w:rPr>
          <w:rFonts w:ascii="Times New Roman" w:hAnsi="Times New Roman" w:eastAsia="Times New Roman" w:cs="Times New Roman"/>
          <w:sz w:val="21"/>
        </w:rPr>
        <w:t xml:space="preserve">The main database also contains a sampled N−1 screening panel at six preselected operating times: maximum and minimum load, maximum wind, maximum photovoltaic generation, maximum net import, and maximum net export. The same 1,649 outage groups are used at every time, comprising 1,421 line-circuit groups and 228 transformer groups, for 9,894 contingency-level records. Line eligibility excludes 156 out-of-service rows, two station busbars, and 14 rows without a finite base-case result; the latter category is distinct from zero current and from out-of-service status. Dedicated scenario tables store membership, post-contingency overloads, islands, solution status, control-search bounds, and run provenance. These sampled records remain separate from the continuous 15-minute cases.</w:t>
      </w:r>
    </w:p>
    <w:bookmarkEnd w:id="48"/>
    <w:bookmarkStart w:id="49" w:name="file-organization-and-distribution"/>
    <w:p>
      <w:pPr>
        <w:pStyle w:val="Heading2"/>
        <w:keepNext/>
        <w:keepLines/>
        <w:widowControl/>
      </w:pPr>
      <w:r>
        <w:rPr>
          <w:rFonts w:ascii="Times New Roman" w:hAnsi="Times New Roman" w:eastAsia="Times New Roman" w:cs="Times New Roman"/>
          <w:sz w:val="24"/>
        </w:rPr>
        <w:t xml:space="preserve">File organization and distribution</w:t>
      </w:r>
    </w:p>
    <w:p>
      <w:pPr>
        <w:pStyle w:val="FirstParagraph"/>
        <w:widowControl/>
      </w:pPr>
      <w:r>
        <w:rPr>
          <w:rFonts w:ascii="Times New Roman" w:hAnsi="Times New Roman" w:eastAsia="Times New Roman" w:cs="Times New Roman"/>
          <w:sz w:val="21"/>
        </w:rPr>
        <w:t xml:space="preserve">The frozen release comprises the analysis-ready main database, 11 monthly result databases, source and provenance records, validation products, and scenario records. Stable model identifiers join the static network to the common calendar in the main database. Case identifiers and fixed equipment order join summaries, state arrays, and audit bundles in the monthly databases. Raw files are distributed when licensing permits; otherwise, the release provides source metadata and download scripts.</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release.json</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SHA256SUMS</w:t>
      </w:r>
      <w:r>
        <w:rPr>
          <w:rFonts w:ascii="Times New Roman" w:hAnsi="Times New Roman" w:eastAsia="Times New Roman" w:cs="Times New Roman"/>
          <w:sz w:val="21"/>
        </w:rPr>
        <w:t xml:space="preserve">, and the release README define file hashes, the environment, and reproduction entry points.</w:t>
      </w:r>
    </w:p>
    <w:bookmarkEnd w:id="49"/>
    <w:bookmarkStart w:id="50" w:name="X839a8504b650dfee19a23816a63bd8c07b4f17f"/>
    <w:p>
      <w:pPr>
        <w:pStyle w:val="Heading2"/>
        <w:keepNext/>
        <w:keepLines/>
        <w:widowControl/>
      </w:pPr>
      <w:r>
        <w:rPr>
          <w:rFonts w:ascii="Times New Roman" w:hAnsi="Times New Roman" w:eastAsia="Times New Roman" w:cs="Times New Roman"/>
          <w:sz w:val="24"/>
        </w:rPr>
        <w:t xml:space="preserve">Frozen release and model-version reconciliation</w:t>
      </w:r>
    </w:p>
    <w:p>
      <w:pPr>
        <w:pStyle w:val="FirstParagraph"/>
        <w:widowControl/>
        <w:jc w:val="left"/>
      </w:pPr>
      <w:r>
        <w:rPr>
          <w:rFonts w:ascii="Times New Roman" w:hAnsi="Times New Roman" w:eastAsia="Times New Roman" w:cs="Times New Roman"/>
          <w:sz w:val="21"/>
        </w:rPr>
        <w:t xml:space="preserve">The paper freezes release</w:t>
      </w:r>
      <w:r>
        <w:rPr>
          <w:rFonts w:ascii="Times New Roman" w:hAnsi="Times New Roman" w:eastAsia="Times New Roman" w:cs="Times New Roman"/>
          <w:sz w:val="21"/>
        </w:rPr>
        <w:t xml:space="preserve"> </w:t>
      </w:r>
      <w:r>
        <w:rPr>
          <w:rFonts w:ascii="Times New Roman" w:hAnsi="Times New Roman" w:eastAsia="Times New Roman" w:cs="Times New Roman"/>
          <w:b/>
          <w:bCs/>
          <w:sz w:val="21"/>
        </w:rPr>
        <w:t xml:space="preserve">SimPT60-2026.09.21-r1</w:t>
      </w:r>
      <w:r>
        <w:rPr>
          <w:rFonts w:ascii="Times New Roman" w:hAnsi="Times New Roman" w:eastAsia="Times New Roman" w:cs="Times New Roman"/>
          <w:sz w:val="21"/>
        </w:rPr>
        <w:t xml:space="preserve">. The 31,492 historical cases and the main technical validation use CORE-3783: 3,783 buses, 4,943 lines, and 228 transformer rows. The sampled contingency panel uses N1-3787. That variant adds four colocated connection nodes to correct the Lanheses–Feitosa topology while retaining 4,943 line rows and 228 transformer rows. The single Estoi transformer row represents three parallel 126 MVA units rather than one equivalent unit; consequently, N1-3787 contains 230 equivalent transformer units but still 228 transformer rows and 228 transformer outage groups. An Estoi unit outage is represented by decreasing the row’s parallel count from three to two. Results from the two variants cannot be interchanged and attributed to one model. The release manifest 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model_field_diff.csv</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record the field-level differences, hashes, environment, and replay commands.</w:t>
      </w:r>
    </w:p>
    <w:bookmarkEnd w:id="50"/>
    <w:bookmarkEnd w:id="51"/>
    <w:bookmarkStart w:id="55" w:name="data-overview"/>
    <w:p>
      <w:pPr>
        <w:pStyle w:val="Heading1"/>
        <w:keepNext/>
        <w:keepLines/>
        <w:widowControl/>
      </w:pPr>
      <w:r>
        <w:rPr>
          <w:rFonts w:ascii="Times New Roman" w:hAnsi="Times New Roman" w:eastAsia="Times New Roman" w:cs="Times New Roman"/>
          <w:sz w:val="28"/>
        </w:rPr>
        <w:t xml:space="preserve">Data Overview</w:t>
      </w:r>
    </w:p>
    <w:p>
      <w:pPr>
        <w:pStyle w:val="FirstParagraph"/>
        <w:widowControl/>
      </w:pPr>
      <w:r>
        <w:rPr>
          <w:rFonts w:ascii="Times New Roman" w:hAnsi="Times New Roman" w:eastAsia="Times New Roman" w:cs="Times New Roman"/>
          <w:sz w:val="21"/>
        </w:rPr>
        <w:t xml:space="preserve">Figure 3 shows interval availability, the peak-load week, and monthly case completeness.</w:t>
      </w:r>
    </w:p>
    <w:p>
      <w:pPr>
        <w:pStyle w:val="BodyText"/>
        <w:widowControl/>
      </w:pPr>
      <w:r>
        <w:rPr>
          <w:rFonts w:ascii="Times New Roman" w:hAnsi="Times New Roman" w:eastAsia="Times New Roman" w:cs="Times New Roman"/>
          <w:sz w:val="21"/>
        </w:rPr>
        <w:drawing>
          <wp:inline>
            <wp:extent cx="5623560" cy="3908265"/>
            <wp:effectExtent b="0" l="0" r="0" t="0"/>
            <wp:docPr descr="Figure 3—Temporal coverage and case completeness. (a) Daily fractions of available model cases, paired national-consumption observations, and paired wind observations. Denominators follow Lisbon civil days and daylight saving time; missing data are shown without interpolation. (b) The complete civil week containing maximum system load, with total electric load, generation, and REN net import. (c) Completed and converged 15-minute cases by month, totaling 31,492. The common window is 2025-05-01 to 2026-03-24; October contains the repeated daylight-saving hour, and March is partial through day 24." title="Figure 3" id="53" name="Picture"/>
            <a:graphic>
              <a:graphicData uri="http://schemas.openxmlformats.org/drawingml/2006/picture">
                <pic:pic>
                  <pic:nvPicPr>
                    <pic:cNvPr descr="figures_final/fig03_temporal_coverage.pdf" id="54" name="Picture"/>
                    <pic:cNvPicPr>
                      <a:picLocks noChangeArrowheads="1" noChangeAspect="1"/>
                    </pic:cNvPicPr>
                  </pic:nvPicPr>
                  <pic:blipFill>
                    <a:blip r:embed="rId52"/>
                    <a:stretch>
                      <a:fillRect/>
                    </a:stretch>
                  </pic:blipFill>
                  <pic:spPr bwMode="auto">
                    <a:xfrm>
                      <a:off x="0" y="0"/>
                      <a:ext cx="5623560" cy="3908265"/>
                    </a:xfrm>
                    <a:prstGeom prst="rect">
                      <a:avLst/>
                    </a:prstGeom>
                    <a:noFill/>
                    <a:ln w="9525">
                      <a:noFill/>
                      <a:headEnd/>
                      <a:tailEnd/>
                    </a:ln>
                  </pic:spPr>
                </pic:pic>
              </a:graphicData>
            </a:graphic>
          </wp:inline>
        </w:drawing>
      </w:r>
    </w:p>
    <w:p>
      <w:pPr>
        <w:pStyle w:val="ImageCaption"/>
        <w:keepLines/>
        <w:widowControl/>
      </w:pPr>
      <w:r>
        <w:rPr>
          <w:rFonts w:ascii="Times New Roman" w:hAnsi="Times New Roman" w:eastAsia="Times New Roman" w:cs="Times New Roman"/>
          <w:b/>
          <w:bCs/>
          <w:sz w:val="18"/>
        </w:rPr>
        <w:t xml:space="preserve">Figure 3—Temporal coverage and case completeness.</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(a) Daily fractions of available model cases, paired national-consumption observations, and paired wind observations. Denominators follow Lisbon civil days and daylight saving time; missing data are shown without interpolation. (b) The complete civil week containing maximum system load, with total electric load, generation, and REN net import. (c) Completed and converged 15-minute cases by month, totaling 31,492. The common window is 2025-05-01 to 2026-03-24; October contains the repeated daylight-saving hour, and March is partial through day 24.</w:t>
      </w:r>
    </w:p>
    <w:p>
      <w:pPr>
        <w:pStyle w:val="BodyText"/>
        <w:widowControl/>
      </w:pPr>
      <w:r>
        <w:rPr>
          <w:rFonts w:ascii="Times New Roman" w:hAnsi="Times New Roman" w:eastAsia="Times New Roman" w:cs="Times New Roman"/>
          <w:sz w:val="21"/>
        </w:rPr>
        <w:t xml:space="preserve">Table 7 summarizes the principal static, time-series, validation, and application objects.</w:t>
      </w:r>
    </w:p>
    <w:p>
      <w:pPr>
        <w:pStyle w:val="TableCaption"/>
        <w:keepNext/>
        <w:widowControl/>
      </w:pPr>
      <w:r>
        <w:rPr>
          <w:rFonts w:ascii="Times New Roman" w:hAnsi="Times New Roman" w:eastAsia="Times New Roman" w:cs="Times New Roman"/>
          <w:b/>
          <w:bCs/>
          <w:sz w:val="18"/>
        </w:rPr>
        <w:t xml:space="preserve">Table 7—Principal dataset statistics.</w:t>
      </w:r>
    </w:p>
    <w:tbl>
      <w:tblPr>
        <w:tblStyle w:val="Table"/>
        <w:tblW w:type="pct" w:w="5000"/>
        <w:jc w:val="left"/>
        <w:tblLayout w:type="autofit"/>
        <w:tblLook w:firstRow="1" w:lastRow="0" w:firstColumn="0" w:lastColumn="0" w:noHBand="0" w:noVBand="0" w:val="0020"/>
      </w:tblPr>
      <w:tblGrid>
        <w:gridCol w:w="1827"/>
        <w:gridCol w:w="1827"/>
        <w:gridCol w:w="2436"/>
        <w:gridCol w:w="1827"/>
      </w:tblGrid>
      <w:tr>
        <w:trPr>
          <w:tblHeader w:val="on"/>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Category</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sz w:val="16"/>
              </w:rPr>
              <w:t xml:space="preserve">Object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Count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Basis</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Static</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Facilities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675</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Archived model inventory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Static</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Buses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3,783</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2026-09-16 topology-validation snapshot</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Static</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Lines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4,943</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Voltage-level coverage table</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Static</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Transformers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228</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Topology-validation snapshot</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Static</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Generation / storage units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1,190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Asset inventory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Static</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Load points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468</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Load inventory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Static</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Portugal–Spain boundary endpoints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7</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Interconnection inventory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Active network</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Buses / lines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3,664 / 4,787</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Connectivity statistics</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Time series</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Common dates / intervals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328 days / 31,492</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Common calendar</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Time series</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Substation energy</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397 stations / 12,360,502 records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Raw records through 2026-03-25</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Time series</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REN national series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15 types / 472,380 records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15 min</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Context</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Weather</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 locations / 23,616 records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Hourly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Context</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REN monthly balance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11 periods / 660 records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Monthly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Validation</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E-REDES auxiliary products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14 types / 2,239,064 records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Multiple temporal resolutions</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Power flow</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Compact monthly databases / cases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11 / 31,492</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Completed and converged</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Scenario records</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Sampled full-element N−1</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6 times / 9,894 cases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1,649 outage groups per time</w:t>
            </w:r>
          </w:p>
        </w:tc>
      </w:tr>
    </w:tbl>
    <w:p>
      <w:pPr>
        <w:pStyle w:val="BodyText"/>
        <w:widowControl/>
      </w:pPr>
      <w:r>
        <w:rPr>
          <w:rFonts w:ascii="Times New Roman" w:hAnsi="Times New Roman" w:eastAsia="Times New Roman" w:cs="Times New Roman"/>
          <w:b/>
          <w:bCs/>
          <w:sz w:val="21"/>
        </w:rPr>
        <w:t xml:space="preserve">Table note.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Counts describe the released CORE-3783 variant. N−1 uses N1-3787. The Frozen release and model-version reconciliation subsection defines their object-level differences, section applicability, and fixed hashes.</w:t>
      </w:r>
    </w:p>
    <w:bookmarkEnd w:id="55"/>
    <w:bookmarkStart w:id="79" w:name="technical-validation"/>
    <w:p>
      <w:pPr>
        <w:pStyle w:val="Heading1"/>
        <w:keepNext/>
        <w:keepLines/>
        <w:widowControl/>
      </w:pPr>
      <w:r>
        <w:rPr>
          <w:rFonts w:ascii="Times New Roman" w:hAnsi="Times New Roman" w:eastAsia="Times New Roman" w:cs="Times New Roman"/>
          <w:sz w:val="28"/>
        </w:rPr>
        <w:t xml:space="preserve">Technical Validation</w:t>
      </w:r>
    </w:p>
    <w:p>
      <w:pPr>
        <w:pStyle w:val="FirstParagraph"/>
        <w:widowControl/>
      </w:pPr>
      <w:r>
        <w:rPr>
          <w:rFonts w:ascii="Times New Roman" w:hAnsi="Times New Roman" w:eastAsia="Times New Roman" w:cs="Times New Roman"/>
          <w:sz w:val="21"/>
        </w:rPr>
        <w:t xml:space="preserve">No contemporaneous operator network model or branch-level state estimate was available at the spatial extent of SimPT60. Validation therefore does not target equipment-level error. It evaluates research plausibility and usability through network structure, computational consistency, sensitivity to modelling assumptions, and comparison with public observations.</w:t>
      </w:r>
    </w:p>
    <w:bookmarkStart w:id="56" w:name="validation-design-and-evidence-levels"/>
    <w:p>
      <w:pPr>
        <w:pStyle w:val="Heading2"/>
        <w:keepNext/>
        <w:keepLines/>
        <w:widowControl/>
      </w:pPr>
      <w:r>
        <w:rPr>
          <w:rFonts w:ascii="Times New Roman" w:hAnsi="Times New Roman" w:eastAsia="Times New Roman" w:cs="Times New Roman"/>
          <w:sz w:val="24"/>
        </w:rPr>
        <w:t xml:space="preserve">Validation design and evidence levels</w:t>
      </w:r>
    </w:p>
    <w:p>
      <w:pPr>
        <w:pStyle w:val="FirstParagraph"/>
        <w:widowControl/>
      </w:pPr>
      <w:r>
        <w:rPr>
          <w:rFonts w:ascii="Times New Roman" w:hAnsi="Times New Roman" w:eastAsia="Times New Roman" w:cs="Times New Roman"/>
          <w:sz w:val="21"/>
        </w:rPr>
        <w:t xml:space="preserve">Validation has three layers. Public structural records and sensitivity tests evaluate the network representation. E-REDES products withheld from nodal-power construction evaluate aggregate temporal and spatial behavior. Case completeness, convergence, and power balance evaluate internal computational consistency. Comparisons are paired by common timestamp or region without interpolation or removal of anomalous months. Ninety-five-percent confidence intervals use clustered resampling by civil day or spatial entity.</w:t>
      </w:r>
    </w:p>
    <w:p>
      <w:pPr>
        <w:pStyle w:val="BodyText"/>
        <w:widowControl/>
      </w:pPr>
      <w:r>
        <w:rPr>
          <w:rFonts w:ascii="Times New Roman" w:hAnsi="Times New Roman" w:eastAsia="Times New Roman" w:cs="Times New Roman"/>
          <w:sz w:val="21"/>
        </w:rPr>
        <w:t xml:space="preserve">The evidence layers answer different questions. REN and E-REDES demand and generation products do not share identical accounting boundaries, and municipal or substation statistics are not line-flow truth. The target is therefore research-level plausibility and usability rather than equipment-level accuracy.</w:t>
      </w:r>
    </w:p>
    <w:bookmarkEnd w:id="56"/>
    <w:bookmarkStart w:id="60" w:name="structural-and-computational-consistency"/>
    <w:p>
      <w:pPr>
        <w:pStyle w:val="Heading2"/>
        <w:keepNext/>
        <w:keepLines/>
        <w:widowControl/>
      </w:pPr>
      <w:r>
        <w:rPr>
          <w:rFonts w:ascii="Times New Roman" w:hAnsi="Times New Roman" w:eastAsia="Times New Roman" w:cs="Times New Roman"/>
          <w:sz w:val="24"/>
        </w:rPr>
        <w:t xml:space="preserve">Structural and computational consistency</w:t>
      </w:r>
    </w:p>
    <w:p>
      <w:pPr>
        <w:pStyle w:val="FirstParagraph"/>
        <w:widowControl/>
      </w:pPr>
      <w:r>
        <w:rPr>
          <w:rFonts w:ascii="Times New Roman" w:hAnsi="Times New Roman" w:eastAsia="Times New Roman" w:cs="Times New Roman"/>
          <w:sz w:val="21"/>
        </w:rPr>
        <w:t xml:space="preserve">The full static network contains 3,783 buses, 4,943 lines, and 228 transformers. A single connected component contains 3,664 active buses and 4,787 active lines. The simple-graph cycle rank is 501; median and 95th-percentile node degrees are 2 and 4. Model-to-public-background route-km ratios at 60, 130, 150, 220, and 400 kV are 0.992, 1.090, 0.817, 0.819, and 1.033. REN aggregates provide the 150/220/400 kV backgrounds. The 60/130 kV comparisons use non-independent OSM context and cannot be interpreted as accuracy. The 130 kV ratio is based on only seven model lines and is descriptive only.</w:t>
      </w:r>
    </w:p>
    <w:p>
      <w:pPr>
        <w:pStyle w:val="BodyText"/>
        <w:widowControl/>
        <w:jc w:val="left"/>
      </w:pPr>
      <w:r>
        <w:rPr>
          <w:rFonts w:ascii="Times New Roman" w:hAnsi="Times New Roman" w:eastAsia="Times New Roman" w:cs="Times New Roman"/>
          <w:sz w:val="21"/>
        </w:rPr>
        <w:t xml:space="preserve">Line parameters are a principal uncertainty. Of 4,240 60 kV lines, 1,517 have partial support from PDIRD circuit paths and 2,723 use voltage-class engineering proxies. At 130–400 kV, every line is classified as proxy at the line-level</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parameter_status</w:t>
      </w:r>
      <w:r>
        <w:rPr>
          <w:rFonts w:ascii="Times New Roman" w:hAnsi="Times New Roman" w:eastAsia="Times New Roman" w:cs="Times New Roman"/>
          <w:sz w:val="21"/>
        </w:rPr>
        <w:t xml:space="preserve">. This overall classification differs from field-level support, which Figure 4 reports separately.</w:t>
      </w:r>
    </w:p>
    <w:p>
      <w:pPr>
        <w:pStyle w:val="BodyText"/>
        <w:widowControl/>
      </w:pPr>
      <w:r>
        <w:rPr>
          <w:rFonts w:ascii="Times New Roman" w:hAnsi="Times New Roman" w:eastAsia="Times New Roman" w:cs="Times New Roman"/>
          <w:sz w:val="21"/>
        </w:rPr>
        <w:t xml:space="preserve">The 11 compact monthly databases contain 31,492 completed and converged 15-minute cases. The mean absolute AC closure residual across generation, boundary exchange, load, and loss is</w:t>
      </w:r>
      <w:r>
        <w:rPr>
          <w:rFonts w:ascii="Times New Roman" w:hAnsi="Times New Roman" w:eastAsia="Times New Roman" w:cs="Times New Roman"/>
          <w:sz w:val="21"/>
        </w:rPr>
        <w:t xml:space="preserve"> </w:t>
      </w:r>
      <m:oMath>
        <m:r>
          <m:t>1.77</m:t>
        </m:r>
        <m:r>
          <m:rPr>
            <m:sty m:val="p"/>
          </m:rPr>
          <m:t>×</m:t>
        </m:r>
        <m:sSup>
          <m:e>
            <m:r>
              <m:t>10</m:t>
            </m:r>
          </m:e>
          <m:sup>
            <m:r>
              <m:rPr>
                <m:sty m:val="p"/>
              </m:rPr>
              <m:t>−</m:t>
            </m:r>
            <m:r>
              <m:t>6</m:t>
            </m:r>
          </m:sup>
        </m:sSup>
      </m:oMath>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MW, showing numerical agreement among released states and audit quantities.</w:t>
      </w:r>
    </w:p>
    <w:p>
      <w:pPr>
        <w:pStyle w:val="BodyText"/>
        <w:widowControl/>
      </w:pPr>
      <w:r>
        <w:rPr>
          <w:rFonts w:ascii="Times New Roman" w:hAnsi="Times New Roman" w:eastAsia="Times New Roman" w:cs="Times New Roman"/>
          <w:sz w:val="21"/>
        </w:rPr>
        <w:drawing>
          <wp:inline>
            <wp:extent cx="5623560" cy="2616366"/>
            <wp:effectExtent b="0" l="0" r="0" t="0"/>
            <wp:docPr descr="Figure 4—Structural coverage and field-level parameter evidence. (a) Model route-km divided by public background length for each voltage class; the dashed line marks unity. Grey circles use non-independent OSM context and blue squares use REN background. Route-km and circuit length have different definitions, so the ratio is not an accuracy measure. (b) Field-level separation of project-based resistance transfer (orange; engineering assumption) and source-backed ratings (green); cells show proportions. Grey denotes wholly proxy fields. The 35.8% resistance support is not direct observation and must not be assigned the same evidence level as ratings. Reactance and capacitance are proxies throughout. The 130 kV result contains seven lines and is descriptive only. Table 8 reports line-level evidence counts." title="Figure 4" id="58" name="Picture"/>
            <a:graphic>
              <a:graphicData uri="http://schemas.openxmlformats.org/drawingml/2006/picture">
                <pic:pic>
                  <pic:nvPicPr>
                    <pic:cNvPr descr="figures_final/fig04_network_parameter_evidence.pdf" id="59" name="Picture"/>
                    <pic:cNvPicPr>
                      <a:picLocks noChangeArrowheads="1" noChangeAspect="1"/>
                    </pic:cNvPicPr>
                  </pic:nvPicPr>
                  <pic:blipFill>
                    <a:blip r:embed="rId57"/>
                    <a:stretch>
                      <a:fillRect/>
                    </a:stretch>
                  </pic:blipFill>
                  <pic:spPr bwMode="auto">
                    <a:xfrm>
                      <a:off x="0" y="0"/>
                      <a:ext cx="5623560" cy="2616366"/>
                    </a:xfrm>
                    <a:prstGeom prst="rect">
                      <a:avLst/>
                    </a:prstGeom>
                    <a:noFill/>
                    <a:ln w="9525">
                      <a:noFill/>
                      <a:headEnd/>
                      <a:tailEnd/>
                    </a:ln>
                  </pic:spPr>
                </pic:pic>
              </a:graphicData>
            </a:graphic>
          </wp:inline>
        </w:drawing>
      </w:r>
    </w:p>
    <w:p>
      <w:pPr>
        <w:pStyle w:val="ImageCaption"/>
        <w:keepLines/>
        <w:widowControl/>
      </w:pPr>
      <w:r>
        <w:rPr>
          <w:rFonts w:ascii="Times New Roman" w:hAnsi="Times New Roman" w:eastAsia="Times New Roman" w:cs="Times New Roman"/>
          <w:b/>
          <w:bCs/>
          <w:sz w:val="18"/>
        </w:rPr>
        <w:t xml:space="preserve">Figure 4—Structural coverage and field-level parameter evidence.</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(a) Model route-km divided by public background length for each voltage class; the dashed line marks unity. Grey circles use non-independent OSM context and blue squares use REN background. Route-km and circuit length have different definitions, so the ratio is not an accuracy measure. (b) Field-level separation of project-based resistance transfer (orange; engineering assumption) and source-backed ratings (green); cells show proportions. Grey denotes wholly proxy fields. The 35.8% resistance support is not direct observation and must not be assigned the same evidence level as ratings. Reactance and capacitance are proxies throughout. The 130 kV result contains seven lines and is descriptive only. Table 8 reports line-level evidence counts.</w:t>
      </w:r>
    </w:p>
    <w:p>
      <w:pPr>
        <w:pStyle w:val="TableCaption"/>
        <w:keepNext/>
        <w:widowControl/>
      </w:pPr>
      <w:r>
        <w:rPr>
          <w:rFonts w:ascii="Times New Roman" w:hAnsi="Times New Roman" w:eastAsia="Times New Roman" w:cs="Times New Roman"/>
          <w:b/>
          <w:bCs/>
          <w:sz w:val="18"/>
        </w:rPr>
        <w:t xml:space="preserve">Table 8—Network structure, parameter evidence, and computational completeness.</w:t>
      </w:r>
    </w:p>
    <w:tbl>
      <w:tblPr>
        <w:tblStyle w:val="Table"/>
        <w:tblW w:type="pct" w:w="5000"/>
        <w:jc w:val="left"/>
        <w:tblLayout w:type="autofit"/>
        <w:tblLook w:firstRow="1" w:lastRow="0" w:firstColumn="0" w:lastColumn="0" w:noHBand="0" w:noVBand="0" w:val="0020"/>
      </w:tblPr>
      <w:tblGrid>
        <w:gridCol w:w="1173"/>
        <w:gridCol w:w="1173"/>
        <w:gridCol w:w="1173"/>
        <w:gridCol w:w="1173"/>
        <w:gridCol w:w="1173"/>
        <w:gridCol w:w="1173"/>
        <w:gridCol w:w="880"/>
      </w:tblGrid>
      <w:tr>
        <w:trPr>
          <w:tblHeader w:val="on"/>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kV</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sz w:val="16"/>
              </w:rPr>
              <w:t xml:space="preserve">Buses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Lines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Route-km</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Background km</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Ratio</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Line-level parameter evidence</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60</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3,236</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4,240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9,668.4</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9,742.0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0.992</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1,517 partial / 2,723 proxy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130</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8</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7</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41.6</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38.2</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1.090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7 proxy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150</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132</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156</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2,054.1</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2,514.0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0.817</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156 proxy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220</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214</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294</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3,206.9</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3,916.0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0.819</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294 proxy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400</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193</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246</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3,579.5</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3,465.0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1.033</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246 proxy</w:t>
            </w:r>
          </w:p>
        </w:tc>
      </w:tr>
    </w:tbl>
    <w:p>
      <w:pPr>
        <w:pStyle w:val="BodyText"/>
        <w:widowControl/>
      </w:pPr>
      <w:r>
        <w:rPr>
          <w:rFonts w:ascii="Times New Roman" w:hAnsi="Times New Roman" w:eastAsia="Times New Roman" w:cs="Times New Roman"/>
          <w:b/>
          <w:bCs/>
          <w:sz w:val="21"/>
        </w:rPr>
        <w:t xml:space="preserve">Table note.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The 130 kV sample contains seven lines. Background length is non-independent OSM context at 60/130 kV and REN aggregate length at 150/220/400 kV. Route-km and circuit length differ, so ratios are not accuracy. The active network is one connected component with simple-graph cycle rank 501, median degree 2, and 95th-percentile degree 4. All 31,492 cases completed and converged; interval-weighted AC closure MAE is</w:t>
      </w:r>
      <w:r>
        <w:rPr>
          <w:rFonts w:ascii="Times New Roman" w:hAnsi="Times New Roman" w:eastAsia="Times New Roman" w:cs="Times New Roman"/>
          <w:sz w:val="21"/>
        </w:rPr>
        <w:t xml:space="preserve"> </w:t>
      </w:r>
      <m:oMath>
        <m:r>
          <m:t>1.77</m:t>
        </m:r>
        <m:r>
          <m:rPr>
            <m:sty m:val="p"/>
          </m:rPr>
          <m:t>×</m:t>
        </m:r>
        <m:sSup>
          <m:e>
            <m:r>
              <m:t>10</m:t>
            </m:r>
          </m:e>
          <m:sup>
            <m:r>
              <m:rPr>
                <m:sty m:val="p"/>
              </m:rPr>
              <m:t>−</m:t>
            </m:r>
            <m:r>
              <m:t>6</m:t>
            </m:r>
          </m:sup>
        </m:sSup>
      </m:oMath>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MW. Partial line-level support does not mean that every field is observed; all</w:t>
      </w:r>
      <w:r>
        <w:rPr>
          <w:rFonts w:ascii="Times New Roman" w:hAnsi="Times New Roman" w:eastAsia="Times New Roman" w:cs="Times New Roman"/>
          <w:sz w:val="21"/>
        </w:rPr>
        <w:t xml:space="preserve"> </w:t>
      </w:r>
      <m:oMath>
        <m:r>
          <m:t>x</m:t>
        </m:r>
      </m:oMath>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w:t>
      </w:r>
      <w:r>
        <w:rPr>
          <w:rFonts w:ascii="Times New Roman" w:hAnsi="Times New Roman" w:eastAsia="Times New Roman" w:cs="Times New Roman"/>
          <w:sz w:val="21"/>
        </w:rPr>
        <w:t xml:space="preserve"> </w:t>
      </w:r>
      <m:oMath>
        <m:r>
          <m:t>c</m:t>
        </m:r>
      </m:oMath>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values are proxies.</w:t>
      </w:r>
    </w:p>
    <w:bookmarkEnd w:id="60"/>
    <w:bookmarkStart w:id="64" w:name="X5d063ab4efad64cd58a740e40734f26c3a2cfcb"/>
    <w:p>
      <w:pPr>
        <w:pStyle w:val="Heading2"/>
        <w:keepNext/>
        <w:keepLines/>
        <w:widowControl/>
      </w:pPr>
      <w:r>
        <w:rPr>
          <w:rFonts w:ascii="Times New Roman" w:hAnsi="Times New Roman" w:eastAsia="Times New Roman" w:cs="Times New Roman"/>
          <w:sz w:val="24"/>
        </w:rPr>
        <w:t xml:space="preserve">Parameter and spatial-allocation sensitivity</w:t>
      </w:r>
    </w:p>
    <w:p>
      <w:pPr>
        <w:pStyle w:val="FirstParagraph"/>
        <w:widowControl/>
      </w:pPr>
      <w:r>
        <w:rPr>
          <w:rFonts w:ascii="Times New Roman" w:hAnsi="Times New Roman" w:eastAsia="Times New Roman" w:cs="Times New Roman"/>
          <w:sz w:val="21"/>
        </w:rPr>
        <w:t xml:space="preserve">Sensitivity experiments perturb line</w:t>
      </w:r>
      <w:r>
        <w:rPr>
          <w:rFonts w:ascii="Times New Roman" w:hAnsi="Times New Roman" w:eastAsia="Times New Roman" w:cs="Times New Roman"/>
          <w:sz w:val="21"/>
        </w:rPr>
        <w:t xml:space="preserve"> </w:t>
      </w:r>
      <m:oMath>
        <m:r>
          <m:t>R</m:t>
        </m:r>
        <m:r>
          <m:rPr>
            <m:sty m:val="p"/>
          </m:rPr>
          <m:t>/</m:t>
        </m:r>
        <m:r>
          <m:t>X</m:t>
        </m:r>
      </m:oMath>
      <w:r>
        <w:rPr>
          <w:rFonts w:ascii="Times New Roman" w:hAnsi="Times New Roman" w:eastAsia="Times New Roman" w:cs="Times New Roman"/>
          <w:sz w:val="21"/>
        </w:rPr>
        <w:t xml:space="preserve">, capacitance, current ratings, transformer capacity and impedance, and the spatial allocation of load, generation, and boundary exchange at 22 representative times. After shared baselines are removed, 264 cases remain and all converge. The minimum Spearman correlation is 0.998 for line-impedance perturbations and 0.993 for transformer perturbations. Current-rating assumptions change maximum loading by as much as 34.48 percentage points. System-wide rankings remain comparatively stable under spatial alternatives, but allocating residual load by transformer capacity reduces the Top-20 Jaccard index to 0.429. Specific hotspots are consequently more assumption-dependent than the global ranking.</w:t>
      </w:r>
    </w:p>
    <w:p>
      <w:pPr>
        <w:pStyle w:val="BodyText"/>
        <w:widowControl/>
      </w:pPr>
      <w:r>
        <w:rPr>
          <w:rFonts w:ascii="Times New Roman" w:hAnsi="Times New Roman" w:eastAsia="Times New Roman" w:cs="Times New Roman"/>
          <w:sz w:val="21"/>
        </w:rPr>
        <w:t xml:space="preserve">Figure 5 summarizes ranking, hotspot-set, and maximum-loading responses. Across the 12 configurations evaluated at each time, 74 of 4,943 lines enter the Top 20 at least once, 56 reach an inclusion frequency of at least 0.8 at one or more times, and the largest frequency across all 264 experiments is 207/264 (78.4%); no line remains in the Top 20 at every time and configuration. A separate 242-case operating-proxy ablation changes reactive-power limits, PV targets, load compensation, shunt reactors, and tap control at the same 22 times. All cases converge. Halving reactive-power limits produces the largest minimum-voltage change (0.02845 p.u.) and a 1.419-percentage-point maximum-line-loading change; active ratio-tap voltage control produces the largest maximum-transformer-loading change (4.305 percentage points). The complete paired results and configuration identifiers are released as machine-readable CSV.</w:t>
      </w:r>
    </w:p>
    <w:p>
      <w:pPr>
        <w:pStyle w:val="BodyText"/>
        <w:widowControl/>
      </w:pPr>
      <w:r>
        <w:rPr>
          <w:rFonts w:ascii="Times New Roman" w:hAnsi="Times New Roman" w:eastAsia="Times New Roman" w:cs="Times New Roman"/>
          <w:sz w:val="21"/>
        </w:rPr>
        <w:drawing>
          <wp:inline>
            <wp:extent cx="5623560" cy="3354594"/>
            <wp:effectExtent b="0" l="0" r="0" t="0"/>
            <wp:docPr descr="Figure 5—Sensitivity to parameters and spatial allocation. (a) Spearman correlation of line-loading ranks; (b) Top-20 Jaccard index; and (c) absolute change in maximum loading. Markers denote medians over 22 operating states and lines extend to the least favorable result. The 154 parameter cases and 132 spatial cases share 22 baselines." title="Figure 5" id="62" name="Picture"/>
            <a:graphic>
              <a:graphicData uri="http://schemas.openxmlformats.org/drawingml/2006/picture">
                <pic:pic>
                  <pic:nvPicPr>
                    <pic:cNvPr descr="figures_final/fig05_parameter_spatial_sensitivity.pdf" id="63" name="Picture"/>
                    <pic:cNvPicPr>
                      <a:picLocks noChangeArrowheads="1" noChangeAspect="1"/>
                    </pic:cNvPicPr>
                  </pic:nvPicPr>
                  <pic:blipFill>
                    <a:blip r:embed="rId61"/>
                    <a:stretch>
                      <a:fillRect/>
                    </a:stretch>
                  </pic:blipFill>
                  <pic:spPr bwMode="auto">
                    <a:xfrm>
                      <a:off x="0" y="0"/>
                      <a:ext cx="5623560" cy="3354594"/>
                    </a:xfrm>
                    <a:prstGeom prst="rect">
                      <a:avLst/>
                    </a:prstGeom>
                    <a:noFill/>
                    <a:ln w="9525">
                      <a:noFill/>
                      <a:headEnd/>
                      <a:tailEnd/>
                    </a:ln>
                  </pic:spPr>
                </pic:pic>
              </a:graphicData>
            </a:graphic>
          </wp:inline>
        </w:drawing>
      </w:r>
    </w:p>
    <w:p>
      <w:pPr>
        <w:pStyle w:val="ImageCaption"/>
        <w:keepLines/>
        <w:widowControl/>
      </w:pPr>
      <w:r>
        <w:rPr>
          <w:rFonts w:ascii="Times New Roman" w:hAnsi="Times New Roman" w:eastAsia="Times New Roman" w:cs="Times New Roman"/>
          <w:b/>
          <w:bCs/>
          <w:sz w:val="18"/>
        </w:rPr>
        <w:t xml:space="preserve">Figure 5—Sensitivity to parameters and spatial allocation.</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(a) Spearman correlation of line-loading ranks; (b) Top-20 Jaccard index; and (c) absolute change in maximum loading. Markers denote medians over 22 operating states and lines extend to the least favorable result. The 154 parameter cases and 132 spatial cases share 22 baselines.</w:t>
      </w:r>
    </w:p>
    <w:bookmarkEnd w:id="64"/>
    <w:bookmarkStart w:id="68" w:name="external-temporal-agreement"/>
    <w:p>
      <w:pPr>
        <w:pStyle w:val="Heading2"/>
        <w:keepNext/>
        <w:keepLines/>
        <w:widowControl/>
      </w:pPr>
      <w:r>
        <w:rPr>
          <w:rFonts w:ascii="Times New Roman" w:hAnsi="Times New Roman" w:eastAsia="Times New Roman" w:cs="Times New Roman"/>
          <w:sz w:val="24"/>
        </w:rPr>
        <w:t xml:space="preserve">External temporal agreement</w:t>
      </w:r>
    </w:p>
    <w:p>
      <w:pPr>
        <w:pStyle w:val="FirstParagraph"/>
        <w:widowControl/>
      </w:pPr>
      <w:r>
        <w:rPr>
          <w:rFonts w:ascii="Times New Roman" w:hAnsi="Times New Roman" w:eastAsia="Times New Roman" w:cs="Times New Roman"/>
          <w:sz w:val="21"/>
        </w:rPr>
        <w:t xml:space="preserve">National demand comparison contains 31,388 paired intervals. The ratio of mean SimPT60 consumption to public E-REDES consumption is 1.003, with a day-block bootstrap 95% confidence interval of [1.002, 1.005]. Fifteen-minute Pearson correlation is 0.997 [0.996, 0.999], and mean absolute error (MAE) is 30.9 MW. Across 327 paired daily means, Pearson correlation is 0.995 and normalized root-mean-square error (RMSE) is 0.013. October 2025 contains E-REDES missingness and local deviations, but the month is retained</w:t>
      </w:r>
      <w:r>
        <w:rPr>
          <w:rFonts w:ascii="Times New Roman" w:hAnsi="Times New Roman" w:eastAsia="Times New Roman" w:cs="Times New Roman"/>
          <w:sz w:val="21"/>
          <w:vertAlign w:val="superscript"/>
        </w:rPr>
        <w:t xml:space="preserve">22</w:t>
      </w:r>
      <w:r>
        <w:rPr>
          <w:rFonts w:ascii="Times New Roman" w:hAnsi="Times New Roman" w:eastAsia="Times New Roman" w:cs="Times New Roman"/>
          <w:sz w:val="21"/>
        </w:rPr>
        <w:t xml:space="preserve">.</w:t>
      </w:r>
    </w:p>
    <w:p>
      <w:pPr>
        <w:pStyle w:val="BodyText"/>
        <w:widowControl/>
      </w:pPr>
      <w:r>
        <w:rPr>
          <w:rFonts w:ascii="Times New Roman" w:hAnsi="Times New Roman" w:eastAsia="Times New Roman" w:cs="Times New Roman"/>
          <w:sz w:val="21"/>
        </w:rPr>
        <w:t xml:space="preserve">Wind comparison contains 31,484 paired intervals. The mean ratio between SimPT60 and E-REDES distribution-grid wind injection is 1.056 [1.055, 1.058], and Pearson correlation is 0.9998 [0.9997, 0.9998]. Daily-mean correlation is also 0.9998. Photovoltaic correlation is 0.982, but mean national photovoltaic production in SimPT60 is approximately 21.2 times distribution-grid injection. Hydro correlation is 0.536. The latter comparisons span different accounting scopes and are not absolute-scale validation</w:t>
      </w:r>
      <w:r>
        <w:rPr>
          <w:rFonts w:ascii="Times New Roman" w:hAnsi="Times New Roman" w:eastAsia="Times New Roman" w:cs="Times New Roman"/>
          <w:sz w:val="21"/>
          <w:vertAlign w:val="superscript"/>
        </w:rPr>
        <w:t xml:space="preserve">23,24</w:t>
      </w:r>
      <w:r>
        <w:rPr>
          <w:rFonts w:ascii="Times New Roman" w:hAnsi="Times New Roman" w:eastAsia="Times New Roman" w:cs="Times New Roman"/>
          <w:sz w:val="21"/>
        </w:rPr>
        <w:t xml:space="preserve">.</w:t>
      </w:r>
    </w:p>
    <w:p>
      <w:pPr>
        <w:pStyle w:val="BodyText"/>
        <w:widowControl/>
      </w:pPr>
      <w:r>
        <w:rPr>
          <w:rFonts w:ascii="Times New Roman" w:hAnsi="Times New Roman" w:eastAsia="Times New Roman" w:cs="Times New Roman"/>
          <w:sz w:val="21"/>
        </w:rPr>
        <w:drawing>
          <wp:inline>
            <wp:extent cx="5623560" cy="5471571"/>
            <wp:effectExtent b="0" l="0" r="0" t="0"/>
            <wp:docPr descr="Figure 6—External temporal validation of aggregate inputs. (a–b) Paired daily means for national consumption and wind; (c–d) density of the corresponding 31,388 and 31,484 15-minute pairs, with a shared logarithmic count scale, one-to-one line, and Pearson ; and (e) consumption profiles grouped by Lisbon local time and normalized by each series’ daily mean. Comparisons exclude only intervals missing a required field and use no anomaly deletion, smoothing, or interpolation. Consumption excludes pumping and battery charging and differs from total electric load in the cases. Wind compares national production with distribution-grid injection across different scopes. The figure validates aggregate inputs, not nodal allocation or branch flow. Table 9 gives bootstrap intervals." title="Figure 6" id="66" name="Picture"/>
            <a:graphic>
              <a:graphicData uri="http://schemas.openxmlformats.org/drawingml/2006/picture">
                <pic:pic>
                  <pic:nvPicPr>
                    <pic:cNvPr descr="figures_final/fig07_temporal_validation.pdf" id="67" name="Picture"/>
                    <pic:cNvPicPr>
                      <a:picLocks noChangeArrowheads="1" noChangeAspect="1"/>
                    </pic:cNvPicPr>
                  </pic:nvPicPr>
                  <pic:blipFill>
                    <a:blip r:embed="rId65"/>
                    <a:stretch>
                      <a:fillRect/>
                    </a:stretch>
                  </pic:blipFill>
                  <pic:spPr bwMode="auto">
                    <a:xfrm>
                      <a:off x="0" y="0"/>
                      <a:ext cx="5623560" cy="5471571"/>
                    </a:xfrm>
                    <a:prstGeom prst="rect">
                      <a:avLst/>
                    </a:prstGeom>
                    <a:noFill/>
                    <a:ln w="9525">
                      <a:noFill/>
                      <a:headEnd/>
                      <a:tailEnd/>
                    </a:ln>
                  </pic:spPr>
                </pic:pic>
              </a:graphicData>
            </a:graphic>
          </wp:inline>
        </w:drawing>
      </w:r>
    </w:p>
    <w:p>
      <w:pPr>
        <w:pStyle w:val="ImageCaption"/>
        <w:keepLines/>
        <w:widowControl/>
      </w:pPr>
      <w:r>
        <w:rPr>
          <w:rFonts w:ascii="Times New Roman" w:hAnsi="Times New Roman" w:eastAsia="Times New Roman" w:cs="Times New Roman"/>
          <w:b/>
          <w:bCs/>
          <w:sz w:val="18"/>
        </w:rPr>
        <w:t xml:space="preserve">Figure 6—External temporal validation of aggregate inputs.</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(a–b) Paired daily means for national consumption and wind; (c–d) density of the corresponding 31,388 and 31,484 15-minute pairs, with a shared logarithmic count scale, one-to-one line, and Pearson</w:t>
      </w:r>
      <w:r>
        <w:rPr>
          <w:rFonts w:ascii="Times New Roman" w:hAnsi="Times New Roman" w:eastAsia="Times New Roman" w:cs="Times New Roman"/>
          <w:sz w:val="18"/>
        </w:rPr>
        <w:t xml:space="preserve"> </w:t>
      </w:r>
      <m:oMath>
        <m:r>
          <m:t>r</m:t>
        </m:r>
      </m:oMath>
      <w:r>
        <w:rPr>
          <w:rFonts w:ascii="Times New Roman" w:hAnsi="Times New Roman" w:eastAsia="Times New Roman" w:cs="Times New Roman"/>
          <w:sz w:val="18"/>
        </w:rPr>
        <w:t xml:space="preserve">; and (e) consumption profiles grouped by Lisbon local time and normalized by each series’ daily mean. Comparisons exclude only intervals missing a required field and use no anomaly deletion, smoothing, or interpolation. Consumption excludes pumping and battery charging and differs from total electric load in the cases. Wind compares national production with distribution-grid injection across different scopes. The figure validates aggregate inputs, not nodal allocation or branch flow. Table 9 gives bootstrap intervals.</w:t>
      </w:r>
    </w:p>
    <w:bookmarkEnd w:id="68"/>
    <w:bookmarkStart w:id="73" w:name="external-spatial-agreement"/>
    <w:p>
      <w:pPr>
        <w:pStyle w:val="Heading2"/>
        <w:keepNext/>
        <w:keepLines/>
        <w:widowControl/>
      </w:pPr>
      <w:r>
        <w:rPr>
          <w:rFonts w:ascii="Times New Roman" w:hAnsi="Times New Roman" w:eastAsia="Times New Roman" w:cs="Times New Roman"/>
          <w:sz w:val="24"/>
        </w:rPr>
        <w:t xml:space="preserve">External spatial agreement</w:t>
      </w:r>
    </w:p>
    <w:p>
      <w:pPr>
        <w:pStyle w:val="FirstParagraph"/>
        <w:widowControl/>
      </w:pPr>
      <w:r>
        <w:rPr>
          <w:rFonts w:ascii="Times New Roman" w:hAnsi="Times New Roman" w:eastAsia="Times New Roman" w:cs="Times New Roman"/>
          <w:sz w:val="21"/>
        </w:rPr>
        <w:t xml:space="preserve">At municipal level, E-REDES monthly billed consumption is the reference</w:t>
      </w:r>
      <w:r>
        <w:rPr>
          <w:rFonts w:ascii="Times New Roman" w:hAnsi="Times New Roman" w:eastAsia="Times New Roman" w:cs="Times New Roman"/>
          <w:sz w:val="21"/>
          <w:vertAlign w:val="superscript"/>
        </w:rPr>
        <w:t xml:space="preserve">25</w:t>
      </w:r>
      <w:r>
        <w:rPr>
          <w:rFonts w:ascii="Times New Roman" w:hAnsi="Times New Roman" w:eastAsia="Times New Roman" w:cs="Times New Roman"/>
          <w:sz w:val="21"/>
        </w:rPr>
        <w:t xml:space="preserve">. The 2,183 municipality-month pairs yield a Spearman correlation of 0.881, with a 95% confidence interval of [0.841, 0.910] from 199 municipality clusters; they cover 94.8% of contemporaneous billed energy. At substation level, 792 seasonal pairs yield a Spearman correlation of 0.957 [0.946, 0.967] over 397 station clusters, a mean ratio of 1.044, and MAE of 2.45 MW.</w:t>
      </w:r>
    </w:p>
    <w:p>
      <w:pPr>
        <w:pStyle w:val="BodyText"/>
        <w:widowControl/>
      </w:pPr>
      <w:r>
        <w:rPr>
          <w:rFonts w:ascii="Times New Roman" w:hAnsi="Times New Roman" w:eastAsia="Times New Roman" w:cs="Times New Roman"/>
          <w:sz w:val="21"/>
        </w:rPr>
        <w:t xml:space="preserve">Municipality comparisons use the municipality containing each substation as a proxy for its service area and therefore provide weak spatial evidence. Seasonal substation loads come from the E-REDES capacity and loading product</w:t>
      </w:r>
      <w:r>
        <w:rPr>
          <w:rFonts w:ascii="Times New Roman" w:hAnsi="Times New Roman" w:eastAsia="Times New Roman" w:cs="Times New Roman"/>
          <w:sz w:val="21"/>
          <w:vertAlign w:val="superscript"/>
        </w:rPr>
        <w:t xml:space="preserve">26</w:t>
      </w:r>
      <w:r>
        <w:rPr>
          <w:rFonts w:ascii="Times New Roman" w:hAnsi="Times New Roman" w:eastAsia="Times New Roman" w:cs="Times New Roman"/>
          <w:sz w:val="21"/>
        </w:rPr>
        <w:t xml:space="preserve">. They test facility ranking and scale, but share the same operator as the 15-minute load data and are not fully independent nodal truth.</w:t>
      </w:r>
    </w:p>
    <w:p>
      <w:pPr>
        <w:pStyle w:val="BodyText"/>
        <w:widowControl/>
      </w:pPr>
      <w:r>
        <w:rPr>
          <w:rFonts w:ascii="Times New Roman" w:hAnsi="Times New Roman" w:eastAsia="Times New Roman" w:cs="Times New Roman"/>
          <w:sz w:val="21"/>
        </w:rPr>
        <w:drawing>
          <wp:inline>
            <wp:extent cx="5623560" cy="2844348"/>
            <wp:effectExtent b="0" l="0" r="0" t="0"/>
            <wp:docPr descr="Figure 7—Spatial agreement at municipality and substation levels. (a) 2,183 municipality-month load-share pairs; (b) 792 seasonal substation-peak pairs. Axes have equal scale and dashed one-to-one lines. Labels report Spearman correlation and archived 1,000-replicate cluster-bootstrap 95% intervals using 199 municipality and 397 substation clusters; bands are not regression intervals. Municipality assignment is a weak service-area proxy, and cross-product evidence from the same operator is not fully independent nodal truth." title="Figure 7" id="70" name="Picture"/>
            <a:graphic>
              <a:graphicData uri="http://schemas.openxmlformats.org/drawingml/2006/picture">
                <pic:pic>
                  <pic:nvPicPr>
                    <pic:cNvPr descr="figures_final/fig08_spatial_validation.pdf" id="71" name="Picture"/>
                    <pic:cNvPicPr>
                      <a:picLocks noChangeArrowheads="1" noChangeAspect="1"/>
                    </pic:cNvPicPr>
                  </pic:nvPicPr>
                  <pic:blipFill>
                    <a:blip r:embed="rId69"/>
                    <a:stretch>
                      <a:fillRect/>
                    </a:stretch>
                  </pic:blipFill>
                  <pic:spPr bwMode="auto">
                    <a:xfrm>
                      <a:off x="0" y="0"/>
                      <a:ext cx="5623560" cy="2844348"/>
                    </a:xfrm>
                    <a:prstGeom prst="rect">
                      <a:avLst/>
                    </a:prstGeom>
                    <a:noFill/>
                    <a:ln w="9525">
                      <a:noFill/>
                      <a:headEnd/>
                      <a:tailEnd/>
                    </a:ln>
                  </pic:spPr>
                </pic:pic>
              </a:graphicData>
            </a:graphic>
          </wp:inline>
        </w:drawing>
      </w:r>
    </w:p>
    <w:p>
      <w:pPr>
        <w:pStyle w:val="ImageCaption"/>
        <w:keepLines/>
        <w:widowControl/>
      </w:pPr>
      <w:r>
        <w:rPr>
          <w:rFonts w:ascii="Times New Roman" w:hAnsi="Times New Roman" w:eastAsia="Times New Roman" w:cs="Times New Roman"/>
          <w:b/>
          <w:bCs/>
          <w:sz w:val="18"/>
        </w:rPr>
        <w:t xml:space="preserve">Figure 7—Spatial agreement at municipality and substation levels.</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(a) 2,183 municipality-month load-share pairs; (b) 792 seasonal substation-peak pairs. Axes have equal scale and dashed one-to-one lines. Labels report Spearman correlation and archived 1,000-replicate cluster-bootstrap 95% intervals using 199 municipality and 397 substation clusters; bands are not regression intervals. Municipality assignment is a weak service-area proxy, and cross-product evidence from the same operator is not fully independent nodal truth.</w:t>
      </w:r>
    </w:p>
    <w:p>
      <w:pPr>
        <w:pStyle w:val="TableCaption"/>
        <w:keepNext/>
        <w:widowControl/>
      </w:pPr>
      <w:r>
        <w:rPr>
          <w:rFonts w:ascii="Times New Roman" w:hAnsi="Times New Roman" w:eastAsia="Times New Roman" w:cs="Times New Roman"/>
          <w:b/>
          <w:bCs/>
          <w:sz w:val="18"/>
        </w:rPr>
        <w:t xml:space="preserve">Table 9—Summary of cross-source validation.</w:t>
      </w:r>
    </w:p>
    <w:tbl>
      <w:tblPr>
        <w:tblStyle w:val="Table"/>
        <w:tblW w:type="pct" w:w="5000"/>
        <w:jc w:val="left"/>
        <w:tblLayout w:type="autofit"/>
        <w:tblLook w:firstRow="1" w:lastRow="0" w:firstColumn="0" w:lastColumn="0" w:noHBand="0" w:noVBand="0" w:val="0020"/>
      </w:tblPr>
      <w:tblGrid>
        <w:gridCol w:w="1827"/>
        <w:gridCol w:w="2436"/>
        <w:gridCol w:w="1827"/>
        <w:gridCol w:w="1827"/>
      </w:tblGrid>
      <w:tr>
        <w:trPr>
          <w:tblHeader w:val="on"/>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Validation target</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sz w:val="16"/>
              </w:rPr>
              <w:t xml:space="preserve">Samples or independent blocks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Result (95% CI)</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Evidence level</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National consumption</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31,388 intervals / 327 days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Mean ratio 1.003 [1.002, 1.005];</w:t>
            </w:r>
            <w:r>
              <w:rPr>
                <w:rFonts w:ascii="Times New Roman" w:hAnsi="Times New Roman" w:eastAsia="Times New Roman" w:cs="Times New Roman"/>
                <w:b w:val="0"/>
                <w:sz w:val="16"/>
              </w:rPr>
              <w:t xml:space="preserve"> </w:t>
            </w:r>
            <m:oMath>
              <m:r>
                <m:t>r</m:t>
              </m:r>
              <m:r>
                <m:rPr>
                  <m:sty m:val="p"/>
                </m:rPr>
                <m:t>=</m:t>
              </m:r>
              <m:r>
                <m:t>0.997</m:t>
              </m:r>
            </m:oMath>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[0.996, 0.999]</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REN–E-REDES consumption; reference includes losses</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Wind</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31,484 intervals / 328 days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Mean ratio 1.056 [1.055, 1.058];</w:t>
            </w:r>
            <w:r>
              <w:rPr>
                <w:rFonts w:ascii="Times New Roman" w:hAnsi="Times New Roman" w:eastAsia="Times New Roman" w:cs="Times New Roman"/>
                <w:b w:val="0"/>
                <w:sz w:val="16"/>
              </w:rPr>
              <w:t xml:space="preserve"> </w:t>
            </w:r>
            <m:oMath>
              <m:r>
                <m:t>r</m:t>
              </m:r>
              <m:r>
                <m:rPr>
                  <m:sty m:val="p"/>
                </m:rPr>
                <m:t>=</m:t>
              </m:r>
              <m:r>
                <m:t>0.9998</m:t>
              </m:r>
            </m:oMath>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[0.9997, 0.9998]</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REN–E-REDES distribution-injection corroboration</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Photovoltaic temporal variation</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31,484 intervals / 328 days</w:t>
            </w:r>
          </w:p>
        </w:tc>
        <w:tc>
          <w:tcPr>
            <w:vAlign w:val="center"/>
            <w:tcMar>
              <w:top w:w="70" w:type="dxa"/>
              <w:bottom w:w="70" w:type="dxa"/>
              <w:start w:w="90" w:type="dxa"/>
              <w:end w:w="90" w:type="dxa"/>
            </w:tcMar>
          </w:tcPr>
          <w:p>
            <w:pPr>
              <w:pStyle w:val="Compact"/>
              <w:widowControl/>
              <w:spacing w:before="0" w:after="40" w:line="240" w:lineRule="auto"/>
              <w:jc w:val="left"/>
            </w:pPr>
            <m:oMath>
              <m:r>
                <m:t>r</m:t>
              </m:r>
              <m:r>
                <m:rPr>
                  <m:sty m:val="p"/>
                </m:rPr>
                <m:t>=</m:t>
              </m:r>
              <m:r>
                <m:t>0.982</m:t>
              </m:r>
            </m:oMath>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[0.979, 0.984]; absolute scale not comparable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National production versus distribution injection</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Municipal load share</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2,183 pairs / 199 municipalities</w:t>
            </w:r>
          </w:p>
        </w:tc>
        <w:tc>
          <w:tcPr>
            <w:vAlign w:val="center"/>
            <w:tcMar>
              <w:top w:w="70" w:type="dxa"/>
              <w:bottom w:w="70" w:type="dxa"/>
              <w:start w:w="90" w:type="dxa"/>
              <w:end w:w="90" w:type="dxa"/>
            </w:tcMar>
          </w:tcPr>
          <w:p>
            <w:pPr>
              <w:pStyle w:val="Compact"/>
              <w:widowControl/>
              <w:spacing w:before="0" w:after="40" w:line="240" w:lineRule="auto"/>
              <w:jc w:val="left"/>
            </w:pPr>
            <m:oMath>
              <m:r>
                <m:t>ρ</m:t>
              </m:r>
              <m:r>
                <m:rPr>
                  <m:sty m:val="p"/>
                </m:rPr>
                <m:t>=</m:t>
              </m:r>
              <m:r>
                <m:t>0.881</m:t>
              </m:r>
            </m:oMath>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[0.841, 0.910]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Same operator across datasets; weak spatial proxy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Seasonal substation peak</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792 pairs / 397 stations</w:t>
            </w:r>
          </w:p>
        </w:tc>
        <w:tc>
          <w:tcPr>
            <w:vAlign w:val="center"/>
            <w:tcMar>
              <w:top w:w="70" w:type="dxa"/>
              <w:bottom w:w="70" w:type="dxa"/>
              <w:start w:w="90" w:type="dxa"/>
              <w:end w:w="90" w:type="dxa"/>
            </w:tcMar>
          </w:tcPr>
          <w:p>
            <w:pPr>
              <w:pStyle w:val="Compact"/>
              <w:widowControl/>
              <w:spacing w:before="0" w:after="40" w:line="240" w:lineRule="auto"/>
              <w:jc w:val="left"/>
            </w:pPr>
            <m:oMath>
              <m:r>
                <m:t>ρ</m:t>
              </m:r>
              <m:r>
                <m:rPr>
                  <m:sty m:val="p"/>
                </m:rPr>
                <m:t>=</m:t>
              </m:r>
              <m:r>
                <m:t>0.957</m:t>
              </m:r>
            </m:oMath>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[0.946, 0.967]</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Same operator across datasets</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AC power closure</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31,492 cases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MAE</w:t>
            </w:r>
            <w:r>
              <w:rPr>
                <w:rFonts w:ascii="Times New Roman" w:hAnsi="Times New Roman" w:eastAsia="Times New Roman" w:cs="Times New Roman"/>
                <w:b w:val="0"/>
                <w:sz w:val="16"/>
              </w:rPr>
              <w:t xml:space="preserve"> </w:t>
            </w:r>
            <m:oMath>
              <m:r>
                <m:t>1.77</m:t>
              </m:r>
              <m:r>
                <m:rPr>
                  <m:sty m:val="p"/>
                </m:rPr>
                <m:t>×</m:t>
              </m:r>
              <m:sSup>
                <m:e>
                  <m:r>
                    <m:t>10</m:t>
                  </m:r>
                </m:e>
                <m:sup>
                  <m:r>
                    <m:rPr>
                      <m:sty m:val="p"/>
                    </m:rPr>
                    <m:t>−</m:t>
                  </m:r>
                  <m:r>
                    <m:t>6</m:t>
                  </m:r>
                </m:sup>
              </m:sSup>
            </m:oMath>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MW</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Internal physical consistency</w:t>
            </w:r>
          </w:p>
        </w:tc>
      </w:tr>
    </w:tbl>
    <w:bookmarkStart w:id="72" w:name="X8af3d23067d2040a545ef6a70e5646d2951549b"/>
    <w:p>
      <w:pPr>
        <w:pStyle w:val="Heading3"/>
        <w:keepNext/>
        <w:keepLines/>
        <w:widowControl/>
      </w:pPr>
      <w:r>
        <w:rPr>
          <w:rFonts w:ascii="Times New Roman" w:hAnsi="Times New Roman" w:eastAsia="Times New Roman" w:cs="Times New Roman"/>
          <w:sz w:val="22"/>
        </w:rPr>
        <w:t xml:space="preserve">Station-held-out spatial reconstruction test</w:t>
      </w:r>
    </w:p>
    <w:p>
      <w:pPr>
        <w:pStyle w:val="FirstParagraph"/>
        <w:widowControl/>
      </w:pPr>
      <w:r>
        <w:rPr>
          <w:rFonts w:ascii="Times New Roman" w:hAnsi="Times New Roman" w:eastAsia="Times New Roman" w:cs="Times New Roman"/>
          <w:sz w:val="21"/>
        </w:rPr>
        <w:t xml:space="preserve">A station-held-out experiment divides 394 matched stations into five deterministic folds. At 22 times, it compares global capacity share, five geographically nearest stations, and five nearest stations along the reconstructed network, yielding 8,541 observation pairs. Neighbor predictions use inverse-distance weights; network distance uses in-service line length and a small positive transformer-edge length. Confidence intervals are obtained by a 1,000-replicate station-cluster bootstrap using fixed fold assignments. Table 10 shows that network-neighbor MAE is approximately 9.9% below global capacity share, but is not lower than geographic-neighbor MAE and has an overlapping confidence interval. Reconstructed connectivity therefore contains useful proximity information but does not independently recover precise nodal demand. Fold assignments, pair-level predictions, and recomputation code are included in the released validation package.</w:t>
      </w:r>
    </w:p>
    <w:p>
      <w:pPr>
        <w:pStyle w:val="TableCaption"/>
        <w:keepNext/>
        <w:widowControl/>
      </w:pPr>
      <w:r>
        <w:rPr>
          <w:rFonts w:ascii="Times New Roman" w:hAnsi="Times New Roman" w:eastAsia="Times New Roman" w:cs="Times New Roman"/>
          <w:b/>
          <w:bCs/>
          <w:sz w:val="18"/>
        </w:rPr>
        <w:t xml:space="preserve">Table 10—Station-held-out spatial-allocation results.</w:t>
      </w:r>
    </w:p>
    <w:tbl>
      <w:tblPr>
        <w:tblStyle w:val="Table"/>
        <w:tblW w:type="pct" w:w="5000"/>
        <w:jc w:val="left"/>
        <w:tblLayout w:type="autofit"/>
        <w:tblLook w:firstRow="1" w:lastRow="0" w:firstColumn="0" w:lastColumn="0" w:noHBand="0" w:noVBand="0" w:val="0020"/>
      </w:tblPr>
      <w:tblGrid>
        <w:gridCol w:w="1320"/>
        <w:gridCol w:w="1760"/>
        <w:gridCol w:w="1320"/>
        <w:gridCol w:w="1760"/>
        <w:gridCol w:w="1760"/>
      </w:tblGrid>
      <w:tr>
        <w:trPr>
          <w:tblHeader w:val="on"/>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Method</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sz w:val="16"/>
              </w:rPr>
              <w:t xml:space="preserve">Stations / observation pairs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MAE (MW), 95% confidence interval</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RMSE (MW)</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Weighted absolute percentage error (WAPE)</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Capacity share</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394 / 8,541</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4.729 [4.412, 5.063]</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6.357</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38.4%</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Five geographic neighbors</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394 / 8,541</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4.249 [3.972, 4.544]</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5.675</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34.5%</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Five network-path neighbors</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394 / 8,541</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4.262 [3.971, 4.545]</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5.702</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34.6%</w:t>
            </w:r>
          </w:p>
        </w:tc>
      </w:tr>
    </w:tbl>
    <w:bookmarkEnd w:id="72"/>
    <w:bookmarkEnd w:id="73"/>
    <w:bookmarkStart w:id="77" w:name="Xdf888b7ddb85cba43fe512cdb83621541356905"/>
    <w:p>
      <w:pPr>
        <w:pStyle w:val="Heading2"/>
        <w:keepNext/>
        <w:keepLines/>
        <w:widowControl/>
      </w:pPr>
      <w:r>
        <w:rPr>
          <w:rFonts w:ascii="Times New Roman" w:hAnsi="Times New Roman" w:eastAsia="Times New Roman" w:cs="Times New Roman"/>
          <w:sz w:val="24"/>
        </w:rPr>
        <w:t xml:space="preserve">Generation scope and quantified dependence on spatial proxies</w:t>
      </w:r>
    </w:p>
    <w:p>
      <w:pPr>
        <w:pStyle w:val="FirstParagraph"/>
        <w:widowControl/>
      </w:pPr>
      <w:r>
        <w:rPr>
          <w:rFonts w:ascii="Times New Roman" w:hAnsi="Times New Roman" w:eastAsia="Times New Roman" w:cs="Times New Roman"/>
          <w:sz w:val="21"/>
        </w:rPr>
        <w:t xml:space="preserve">Directly observed load accounts for 67.93–74.93% of monthly consumption; the remaining 25.07–32.07% is allocated with PDIRT reference profiles. National generation proxies account for only 0.010–0.063% of monthly generation, but this national average hides small technology classes. In May 2025, proxy shares reach 90.58% for batteries and 11.07% for other thermal generation. Aggregate balance therefore does not establish reliable local asset location.</w:t>
      </w:r>
    </w:p>
    <w:p>
      <w:pPr>
        <w:pStyle w:val="BodyText"/>
        <w:widowControl/>
      </w:pPr>
      <w:r>
        <w:rPr>
          <w:rFonts w:ascii="Times New Roman" w:hAnsi="Times New Roman" w:eastAsia="Times New Roman" w:cs="Times New Roman"/>
          <w:sz w:val="21"/>
        </w:rPr>
        <w:t xml:space="preserve">All non-rounding generation proxies are injected at one 400 kV receiving bus, which represents a model balancing location only. Figure 8 shows consumption residuals, technology-level generation proxies, and their spatial distribution by latitude band. Monthly values for eight technologies, interval flags, and bus-level details are released as CSV.</w:t>
      </w:r>
    </w:p>
    <w:p>
      <w:pPr>
        <w:pStyle w:val="BodyText"/>
        <w:widowControl/>
      </w:pPr>
      <w:r>
        <w:rPr>
          <w:rFonts w:ascii="Times New Roman" w:hAnsi="Times New Roman" w:eastAsia="Times New Roman" w:cs="Times New Roman"/>
          <w:sz w:val="21"/>
        </w:rPr>
        <w:drawing>
          <wp:inline>
            <wp:extent cx="5623560" cy="6641156"/>
            <wp:effectExtent b="0" l="0" r="0" t="0"/>
            <wp:docPr descr="Figure 8—Temporal and spatial distribution of observed and proxy power. (a) Observed consumption and the PDIRT-allocated residual; (b) technology-level proxy shares for batteries and other thermal generation; and (c) load-residual share by latitude band of receiving buses. Panels use different denominators. Regions denote allocation locations in the model, not the true locations of missing assets." title="Figure 8" id="75" name="Picture"/>
            <a:graphic>
              <a:graphicData uri="http://schemas.openxmlformats.org/drawingml/2006/picture">
                <pic:pic>
                  <pic:nvPicPr>
                    <pic:cNvPr descr="figures_final/fig10_proxy_provenance.pdf" id="76" name="Picture"/>
                    <pic:cNvPicPr>
                      <a:picLocks noChangeArrowheads="1" noChangeAspect="1"/>
                    </pic:cNvPicPr>
                  </pic:nvPicPr>
                  <pic:blipFill>
                    <a:blip r:embed="rId74"/>
                    <a:stretch>
                      <a:fillRect/>
                    </a:stretch>
                  </pic:blipFill>
                  <pic:spPr bwMode="auto">
                    <a:xfrm>
                      <a:off x="0" y="0"/>
                      <a:ext cx="5623560" cy="6641156"/>
                    </a:xfrm>
                    <a:prstGeom prst="rect">
                      <a:avLst/>
                    </a:prstGeom>
                    <a:noFill/>
                    <a:ln w="9525">
                      <a:noFill/>
                      <a:headEnd/>
                      <a:tailEnd/>
                    </a:ln>
                  </pic:spPr>
                </pic:pic>
              </a:graphicData>
            </a:graphic>
          </wp:inline>
        </w:drawing>
      </w:r>
    </w:p>
    <w:p>
      <w:pPr>
        <w:pStyle w:val="ImageCaption"/>
        <w:keepLines/>
        <w:widowControl/>
      </w:pPr>
      <w:r>
        <w:rPr>
          <w:rFonts w:ascii="Times New Roman" w:hAnsi="Times New Roman" w:eastAsia="Times New Roman" w:cs="Times New Roman"/>
          <w:b/>
          <w:bCs/>
          <w:sz w:val="18"/>
        </w:rPr>
        <w:t xml:space="preserve">Figure 8—Temporal and spatial distribution of observed and proxy power.</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(a) Observed consumption and the PDIRT-allocated residual; (b) technology-level proxy shares for batteries and other thermal generation; and (c) load-residual share by latitude band of receiving buses. Panels use different denominators. Regions denote allocation locations in the model, not the true locations of missing assets.</w:t>
      </w:r>
    </w:p>
    <w:bookmarkEnd w:id="77"/>
    <w:bookmarkStart w:id="78" w:name="limitations"/>
    <w:p>
      <w:pPr>
        <w:pStyle w:val="Heading2"/>
        <w:keepNext/>
        <w:keepLines/>
        <w:widowControl/>
      </w:pPr>
      <w:r>
        <w:rPr>
          <w:rFonts w:ascii="Times New Roman" w:hAnsi="Times New Roman" w:eastAsia="Times New Roman" w:cs="Times New Roman"/>
          <w:sz w:val="24"/>
        </w:rPr>
        <w:t xml:space="preserve">Limitations</w:t>
      </w:r>
    </w:p>
    <w:p>
      <w:pPr>
        <w:pStyle w:val="FirstParagraph"/>
        <w:widowControl/>
      </w:pPr>
      <w:r>
        <w:rPr>
          <w:rFonts w:ascii="Times New Roman" w:hAnsi="Times New Roman" w:eastAsia="Times New Roman" w:cs="Times New Roman"/>
          <w:sz w:val="21"/>
        </w:rPr>
        <w:t xml:space="preserve">Validation supports aggregate temporal agreement, plausible spatial ranking, and numerical self-consistency. Parameter and allocation perturbations also show that system-wide trends are generally stable. Public information remains insufficient to validate device-by-device topology, branch flows, switching status, or generator capability. Correlation, convergence, and screening counts must therefore not be interpreted as equipment-level accuracy of an operator network. SimPT60 is intended for reproducible research cases, relative-risk comparison, and method testing. Real-time dispatch, protection settings, and formal compliance assessment require contemporaneous operator-approved models and operating records.</w:t>
      </w:r>
    </w:p>
    <w:bookmarkEnd w:id="78"/>
    <w:bookmarkEnd w:id="79"/>
    <w:bookmarkStart w:id="80" w:name="usage-notes"/>
    <w:p>
      <w:pPr>
        <w:pStyle w:val="Heading1"/>
        <w:keepNext/>
        <w:keepLines/>
        <w:widowControl/>
      </w:pPr>
      <w:r>
        <w:rPr>
          <w:rFonts w:ascii="Times New Roman" w:hAnsi="Times New Roman" w:eastAsia="Times New Roman" w:cs="Times New Roman"/>
          <w:sz w:val="28"/>
        </w:rPr>
        <w:t xml:space="preserve">Usage Notes</w:t>
      </w:r>
    </w:p>
    <w:p>
      <w:pPr>
        <w:pStyle w:val="FirstParagraph"/>
        <w:widowControl/>
        <w:jc w:val="left"/>
      </w:pPr>
      <w:r>
        <w:rPr>
          <w:rFonts w:ascii="Times New Roman" w:hAnsi="Times New Roman" w:eastAsia="Times New Roman" w:cs="Times New Roman"/>
          <w:sz w:val="21"/>
        </w:rPr>
        <w:t xml:space="preserve">The release is designed for reproducible time-series power-flow studies, relative scenario comparison, and method testing. Users should select the model variant explicitly: CORE-3783 is the static network used by the 31,492 archived operating cases and their validation products, whereas N1-3787 is restricted to the sampled contingency panel. The main and monthly DuckDB files join through stable model, equipment, case, and UTC timestamp identifiers. Principal evidence and mapping fields include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source_id</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bus_id</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bus_assignment_rule</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available_from_utc</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source_status</w:t>
      </w:r>
      <w:r>
        <w:rPr>
          <w:rFonts w:ascii="Times New Roman" w:hAnsi="Times New Roman" w:eastAsia="Times New Roman" w:cs="Times New Roman"/>
          <w:sz w:val="21"/>
        </w:rPr>
        <w:t xml:space="preserve">, and field-level parameter status; case-level inputs and results join through</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case_id</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timestamp_utc</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bus_order</w:t>
      </w:r>
      <w:r>
        <w:rPr>
          <w:rFonts w:ascii="Times New Roman" w:hAnsi="Times New Roman" w:eastAsia="Times New Roman" w:cs="Times New Roman"/>
          <w:sz w:val="21"/>
        </w:rPr>
        <w:t xml:space="preserve">, 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line_order</w:t>
      </w:r>
      <w:r>
        <w:rPr>
          <w:rFonts w:ascii="Times New Roman" w:hAnsi="Times New Roman" w:eastAsia="Times New Roman" w:cs="Times New Roman"/>
          <w:sz w:val="21"/>
        </w:rPr>
        <w:t xml:space="preserve">.</w:t>
      </w:r>
    </w:p>
    <w:p>
      <w:pPr>
        <w:pStyle w:val="BodyText"/>
        <w:widowControl/>
        <w:jc w:val="left"/>
      </w:pPr>
      <w:r>
        <w:rPr>
          <w:rFonts w:ascii="Times New Roman" w:hAnsi="Times New Roman" w:eastAsia="Times New Roman" w:cs="Times New Roman"/>
          <w:sz w:val="21"/>
        </w:rPr>
        <w:t xml:space="preserve">The released power-flow states are computed research-model outputs rather than telemetry or an operator state estimate. Branch loading, bus voltage, and contingency results should therefore be interpreted comparatively and together with</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parameter_status</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source_status</w:t>
      </w:r>
      <w:r>
        <w:rPr>
          <w:rFonts w:ascii="Times New Roman" w:hAnsi="Times New Roman" w:eastAsia="Times New Roman" w:cs="Times New Roman"/>
          <w:sz w:val="21"/>
        </w:rPr>
        <w:t xml:space="preserve">, allocation-audit fields, and the stated screening thresholds. In the contingency panel, the incremental flag requires principal-solution convergence, no material island, and no new voltage or thermal violation relative to the corresponding N−0 state. It does not identify every worsening of a pre-existing violation, so absolute post-contingency voltage and loading values must remain the primary screening outputs.</w:t>
      </w:r>
    </w:p>
    <w:bookmarkEnd w:id="80"/>
    <w:bookmarkStart w:id="82" w:name="data-availability"/>
    <w:p>
      <w:pPr>
        <w:pStyle w:val="Heading1"/>
        <w:keepNext/>
        <w:keepLines/>
        <w:widowControl/>
      </w:pPr>
      <w:r>
        <w:rPr>
          <w:rFonts w:ascii="Times New Roman" w:hAnsi="Times New Roman" w:eastAsia="Times New Roman" w:cs="Times New Roman"/>
          <w:sz w:val="28"/>
        </w:rPr>
        <w:t xml:space="preserve">Data Availability</w:t>
      </w:r>
    </w:p>
    <w:p>
      <w:pPr>
        <w:pStyle w:val="FirstParagraph"/>
        <w:widowControl/>
      </w:pPr>
      <w:r>
        <w:rPr>
          <w:rFonts w:ascii="Times New Roman" w:hAnsi="Times New Roman" w:eastAsia="Times New Roman" w:cs="Times New Roman"/>
          <w:sz w:val="21"/>
        </w:rPr>
        <w:t xml:space="preserve">The frozen</w:t>
      </w:r>
      <w:r>
        <w:rPr>
          <w:rFonts w:ascii="Times New Roman" w:hAnsi="Times New Roman" w:eastAsia="Times New Roman" w:cs="Times New Roman"/>
          <w:sz w:val="21"/>
        </w:rPr>
        <w:t xml:space="preserve"> </w:t>
      </w:r>
      <w:r>
        <w:rPr>
          <w:rFonts w:ascii="Times New Roman" w:hAnsi="Times New Roman" w:eastAsia="Times New Roman" w:cs="Times New Roman"/>
          <w:b/>
          <w:bCs/>
          <w:sz w:val="21"/>
        </w:rPr>
        <w:t xml:space="preserve">SimPT60-2026.09.21-r1</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dataset release</w:t>
      </w:r>
      <w:r>
        <w:rPr>
          <w:rFonts w:ascii="Times New Roman" w:hAnsi="Times New Roman" w:eastAsia="Times New Roman" w:cs="Times New Roman"/>
          <w:sz w:val="21"/>
          <w:vertAlign w:val="superscript"/>
        </w:rPr>
        <w:t xml:space="preserve">27</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is available from the</w:t>
      </w:r>
      <w:r>
        <w:rPr>
          <w:rFonts w:ascii="Times New Roman" w:hAnsi="Times New Roman" w:eastAsia="Times New Roman" w:cs="Times New Roman"/>
          <w:sz w:val="21"/>
        </w:rPr>
        <w:t xml:space="preserve"> </w:t>
      </w:r>
      <w:hyperlink r:id="rId81">
        <w:r>
          <w:rPr>
            <w:rStyle w:val="Hyperlink"/>
          </w:rPr>
          <w:t xml:space="preserve">project’s versioned GitHub release</w:t>
        </w:r>
      </w:hyperlink>
      <w:r>
        <w:rPr>
          <w:rFonts w:ascii="Times New Roman" w:hAnsi="Times New Roman" w:eastAsia="Times New Roman" w:cs="Times New Roman"/>
          <w:sz w:val="21"/>
        </w:rPr>
        <w:t xml:space="preserve">. It contains the reproducibility core, 11 compressed monthly result databases, the monthly manifest,</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release.json</w:t>
      </w:r>
      <w:r>
        <w:rPr>
          <w:rFonts w:ascii="Times New Roman" w:hAnsi="Times New Roman" w:eastAsia="Times New Roman" w:cs="Times New Roman"/>
          <w:sz w:val="21"/>
        </w:rPr>
        <w:t xml:space="preserve">, 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SHA256SUMS</w:t>
      </w:r>
      <w:r>
        <w:rPr>
          <w:rFonts w:ascii="Times New Roman" w:hAnsi="Times New Roman" w:eastAsia="Times New Roman" w:cs="Times New Roman"/>
          <w:sz w:val="21"/>
        </w:rPr>
        <w:t xml:space="preserve">. Raw third-party files are redistributed only when their licences permit; otherwise, the release retains source URLs, archived metadata, file sizes, fingerprints, and retrieval instructions. The release manifest identifies the CORE-3783 and N1-3787 model variants and their permitted uses.</w:t>
      </w:r>
    </w:p>
    <w:bookmarkEnd w:id="82"/>
    <w:bookmarkStart w:id="83" w:name="code-availability"/>
    <w:p>
      <w:pPr>
        <w:pStyle w:val="Heading1"/>
        <w:keepNext/>
        <w:keepLines/>
        <w:widowControl/>
      </w:pPr>
      <w:r>
        <w:rPr>
          <w:rFonts w:ascii="Times New Roman" w:hAnsi="Times New Roman" w:eastAsia="Times New Roman" w:cs="Times New Roman"/>
          <w:sz w:val="28"/>
        </w:rPr>
        <w:t xml:space="preserve">Code Availability</w:t>
      </w:r>
    </w:p>
    <w:p>
      <w:pPr>
        <w:pStyle w:val="FirstParagraph"/>
        <w:widowControl/>
        <w:jc w:val="left"/>
      </w:pPr>
      <w:r>
        <w:rPr>
          <w:rFonts w:ascii="Times New Roman" w:hAnsi="Times New Roman" w:eastAsia="Times New Roman" w:cs="Times New Roman"/>
          <w:sz w:val="21"/>
        </w:rPr>
        <w:t xml:space="preserve">Reproduction code, the locked Python environment, and the minimal replay commands are included in the</w:t>
      </w:r>
      <w:r>
        <w:rPr>
          <w:rFonts w:ascii="Times New Roman" w:hAnsi="Times New Roman" w:eastAsia="Times New Roman" w:cs="Times New Roman"/>
          <w:sz w:val="21"/>
        </w:rPr>
        <w:t xml:space="preserve"> </w:t>
      </w:r>
      <w:hyperlink r:id="rId81">
        <w:r>
          <w:rPr>
            <w:rStyle w:val="Hyperlink"/>
          </w:rPr>
          <w:t xml:space="preserve">SimPT60-2026.09.21-r1 release</w:t>
        </w:r>
      </w:hyperlink>
      <w:r>
        <w:rPr>
          <w:rFonts w:ascii="Times New Roman" w:hAnsi="Times New Roman" w:eastAsia="Times New Roman" w:cs="Times New Roman"/>
          <w:sz w:val="21"/>
        </w:rPr>
        <w:t xml:space="preserve">. The immutable tag fixes the release state, while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release.json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CODE_VERSION.json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record the implementation commit and the limitation that the original historical monthly runs did not store a code commit. The replay workflow verifies selected released cases at a tolerance of</w:t>
      </w:r>
      <w:r>
        <w:rPr>
          <w:rFonts w:ascii="Times New Roman" w:hAnsi="Times New Roman" w:eastAsia="Times New Roman" w:cs="Times New Roman"/>
          <w:sz w:val="21"/>
        </w:rPr>
        <w:t xml:space="preserve"> </w:t>
      </w:r>
      <m:oMath>
        <m:sSup>
          <m:e>
            <m:r>
              <m:t>10</m:t>
            </m:r>
          </m:e>
          <m:sup>
            <m:r>
              <m:rPr>
                <m:sty m:val="p"/>
              </m:rPr>
              <m:t>−</m:t>
            </m:r>
            <m:r>
              <m:t>5</m:t>
            </m:r>
          </m:sup>
        </m:sSup>
      </m:oMath>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in the units of each compared field.</w:t>
      </w:r>
    </w:p>
    <w:bookmarkEnd w:id="83"/>
    <w:bookmarkStart w:id="138" w:name="bibliography"/>
    <w:p>
      <w:pPr>
        <w:pStyle w:val="Heading1"/>
        <w:keepNext/>
        <w:keepLines/>
        <w:widowControl/>
      </w:pPr>
      <w:r>
        <w:rPr>
          <w:rFonts w:ascii="Times New Roman" w:hAnsi="Times New Roman" w:eastAsia="Times New Roman" w:cs="Times New Roman"/>
          <w:sz w:val="28"/>
        </w:rPr>
        <w:t xml:space="preserve">References</w:t>
      </w:r>
    </w:p>
    <w:bookmarkStart w:id="137" w:name="refs"/>
    <w:bookmarkStart w:id="85" w:name="ref-Thurner2018"/>
    <w:p>
      <w:pPr>
        <w:pStyle w:val="Bibliography"/>
        <w:widowControl/>
      </w:pPr>
      <w:r>
        <w:rPr>
          <w:rFonts w:ascii="Times New Roman" w:hAnsi="Times New Roman" w:eastAsia="Times New Roman" w:cs="Times New Roman"/>
          <w:sz w:val="16"/>
        </w:rPr>
        <w:t xml:space="preserve">1.</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Thurner, L.</w:t>
      </w:r>
      <w:r>
        <w:rPr>
          <w:rFonts w:ascii="Times New Roman" w:hAnsi="Times New Roman" w:eastAsia="Times New Roman" w:cs="Times New Roman"/>
          <w:sz w:val="16"/>
        </w:rPr>
        <w:t xml:space="preserve"> </w:t>
      </w:r>
      <w:r>
        <w:rPr>
          <w:rFonts w:ascii="Times New Roman" w:hAnsi="Times New Roman" w:eastAsia="Times New Roman" w:cs="Times New Roman"/>
          <w:i/>
          <w:iCs/>
          <w:sz w:val="16"/>
        </w:rPr>
        <w:t xml:space="preserve">et al.</w:t>
      </w:r>
      <w:r>
        <w:rPr>
          <w:rFonts w:ascii="Times New Roman" w:hAnsi="Times New Roman" w:eastAsia="Times New Roman" w:cs="Times New Roman"/>
          <w:sz w:val="16"/>
        </w:rPr>
        <w:t xml:space="preserve"> </w:t>
      </w:r>
      <w:hyperlink r:id="rId84">
        <w:r>
          <w:rPr>
            <w:rStyle w:val="Hyperlink"/>
          </w:rPr>
          <w:t xml:space="preserve">Pandapower—an</w:t>
        </w:r>
        <w:r>
          <w:rPr>
            <w:rStyle w:val="Hyperlink"/>
          </w:rPr>
          <w:t xml:space="preserve"> </w:t>
        </w:r>
        <w:r>
          <w:rPr>
            <w:rStyle w:val="Hyperlink"/>
          </w:rPr>
          <w:t xml:space="preserve">Open-Source</w:t>
        </w:r>
        <w:r>
          <w:rPr>
            <w:rStyle w:val="Hyperlink"/>
          </w:rPr>
          <w:t xml:space="preserve"> </w:t>
        </w:r>
        <w:r>
          <w:rPr>
            <w:rStyle w:val="Hyperlink"/>
          </w:rPr>
          <w:t xml:space="preserve">Python</w:t>
        </w:r>
        <w:r>
          <w:rPr>
            <w:rStyle w:val="Hyperlink"/>
          </w:rPr>
          <w:t xml:space="preserve"> </w:t>
        </w:r>
        <w:r>
          <w:rPr>
            <w:rStyle w:val="Hyperlink"/>
          </w:rPr>
          <w:t xml:space="preserve">Tool</w:t>
        </w:r>
        <w:r>
          <w:rPr>
            <w:rStyle w:val="Hyperlink"/>
          </w:rPr>
          <w:t xml:space="preserve"> </w:t>
        </w:r>
        <w:r>
          <w:rPr>
            <w:rStyle w:val="Hyperlink"/>
          </w:rPr>
          <w:t xml:space="preserve">for</w:t>
        </w:r>
        <w:r>
          <w:rPr>
            <w:rStyle w:val="Hyperlink"/>
          </w:rPr>
          <w:t xml:space="preserve"> </w:t>
        </w:r>
        <w:r>
          <w:rPr>
            <w:rStyle w:val="Hyperlink"/>
          </w:rPr>
          <w:t xml:space="preserve">Convenient</w:t>
        </w:r>
        <w:r>
          <w:rPr>
            <w:rStyle w:val="Hyperlink"/>
          </w:rPr>
          <w:t xml:space="preserve"> </w:t>
        </w:r>
        <w:r>
          <w:rPr>
            <w:rStyle w:val="Hyperlink"/>
          </w:rPr>
          <w:t xml:space="preserve">Modeling,</w:t>
        </w:r>
        <w:r>
          <w:rPr>
            <w:rStyle w:val="Hyperlink"/>
          </w:rPr>
          <w:t xml:space="preserve"> </w:t>
        </w:r>
        <w:r>
          <w:rPr>
            <w:rStyle w:val="Hyperlink"/>
          </w:rPr>
          <w:t xml:space="preserve">Analysis,</w:t>
        </w:r>
        <w:r>
          <w:rPr>
            <w:rStyle w:val="Hyperlink"/>
          </w:rPr>
          <w:t xml:space="preserve"> </w:t>
        </w:r>
        <w:r>
          <w:rPr>
            <w:rStyle w:val="Hyperlink"/>
          </w:rPr>
          <w:t xml:space="preserve">and</w:t>
        </w:r>
        <w:r>
          <w:rPr>
            <w:rStyle w:val="Hyperlink"/>
          </w:rPr>
          <w:t xml:space="preserve"> </w:t>
        </w:r>
        <w:r>
          <w:rPr>
            <w:rStyle w:val="Hyperlink"/>
          </w:rPr>
          <w:t xml:space="preserve">Optimization</w:t>
        </w:r>
        <w:r>
          <w:rPr>
            <w:rStyle w:val="Hyperlink"/>
          </w:rPr>
          <w:t xml:space="preserve"> </w:t>
        </w:r>
        <w:r>
          <w:rPr>
            <w:rStyle w:val="Hyperlink"/>
          </w:rPr>
          <w:t xml:space="preserve">of</w:t>
        </w:r>
        <w:r>
          <w:rPr>
            <w:rStyle w:val="Hyperlink"/>
          </w:rPr>
          <w:t xml:space="preserve"> </w:t>
        </w:r>
        <w:r>
          <w:rPr>
            <w:rStyle w:val="Hyperlink"/>
          </w:rPr>
          <w:t xml:space="preserve">Electric</w:t>
        </w:r>
        <w:r>
          <w:rPr>
            <w:rStyle w:val="Hyperlink"/>
          </w:rPr>
          <w:t xml:space="preserve"> </w:t>
        </w:r>
        <w:r>
          <w:rPr>
            <w:rStyle w:val="Hyperlink"/>
          </w:rPr>
          <w:t xml:space="preserve">Power</w:t>
        </w:r>
        <w:r>
          <w:rPr>
            <w:rStyle w:val="Hyperlink"/>
          </w:rPr>
          <w:t xml:space="preserve"> </w:t>
        </w:r>
        <w:r>
          <w:rPr>
            <w:rStyle w:val="Hyperlink"/>
          </w:rPr>
          <w:t xml:space="preserve">Systems</w:t>
        </w:r>
      </w:hyperlink>
      <w:r>
        <w:rPr>
          <w:rFonts w:ascii="Times New Roman" w:hAnsi="Times New Roman" w:eastAsia="Times New Roman" w:cs="Times New Roman"/>
          <w:sz w:val="16"/>
        </w:rPr>
        <w:t xml:space="preserve">.</w:t>
      </w:r>
      <w:r>
        <w:rPr>
          <w:rFonts w:ascii="Times New Roman" w:hAnsi="Times New Roman" w:eastAsia="Times New Roman" w:cs="Times New Roman"/>
          <w:sz w:val="16"/>
        </w:rPr>
        <w:t xml:space="preserve"> </w:t>
      </w:r>
      <w:r>
        <w:rPr>
          <w:rFonts w:ascii="Times New Roman" w:hAnsi="Times New Roman" w:eastAsia="Times New Roman" w:cs="Times New Roman"/>
          <w:i/>
          <w:iCs/>
          <w:sz w:val="16"/>
        </w:rPr>
        <w:t xml:space="preserve">IEEE Transactions on Power Systems</w:t>
      </w:r>
      <w:r>
        <w:rPr>
          <w:rFonts w:ascii="Times New Roman" w:hAnsi="Times New Roman" w:eastAsia="Times New Roman" w:cs="Times New Roman"/>
          <w:sz w:val="16"/>
        </w:rPr>
        <w:t xml:space="preserve"> </w:t>
      </w:r>
      <w:r>
        <w:rPr>
          <w:rFonts w:ascii="Times New Roman" w:hAnsi="Times New Roman" w:eastAsia="Times New Roman" w:cs="Times New Roman"/>
          <w:b/>
          <w:bCs/>
          <w:sz w:val="16"/>
        </w:rPr>
        <w:t xml:space="preserve">33</w:t>
      </w:r>
      <w:r>
        <w:rPr>
          <w:rFonts w:ascii="Times New Roman" w:hAnsi="Times New Roman" w:eastAsia="Times New Roman" w:cs="Times New Roman"/>
          <w:sz w:val="16"/>
        </w:rPr>
        <w:t xml:space="preserve">, 6510–6521 (2018).</w:t>
      </w:r>
    </w:p>
    <w:bookmarkEnd w:id="85"/>
    <w:bookmarkStart w:id="87" w:name="ref-Horsch2018"/>
    <w:p>
      <w:pPr>
        <w:pStyle w:val="Bibliography"/>
        <w:widowControl/>
      </w:pPr>
      <w:r>
        <w:rPr>
          <w:rFonts w:ascii="Times New Roman" w:hAnsi="Times New Roman" w:eastAsia="Times New Roman" w:cs="Times New Roman"/>
          <w:sz w:val="16"/>
        </w:rPr>
        <w:t xml:space="preserve">2.</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Hörsch, J., Hofmann, F., Schlachtberger, D. &amp; Brown, T.</w:t>
      </w:r>
      <w:r>
        <w:rPr>
          <w:rFonts w:ascii="Times New Roman" w:hAnsi="Times New Roman" w:eastAsia="Times New Roman" w:cs="Times New Roman"/>
          <w:sz w:val="16"/>
        </w:rPr>
        <w:t xml:space="preserve"> </w:t>
      </w:r>
      <w:hyperlink r:id="rId86">
        <w:r>
          <w:rPr>
            <w:rStyle w:val="Hyperlink"/>
          </w:rPr>
          <w:t xml:space="preserve">PyPSA-eur:</w:t>
        </w:r>
        <w:r>
          <w:rPr>
            <w:rStyle w:val="Hyperlink"/>
          </w:rPr>
          <w:t xml:space="preserve"> </w:t>
        </w:r>
        <w:r>
          <w:rPr>
            <w:rStyle w:val="Hyperlink"/>
          </w:rPr>
          <w:t xml:space="preserve">An</w:t>
        </w:r>
        <w:r>
          <w:rPr>
            <w:rStyle w:val="Hyperlink"/>
          </w:rPr>
          <w:t xml:space="preserve"> </w:t>
        </w:r>
        <w:r>
          <w:rPr>
            <w:rStyle w:val="Hyperlink"/>
          </w:rPr>
          <w:t xml:space="preserve">Open</w:t>
        </w:r>
        <w:r>
          <w:rPr>
            <w:rStyle w:val="Hyperlink"/>
          </w:rPr>
          <w:t xml:space="preserve"> </w:t>
        </w:r>
        <w:r>
          <w:rPr>
            <w:rStyle w:val="Hyperlink"/>
          </w:rPr>
          <w:t xml:space="preserve">Optimisation</w:t>
        </w:r>
        <w:r>
          <w:rPr>
            <w:rStyle w:val="Hyperlink"/>
          </w:rPr>
          <w:t xml:space="preserve"> </w:t>
        </w:r>
        <w:r>
          <w:rPr>
            <w:rStyle w:val="Hyperlink"/>
          </w:rPr>
          <w:t xml:space="preserve">Model</w:t>
        </w:r>
        <w:r>
          <w:rPr>
            <w:rStyle w:val="Hyperlink"/>
          </w:rPr>
          <w:t xml:space="preserve"> </w:t>
        </w:r>
        <w:r>
          <w:rPr>
            <w:rStyle w:val="Hyperlink"/>
          </w:rPr>
          <w:t xml:space="preserve">of the</w:t>
        </w:r>
        <w:r>
          <w:rPr>
            <w:rStyle w:val="Hyperlink"/>
          </w:rPr>
          <w:t xml:space="preserve"> </w:t>
        </w:r>
        <w:r>
          <w:rPr>
            <w:rStyle w:val="Hyperlink"/>
          </w:rPr>
          <w:t xml:space="preserve">European</w:t>
        </w:r>
        <w:r>
          <w:rPr>
            <w:rStyle w:val="Hyperlink"/>
          </w:rPr>
          <w:t xml:space="preserve"> </w:t>
        </w:r>
        <w:r>
          <w:rPr>
            <w:rStyle w:val="Hyperlink"/>
          </w:rPr>
          <w:t xml:space="preserve">Transmission</w:t>
        </w:r>
        <w:r>
          <w:rPr>
            <w:rStyle w:val="Hyperlink"/>
          </w:rPr>
          <w:t xml:space="preserve"> </w:t>
        </w:r>
        <w:r>
          <w:rPr>
            <w:rStyle w:val="Hyperlink"/>
          </w:rPr>
          <w:t xml:space="preserve">System</w:t>
        </w:r>
      </w:hyperlink>
      <w:r>
        <w:rPr>
          <w:rFonts w:ascii="Times New Roman" w:hAnsi="Times New Roman" w:eastAsia="Times New Roman" w:cs="Times New Roman"/>
          <w:sz w:val="16"/>
        </w:rPr>
        <w:t xml:space="preserve">.</w:t>
      </w:r>
      <w:r>
        <w:rPr>
          <w:rFonts w:ascii="Times New Roman" w:hAnsi="Times New Roman" w:eastAsia="Times New Roman" w:cs="Times New Roman"/>
          <w:sz w:val="16"/>
        </w:rPr>
        <w:t xml:space="preserve"> </w:t>
      </w:r>
      <w:r>
        <w:rPr>
          <w:rFonts w:ascii="Times New Roman" w:hAnsi="Times New Roman" w:eastAsia="Times New Roman" w:cs="Times New Roman"/>
          <w:i/>
          <w:iCs/>
          <w:sz w:val="16"/>
        </w:rPr>
        <w:t xml:space="preserve">Energy Strategy Reviews</w:t>
      </w:r>
      <w:r>
        <w:rPr>
          <w:rFonts w:ascii="Times New Roman" w:hAnsi="Times New Roman" w:eastAsia="Times New Roman" w:cs="Times New Roman"/>
          <w:sz w:val="16"/>
        </w:rPr>
        <w:t xml:space="preserve"> </w:t>
      </w:r>
      <w:r>
        <w:rPr>
          <w:rFonts w:ascii="Times New Roman" w:hAnsi="Times New Roman" w:eastAsia="Times New Roman" w:cs="Times New Roman"/>
          <w:b/>
          <w:bCs/>
          <w:sz w:val="16"/>
        </w:rPr>
        <w:t xml:space="preserve">22</w:t>
      </w:r>
      <w:r>
        <w:rPr>
          <w:rFonts w:ascii="Times New Roman" w:hAnsi="Times New Roman" w:eastAsia="Times New Roman" w:cs="Times New Roman"/>
          <w:sz w:val="16"/>
        </w:rPr>
        <w:t xml:space="preserve">, 207–215 (2018).</w:t>
      </w:r>
    </w:p>
    <w:bookmarkEnd w:id="87"/>
    <w:bookmarkStart w:id="89" w:name="ref-Meinecke2020"/>
    <w:p>
      <w:pPr>
        <w:pStyle w:val="Bibliography"/>
        <w:widowControl/>
      </w:pPr>
      <w:r>
        <w:rPr>
          <w:rFonts w:ascii="Times New Roman" w:hAnsi="Times New Roman" w:eastAsia="Times New Roman" w:cs="Times New Roman"/>
          <w:sz w:val="16"/>
        </w:rPr>
        <w:t xml:space="preserve">3.</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Meinecke, S.</w:t>
      </w:r>
      <w:r>
        <w:rPr>
          <w:rFonts w:ascii="Times New Roman" w:hAnsi="Times New Roman" w:eastAsia="Times New Roman" w:cs="Times New Roman"/>
          <w:sz w:val="16"/>
        </w:rPr>
        <w:t xml:space="preserve"> </w:t>
      </w:r>
      <w:r>
        <w:rPr>
          <w:rFonts w:ascii="Times New Roman" w:hAnsi="Times New Roman" w:eastAsia="Times New Roman" w:cs="Times New Roman"/>
          <w:i/>
          <w:iCs/>
          <w:sz w:val="16"/>
        </w:rPr>
        <w:t xml:space="preserve">et al.</w:t>
      </w:r>
      <w:r>
        <w:rPr>
          <w:rFonts w:ascii="Times New Roman" w:hAnsi="Times New Roman" w:eastAsia="Times New Roman" w:cs="Times New Roman"/>
          <w:sz w:val="16"/>
        </w:rPr>
        <w:t xml:space="preserve"> </w:t>
      </w:r>
      <w:hyperlink r:id="rId88">
        <w:r>
          <w:rPr>
            <w:rStyle w:val="Hyperlink"/>
          </w:rPr>
          <w:t xml:space="preserve">SimBench—a</w:t>
        </w:r>
        <w:r>
          <w:rPr>
            <w:rStyle w:val="Hyperlink"/>
          </w:rPr>
          <w:t xml:space="preserve"> </w:t>
        </w:r>
        <w:r>
          <w:rPr>
            <w:rStyle w:val="Hyperlink"/>
          </w:rPr>
          <w:t xml:space="preserve">Benchmark</w:t>
        </w:r>
        <w:r>
          <w:rPr>
            <w:rStyle w:val="Hyperlink"/>
          </w:rPr>
          <w:t xml:space="preserve"> </w:t>
        </w:r>
        <w:r>
          <w:rPr>
            <w:rStyle w:val="Hyperlink"/>
          </w:rPr>
          <w:t xml:space="preserve">Dataset</w:t>
        </w:r>
        <w:r>
          <w:rPr>
            <w:rStyle w:val="Hyperlink"/>
          </w:rPr>
          <w:t xml:space="preserve"> </w:t>
        </w:r>
        <w:r>
          <w:rPr>
            <w:rStyle w:val="Hyperlink"/>
          </w:rPr>
          <w:t xml:space="preserve">of</w:t>
        </w:r>
        <w:r>
          <w:rPr>
            <w:rStyle w:val="Hyperlink"/>
          </w:rPr>
          <w:t xml:space="preserve"> </w:t>
        </w:r>
        <w:r>
          <w:rPr>
            <w:rStyle w:val="Hyperlink"/>
          </w:rPr>
          <w:t xml:space="preserve">Electric</w:t>
        </w:r>
        <w:r>
          <w:rPr>
            <w:rStyle w:val="Hyperlink"/>
          </w:rPr>
          <w:t xml:space="preserve"> </w:t>
        </w:r>
        <w:r>
          <w:rPr>
            <w:rStyle w:val="Hyperlink"/>
          </w:rPr>
          <w:t xml:space="preserve">Power</w:t>
        </w:r>
        <w:r>
          <w:rPr>
            <w:rStyle w:val="Hyperlink"/>
          </w:rPr>
          <w:t xml:space="preserve"> </w:t>
        </w:r>
        <w:r>
          <w:rPr>
            <w:rStyle w:val="Hyperlink"/>
          </w:rPr>
          <w:t xml:space="preserve">Systems</w:t>
        </w:r>
        <w:r>
          <w:rPr>
            <w:rStyle w:val="Hyperlink"/>
          </w:rPr>
          <w:t xml:space="preserve"> </w:t>
        </w:r>
        <w:r>
          <w:rPr>
            <w:rStyle w:val="Hyperlink"/>
          </w:rPr>
          <w:t xml:space="preserve">to</w:t>
        </w:r>
        <w:r>
          <w:rPr>
            <w:rStyle w:val="Hyperlink"/>
          </w:rPr>
          <w:t xml:space="preserve"> </w:t>
        </w:r>
        <w:r>
          <w:rPr>
            <w:rStyle w:val="Hyperlink"/>
          </w:rPr>
          <w:t xml:space="preserve">Compare</w:t>
        </w:r>
        <w:r>
          <w:rPr>
            <w:rStyle w:val="Hyperlink"/>
          </w:rPr>
          <w:t xml:space="preserve"> </w:t>
        </w:r>
        <w:r>
          <w:rPr>
            <w:rStyle w:val="Hyperlink"/>
          </w:rPr>
          <w:t xml:space="preserve">Innovative</w:t>
        </w:r>
        <w:r>
          <w:rPr>
            <w:rStyle w:val="Hyperlink"/>
          </w:rPr>
          <w:t xml:space="preserve"> </w:t>
        </w:r>
        <w:r>
          <w:rPr>
            <w:rStyle w:val="Hyperlink"/>
          </w:rPr>
          <w:t xml:space="preserve">Solutions</w:t>
        </w:r>
        <w:r>
          <w:rPr>
            <w:rStyle w:val="Hyperlink"/>
          </w:rPr>
          <w:t xml:space="preserve"> </w:t>
        </w:r>
        <w:r>
          <w:rPr>
            <w:rStyle w:val="Hyperlink"/>
          </w:rPr>
          <w:t xml:space="preserve">Based</w:t>
        </w:r>
        <w:r>
          <w:rPr>
            <w:rStyle w:val="Hyperlink"/>
          </w:rPr>
          <w:t xml:space="preserve"> </w:t>
        </w:r>
        <w:r>
          <w:rPr>
            <w:rStyle w:val="Hyperlink"/>
          </w:rPr>
          <w:t xml:space="preserve">on</w:t>
        </w:r>
        <w:r>
          <w:rPr>
            <w:rStyle w:val="Hyperlink"/>
          </w:rPr>
          <w:t xml:space="preserve"> </w:t>
        </w:r>
        <w:r>
          <w:rPr>
            <w:rStyle w:val="Hyperlink"/>
          </w:rPr>
          <w:t xml:space="preserve">Power</w:t>
        </w:r>
        <w:r>
          <w:rPr>
            <w:rStyle w:val="Hyperlink"/>
          </w:rPr>
          <w:t xml:space="preserve"> </w:t>
        </w:r>
        <w:r>
          <w:rPr>
            <w:rStyle w:val="Hyperlink"/>
          </w:rPr>
          <w:t xml:space="preserve">Flow</w:t>
        </w:r>
        <w:r>
          <w:rPr>
            <w:rStyle w:val="Hyperlink"/>
          </w:rPr>
          <w:t xml:space="preserve"> </w:t>
        </w:r>
        <w:r>
          <w:rPr>
            <w:rStyle w:val="Hyperlink"/>
          </w:rPr>
          <w:t xml:space="preserve">Analysis</w:t>
        </w:r>
      </w:hyperlink>
      <w:r>
        <w:rPr>
          <w:rFonts w:ascii="Times New Roman" w:hAnsi="Times New Roman" w:eastAsia="Times New Roman" w:cs="Times New Roman"/>
          <w:sz w:val="16"/>
        </w:rPr>
        <w:t xml:space="preserve">.</w:t>
      </w:r>
      <w:r>
        <w:rPr>
          <w:rFonts w:ascii="Times New Roman" w:hAnsi="Times New Roman" w:eastAsia="Times New Roman" w:cs="Times New Roman"/>
          <w:sz w:val="16"/>
        </w:rPr>
        <w:t xml:space="preserve"> </w:t>
      </w:r>
      <w:r>
        <w:rPr>
          <w:rFonts w:ascii="Times New Roman" w:hAnsi="Times New Roman" w:eastAsia="Times New Roman" w:cs="Times New Roman"/>
          <w:i/>
          <w:iCs/>
          <w:sz w:val="16"/>
        </w:rPr>
        <w:t xml:space="preserve">Energies</w:t>
      </w:r>
      <w:r>
        <w:rPr>
          <w:rFonts w:ascii="Times New Roman" w:hAnsi="Times New Roman" w:eastAsia="Times New Roman" w:cs="Times New Roman"/>
          <w:sz w:val="16"/>
        </w:rPr>
        <w:t xml:space="preserve"> </w:t>
      </w:r>
      <w:r>
        <w:rPr>
          <w:rFonts w:ascii="Times New Roman" w:hAnsi="Times New Roman" w:eastAsia="Times New Roman" w:cs="Times New Roman"/>
          <w:b/>
          <w:bCs/>
          <w:sz w:val="16"/>
        </w:rPr>
        <w:t xml:space="preserve">13</w:t>
      </w:r>
      <w:r>
        <w:rPr>
          <w:rFonts w:ascii="Times New Roman" w:hAnsi="Times New Roman" w:eastAsia="Times New Roman" w:cs="Times New Roman"/>
          <w:sz w:val="16"/>
        </w:rPr>
        <w:t xml:space="preserve">, 3290 (2020).</w:t>
      </w:r>
    </w:p>
    <w:bookmarkEnd w:id="89"/>
    <w:bookmarkStart w:id="91" w:name="ref-Xiong2025"/>
    <w:p>
      <w:pPr>
        <w:pStyle w:val="Bibliography"/>
        <w:widowControl/>
      </w:pPr>
      <w:r>
        <w:rPr>
          <w:rFonts w:ascii="Times New Roman" w:hAnsi="Times New Roman" w:eastAsia="Times New Roman" w:cs="Times New Roman"/>
          <w:sz w:val="16"/>
        </w:rPr>
        <w:t xml:space="preserve">4.</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Xiong, B., Fioriti, D., Neumann, F., Riepin, I. &amp; Brown, T.</w:t>
      </w:r>
      <w:r>
        <w:rPr>
          <w:rFonts w:ascii="Times New Roman" w:hAnsi="Times New Roman" w:eastAsia="Times New Roman" w:cs="Times New Roman"/>
          <w:sz w:val="16"/>
        </w:rPr>
        <w:t xml:space="preserve"> </w:t>
      </w:r>
      <w:hyperlink r:id="rId90">
        <w:r>
          <w:rPr>
            <w:rStyle w:val="Hyperlink"/>
          </w:rPr>
          <w:t xml:space="preserve">Modelling the</w:t>
        </w:r>
        <w:r>
          <w:rPr>
            <w:rStyle w:val="Hyperlink"/>
          </w:rPr>
          <w:t xml:space="preserve"> </w:t>
        </w:r>
        <w:r>
          <w:rPr>
            <w:rStyle w:val="Hyperlink"/>
          </w:rPr>
          <w:t xml:space="preserve">High-Voltage</w:t>
        </w:r>
        <w:r>
          <w:rPr>
            <w:rStyle w:val="Hyperlink"/>
          </w:rPr>
          <w:t xml:space="preserve"> </w:t>
        </w:r>
        <w:r>
          <w:rPr>
            <w:rStyle w:val="Hyperlink"/>
          </w:rPr>
          <w:t xml:space="preserve">Grid</w:t>
        </w:r>
        <w:r>
          <w:rPr>
            <w:rStyle w:val="Hyperlink"/>
          </w:rPr>
          <w:t xml:space="preserve"> </w:t>
        </w:r>
        <w:r>
          <w:rPr>
            <w:rStyle w:val="Hyperlink"/>
          </w:rPr>
          <w:t xml:space="preserve">Using</w:t>
        </w:r>
        <w:r>
          <w:rPr>
            <w:rStyle w:val="Hyperlink"/>
          </w:rPr>
          <w:t xml:space="preserve"> </w:t>
        </w:r>
        <w:r>
          <w:rPr>
            <w:rStyle w:val="Hyperlink"/>
          </w:rPr>
          <w:t xml:space="preserve">Open</w:t>
        </w:r>
        <w:r>
          <w:rPr>
            <w:rStyle w:val="Hyperlink"/>
          </w:rPr>
          <w:t xml:space="preserve"> </w:t>
        </w:r>
        <w:r>
          <w:rPr>
            <w:rStyle w:val="Hyperlink"/>
          </w:rPr>
          <w:t xml:space="preserve">Data</w:t>
        </w:r>
        <w:r>
          <w:rPr>
            <w:rStyle w:val="Hyperlink"/>
          </w:rPr>
          <w:t xml:space="preserve"> </w:t>
        </w:r>
        <w:r>
          <w:rPr>
            <w:rStyle w:val="Hyperlink"/>
          </w:rPr>
          <w:t xml:space="preserve">for</w:t>
        </w:r>
        <w:r>
          <w:rPr>
            <w:rStyle w:val="Hyperlink"/>
          </w:rPr>
          <w:t xml:space="preserve"> </w:t>
        </w:r>
        <w:r>
          <w:rPr>
            <w:rStyle w:val="Hyperlink"/>
          </w:rPr>
          <w:t xml:space="preserve">Europe</w:t>
        </w:r>
        <w:r>
          <w:rPr>
            <w:rStyle w:val="Hyperlink"/>
          </w:rPr>
          <w:t xml:space="preserve"> </w:t>
        </w:r>
        <w:r>
          <w:rPr>
            <w:rStyle w:val="Hyperlink"/>
          </w:rPr>
          <w:t xml:space="preserve">and</w:t>
        </w:r>
        <w:r>
          <w:rPr>
            <w:rStyle w:val="Hyperlink"/>
          </w:rPr>
          <w:t xml:space="preserve"> </w:t>
        </w:r>
        <w:r>
          <w:rPr>
            <w:rStyle w:val="Hyperlink"/>
          </w:rPr>
          <w:t xml:space="preserve">Beyond</w:t>
        </w:r>
      </w:hyperlink>
      <w:r>
        <w:rPr>
          <w:rFonts w:ascii="Times New Roman" w:hAnsi="Times New Roman" w:eastAsia="Times New Roman" w:cs="Times New Roman"/>
          <w:sz w:val="16"/>
        </w:rPr>
        <w:t xml:space="preserve">.</w:t>
      </w:r>
      <w:r>
        <w:rPr>
          <w:rFonts w:ascii="Times New Roman" w:hAnsi="Times New Roman" w:eastAsia="Times New Roman" w:cs="Times New Roman"/>
          <w:sz w:val="16"/>
        </w:rPr>
        <w:t xml:space="preserve"> </w:t>
      </w:r>
      <w:r>
        <w:rPr>
          <w:rFonts w:ascii="Times New Roman" w:hAnsi="Times New Roman" w:eastAsia="Times New Roman" w:cs="Times New Roman"/>
          <w:i/>
          <w:iCs/>
          <w:sz w:val="16"/>
        </w:rPr>
        <w:t xml:space="preserve">Scientific Data</w:t>
      </w:r>
      <w:r>
        <w:rPr>
          <w:rFonts w:ascii="Times New Roman" w:hAnsi="Times New Roman" w:eastAsia="Times New Roman" w:cs="Times New Roman"/>
          <w:sz w:val="16"/>
        </w:rPr>
        <w:t xml:space="preserve"> </w:t>
      </w:r>
      <w:r>
        <w:rPr>
          <w:rFonts w:ascii="Times New Roman" w:hAnsi="Times New Roman" w:eastAsia="Times New Roman" w:cs="Times New Roman"/>
          <w:b/>
          <w:bCs/>
          <w:sz w:val="16"/>
        </w:rPr>
        <w:t xml:space="preserve">12</w:t>
      </w:r>
      <w:r>
        <w:rPr>
          <w:rFonts w:ascii="Times New Roman" w:hAnsi="Times New Roman" w:eastAsia="Times New Roman" w:cs="Times New Roman"/>
          <w:sz w:val="16"/>
        </w:rPr>
        <w:t xml:space="preserve">, 277 (2025).</w:t>
      </w:r>
    </w:p>
    <w:bookmarkEnd w:id="91"/>
    <w:bookmarkStart w:id="93" w:name="ref-DGEGPNEC2030Revision2024"/>
    <w:p>
      <w:pPr>
        <w:pStyle w:val="Bibliography"/>
        <w:widowControl/>
      </w:pPr>
      <w:r>
        <w:rPr>
          <w:rFonts w:ascii="Times New Roman" w:hAnsi="Times New Roman" w:eastAsia="Times New Roman" w:cs="Times New Roman"/>
          <w:sz w:val="16"/>
        </w:rPr>
        <w:t xml:space="preserve">5.</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DGEG.</w:t>
      </w:r>
      <w:r>
        <w:rPr>
          <w:rFonts w:ascii="Times New Roman" w:hAnsi="Times New Roman" w:eastAsia="Times New Roman" w:cs="Times New Roman"/>
          <w:sz w:val="16"/>
        </w:rPr>
        <w:t xml:space="preserve"> </w:t>
      </w:r>
      <w:r>
        <w:rPr>
          <w:rFonts w:ascii="Times New Roman" w:hAnsi="Times New Roman" w:eastAsia="Times New Roman" w:cs="Times New Roman"/>
          <w:i/>
          <w:iCs/>
          <w:sz w:val="16"/>
        </w:rPr>
        <w:t xml:space="preserve">Portugal:</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Plano</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Nacional</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Energia</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e</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Clima</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2021–2030, Atualização/Revisão</w:t>
      </w:r>
      <w:r>
        <w:rPr>
          <w:rFonts w:ascii="Times New Roman" w:hAnsi="Times New Roman" w:eastAsia="Times New Roman" w:cs="Times New Roman"/>
          <w:sz w:val="16"/>
        </w:rPr>
        <w:t xml:space="preserve">.</w:t>
      </w:r>
      <w:r>
        <w:rPr>
          <w:rFonts w:ascii="Times New Roman" w:hAnsi="Times New Roman" w:eastAsia="Times New Roman" w:cs="Times New Roman"/>
          <w:sz w:val="16"/>
        </w:rPr>
        <w:t xml:space="preserve"> </w:t>
      </w:r>
      <w:hyperlink r:id="rId92">
        <w:r>
          <w:rPr>
            <w:rStyle w:val="Hyperlink"/>
          </w:rPr>
          <w:t xml:space="preserve">https://www.dgeg.gov.pt/media/54fldci3/pnec2030_para_aprov_ar.pdf</w:t>
        </w:r>
      </w:hyperlink>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(2024).</w:t>
      </w:r>
    </w:p>
    <w:bookmarkEnd w:id="93"/>
    <w:bookmarkStart w:id="95" w:name="ref-EREDESRND2026"/>
    <w:p>
      <w:pPr>
        <w:pStyle w:val="Bibliography"/>
        <w:widowControl/>
      </w:pPr>
      <w:r>
        <w:rPr>
          <w:rFonts w:ascii="Times New Roman" w:hAnsi="Times New Roman" w:eastAsia="Times New Roman" w:cs="Times New Roman"/>
          <w:sz w:val="16"/>
        </w:rPr>
        <w:t xml:space="preserve">6.</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E-REDES.</w:t>
      </w:r>
      <w:r>
        <w:rPr>
          <w:rFonts w:ascii="Times New Roman" w:hAnsi="Times New Roman" w:eastAsia="Times New Roman" w:cs="Times New Roman"/>
          <w:sz w:val="16"/>
        </w:rPr>
        <w:t xml:space="preserve"> </w:t>
      </w:r>
      <w:hyperlink r:id="rId94">
        <w:r>
          <w:rPr>
            <w:rStyle w:val="Hyperlink"/>
          </w:rPr>
          <w:t xml:space="preserve">Rede</w:t>
        </w:r>
        <w:r>
          <w:rPr>
            <w:rStyle w:val="Hyperlink"/>
          </w:rPr>
          <w:t xml:space="preserve"> </w:t>
        </w:r>
        <w:r>
          <w:rPr>
            <w:rStyle w:val="Hyperlink"/>
          </w:rPr>
          <w:t xml:space="preserve">Nacional</w:t>
        </w:r>
        <w:r>
          <w:rPr>
            <w:rStyle w:val="Hyperlink"/>
          </w:rPr>
          <w:t xml:space="preserve"> </w:t>
        </w:r>
        <w:r>
          <w:rPr>
            <w:rStyle w:val="Hyperlink"/>
          </w:rPr>
          <w:t xml:space="preserve">de</w:t>
        </w:r>
        <w:r>
          <w:rPr>
            <w:rStyle w:val="Hyperlink"/>
          </w:rPr>
          <w:t xml:space="preserve"> </w:t>
        </w:r>
        <w:r>
          <w:rPr>
            <w:rStyle w:val="Hyperlink"/>
          </w:rPr>
          <w:t xml:space="preserve">Distribuição:</w:t>
        </w:r>
        <w:r>
          <w:rPr>
            <w:rStyle w:val="Hyperlink"/>
          </w:rPr>
          <w:t xml:space="preserve"> </w:t>
        </w:r>
        <w:r>
          <w:rPr>
            <w:rStyle w:val="Hyperlink"/>
          </w:rPr>
          <w:t xml:space="preserve">Dados</w:t>
        </w:r>
        <w:r>
          <w:rPr>
            <w:rStyle w:val="Hyperlink"/>
          </w:rPr>
          <w:t xml:space="preserve"> </w:t>
        </w:r>
        <w:r>
          <w:rPr>
            <w:rStyle w:val="Hyperlink"/>
          </w:rPr>
          <w:t xml:space="preserve">da</w:t>
        </w:r>
        <w:r>
          <w:rPr>
            <w:rStyle w:val="Hyperlink"/>
          </w:rPr>
          <w:t xml:space="preserve"> </w:t>
        </w:r>
        <w:r>
          <w:rPr>
            <w:rStyle w:val="Hyperlink"/>
          </w:rPr>
          <w:t xml:space="preserve">Rede</w:t>
        </w:r>
        <w:r>
          <w:rPr>
            <w:rStyle w:val="Hyperlink"/>
          </w:rPr>
          <w:t xml:space="preserve"> </w:t>
        </w:r>
        <w:r>
          <w:rPr>
            <w:rStyle w:val="Hyperlink"/>
          </w:rPr>
          <w:t xml:space="preserve">AT</w:t>
        </w:r>
        <w:r>
          <w:rPr>
            <w:rStyle w:val="Hyperlink"/>
          </w:rPr>
          <w:t xml:space="preserve"> </w:t>
        </w:r>
        <w:r>
          <w:rPr>
            <w:rStyle w:val="Hyperlink"/>
          </w:rPr>
          <w:t xml:space="preserve">e</w:t>
        </w:r>
        <w:r>
          <w:rPr>
            <w:rStyle w:val="Hyperlink"/>
          </w:rPr>
          <w:t xml:space="preserve"> </w:t>
        </w:r>
        <w:r>
          <w:rPr>
            <w:rStyle w:val="Hyperlink"/>
          </w:rPr>
          <w:t xml:space="preserve">Cargas</w:t>
        </w:r>
        <w:r>
          <w:rPr>
            <w:rStyle w:val="Hyperlink"/>
          </w:rPr>
          <w:t xml:space="preserve"> </w:t>
        </w:r>
        <w:r>
          <w:rPr>
            <w:rStyle w:val="Hyperlink"/>
          </w:rPr>
          <w:t xml:space="preserve">de</w:t>
        </w:r>
        <w:r>
          <w:rPr>
            <w:rStyle w:val="Hyperlink"/>
          </w:rPr>
          <w:t xml:space="preserve"> </w:t>
        </w:r>
        <w:r>
          <w:rPr>
            <w:rStyle w:val="Hyperlink"/>
          </w:rPr>
          <w:t xml:space="preserve">Subestação</w:t>
        </w:r>
      </w:hyperlink>
      <w:r>
        <w:rPr>
          <w:rFonts w:ascii="Times New Roman" w:hAnsi="Times New Roman" w:eastAsia="Times New Roman" w:cs="Times New Roman"/>
          <w:sz w:val="16"/>
        </w:rPr>
        <w:t xml:space="preserve">.</w:t>
      </w:r>
    </w:p>
    <w:bookmarkEnd w:id="95"/>
    <w:bookmarkStart w:id="97" w:name="ref-RENDataHub2026"/>
    <w:p>
      <w:pPr>
        <w:pStyle w:val="Bibliography"/>
        <w:widowControl/>
      </w:pPr>
      <w:r>
        <w:rPr>
          <w:rFonts w:ascii="Times New Roman" w:hAnsi="Times New Roman" w:eastAsia="Times New Roman" w:cs="Times New Roman"/>
          <w:sz w:val="16"/>
        </w:rPr>
        <w:t xml:space="preserve">7.</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REN.</w:t>
      </w:r>
      <w:r>
        <w:rPr>
          <w:rFonts w:ascii="Times New Roman" w:hAnsi="Times New Roman" w:eastAsia="Times New Roman" w:cs="Times New Roman"/>
          <w:sz w:val="16"/>
        </w:rPr>
        <w:t xml:space="preserve"> </w:t>
      </w:r>
      <w:hyperlink r:id="rId96">
        <w:r>
          <w:rPr>
            <w:rStyle w:val="Hyperlink"/>
          </w:rPr>
          <w:t xml:space="preserve">Electrical</w:t>
        </w:r>
        <w:r>
          <w:rPr>
            <w:rStyle w:val="Hyperlink"/>
          </w:rPr>
          <w:t xml:space="preserve"> </w:t>
        </w:r>
        <w:r>
          <w:rPr>
            <w:rStyle w:val="Hyperlink"/>
          </w:rPr>
          <w:t xml:space="preserve">Grid</w:t>
        </w:r>
        <w:r>
          <w:rPr>
            <w:rStyle w:val="Hyperlink"/>
          </w:rPr>
          <w:t xml:space="preserve"> </w:t>
        </w:r>
        <w:r>
          <w:rPr>
            <w:rStyle w:val="Hyperlink"/>
          </w:rPr>
          <w:t xml:space="preserve">Data</w:t>
        </w:r>
        <w:r>
          <w:rPr>
            <w:rStyle w:val="Hyperlink"/>
          </w:rPr>
          <w:t xml:space="preserve"> </w:t>
        </w:r>
        <w:r>
          <w:rPr>
            <w:rStyle w:val="Hyperlink"/>
          </w:rPr>
          <w:t xml:space="preserve">Hub</w:t>
        </w:r>
      </w:hyperlink>
      <w:r>
        <w:rPr>
          <w:rFonts w:ascii="Times New Roman" w:hAnsi="Times New Roman" w:eastAsia="Times New Roman" w:cs="Times New Roman"/>
          <w:sz w:val="16"/>
        </w:rPr>
        <w:t xml:space="preserve">.</w:t>
      </w:r>
    </w:p>
    <w:bookmarkEnd w:id="97"/>
    <w:bookmarkStart w:id="99" w:name="ref-DGEGGeo2026"/>
    <w:p>
      <w:pPr>
        <w:pStyle w:val="Bibliography"/>
        <w:widowControl/>
      </w:pPr>
      <w:r>
        <w:rPr>
          <w:rFonts w:ascii="Times New Roman" w:hAnsi="Times New Roman" w:eastAsia="Times New Roman" w:cs="Times New Roman"/>
          <w:sz w:val="16"/>
        </w:rPr>
        <w:t xml:space="preserve">8.</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DGEG.</w:t>
      </w:r>
      <w:r>
        <w:rPr>
          <w:rFonts w:ascii="Times New Roman" w:hAnsi="Times New Roman" w:eastAsia="Times New Roman" w:cs="Times New Roman"/>
          <w:sz w:val="16"/>
        </w:rPr>
        <w:t xml:space="preserve"> </w:t>
      </w:r>
      <w:hyperlink r:id="rId98">
        <w:r>
          <w:rPr>
            <w:rStyle w:val="Hyperlink"/>
          </w:rPr>
          <w:t xml:space="preserve">Informação</w:t>
        </w:r>
        <w:r>
          <w:rPr>
            <w:rStyle w:val="Hyperlink"/>
          </w:rPr>
          <w:t xml:space="preserve"> </w:t>
        </w:r>
        <w:r>
          <w:rPr>
            <w:rStyle w:val="Hyperlink"/>
          </w:rPr>
          <w:t xml:space="preserve">Geográfica</w:t>
        </w:r>
        <w:r>
          <w:rPr>
            <w:rStyle w:val="Hyperlink"/>
          </w:rPr>
          <w:t xml:space="preserve"> </w:t>
        </w:r>
        <w:r>
          <w:rPr>
            <w:rStyle w:val="Hyperlink"/>
          </w:rPr>
          <w:t xml:space="preserve">de</w:t>
        </w:r>
        <w:r>
          <w:rPr>
            <w:rStyle w:val="Hyperlink"/>
          </w:rPr>
          <w:t xml:space="preserve"> </w:t>
        </w:r>
        <w:r>
          <w:rPr>
            <w:rStyle w:val="Hyperlink"/>
          </w:rPr>
          <w:t xml:space="preserve">Energia</w:t>
        </w:r>
        <w:r>
          <w:rPr>
            <w:rStyle w:val="Hyperlink"/>
          </w:rPr>
          <w:t xml:space="preserve"> </w:t>
        </w:r>
        <w:r>
          <w:rPr>
            <w:rStyle w:val="Hyperlink"/>
          </w:rPr>
          <w:t xml:space="preserve">Elétrica</w:t>
        </w:r>
      </w:hyperlink>
      <w:r>
        <w:rPr>
          <w:rFonts w:ascii="Times New Roman" w:hAnsi="Times New Roman" w:eastAsia="Times New Roman" w:cs="Times New Roman"/>
          <w:sz w:val="16"/>
        </w:rPr>
        <w:t xml:space="preserve">.</w:t>
      </w:r>
    </w:p>
    <w:bookmarkEnd w:id="99"/>
    <w:bookmarkStart w:id="101" w:name="ref-ERSEPDIRT2024"/>
    <w:p>
      <w:pPr>
        <w:pStyle w:val="Bibliography"/>
        <w:widowControl/>
      </w:pPr>
      <w:r>
        <w:rPr>
          <w:rFonts w:ascii="Times New Roman" w:hAnsi="Times New Roman" w:eastAsia="Times New Roman" w:cs="Times New Roman"/>
          <w:sz w:val="16"/>
        </w:rPr>
        <w:t xml:space="preserve">9.</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REN.</w:t>
      </w:r>
      <w:r>
        <w:rPr>
          <w:rFonts w:ascii="Times New Roman" w:hAnsi="Times New Roman" w:eastAsia="Times New Roman" w:cs="Times New Roman"/>
          <w:sz w:val="16"/>
        </w:rPr>
        <w:t xml:space="preserve"> </w:t>
      </w:r>
      <w:r>
        <w:rPr>
          <w:rFonts w:ascii="Times New Roman" w:hAnsi="Times New Roman" w:eastAsia="Times New Roman" w:cs="Times New Roman"/>
          <w:i/>
          <w:iCs/>
          <w:sz w:val="16"/>
        </w:rPr>
        <w:t xml:space="preserve">PDIRT 2025–2034,</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Proposta</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Inicial,</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Volume</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I,</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Anexos</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1 a 16</w:t>
      </w:r>
      <w:r>
        <w:rPr>
          <w:rFonts w:ascii="Times New Roman" w:hAnsi="Times New Roman" w:eastAsia="Times New Roman" w:cs="Times New Roman"/>
          <w:sz w:val="16"/>
        </w:rPr>
        <w:t xml:space="preserve">.</w:t>
      </w:r>
      <w:r>
        <w:rPr>
          <w:rFonts w:ascii="Times New Roman" w:hAnsi="Times New Roman" w:eastAsia="Times New Roman" w:cs="Times New Roman"/>
          <w:sz w:val="16"/>
        </w:rPr>
        <w:t xml:space="preserve"> </w:t>
      </w:r>
      <w:hyperlink r:id="rId100">
        <w:r>
          <w:rPr>
            <w:rStyle w:val="Hyperlink"/>
          </w:rPr>
          <w:t xml:space="preserve">https://www.erse.pt/media/lx5n5kao/pdirt-2025-2034-proposta-inicial-vol-i-anexos-1-a-16.pdf</w:t>
        </w:r>
      </w:hyperlink>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(2024).</w:t>
      </w:r>
    </w:p>
    <w:bookmarkEnd w:id="101"/>
    <w:bookmarkStart w:id="103" w:name="ref-OSM2026"/>
    <w:p>
      <w:pPr>
        <w:pStyle w:val="Bibliography"/>
        <w:widowControl/>
      </w:pPr>
      <w:r>
        <w:rPr>
          <w:rFonts w:ascii="Times New Roman" w:hAnsi="Times New Roman" w:eastAsia="Times New Roman" w:cs="Times New Roman"/>
          <w:sz w:val="16"/>
        </w:rPr>
        <w:t xml:space="preserve">10.</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OpenStreetMap contributors.</w:t>
      </w:r>
      <w:r>
        <w:rPr>
          <w:rFonts w:ascii="Times New Roman" w:hAnsi="Times New Roman" w:eastAsia="Times New Roman" w:cs="Times New Roman"/>
          <w:sz w:val="16"/>
        </w:rPr>
        <w:t xml:space="preserve"> </w:t>
      </w:r>
      <w:hyperlink r:id="rId102">
        <w:r>
          <w:rPr>
            <w:rStyle w:val="Hyperlink"/>
          </w:rPr>
          <w:t xml:space="preserve">OpenStreetMap</w:t>
        </w:r>
      </w:hyperlink>
      <w:r>
        <w:rPr>
          <w:rFonts w:ascii="Times New Roman" w:hAnsi="Times New Roman" w:eastAsia="Times New Roman" w:cs="Times New Roman"/>
          <w:sz w:val="16"/>
        </w:rPr>
        <w:t xml:space="preserve">.</w:t>
      </w:r>
    </w:p>
    <w:bookmarkEnd w:id="103"/>
    <w:bookmarkStart w:id="105" w:name="ref-GeofabrikPortugal2026"/>
    <w:p>
      <w:pPr>
        <w:pStyle w:val="Bibliography"/>
        <w:widowControl/>
      </w:pPr>
      <w:r>
        <w:rPr>
          <w:rFonts w:ascii="Times New Roman" w:hAnsi="Times New Roman" w:eastAsia="Times New Roman" w:cs="Times New Roman"/>
          <w:sz w:val="16"/>
        </w:rPr>
        <w:t xml:space="preserve">11.</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Geofabrik GmbH.</w:t>
      </w:r>
      <w:r>
        <w:rPr>
          <w:rFonts w:ascii="Times New Roman" w:hAnsi="Times New Roman" w:eastAsia="Times New Roman" w:cs="Times New Roman"/>
          <w:sz w:val="16"/>
        </w:rPr>
        <w:t xml:space="preserve"> </w:t>
      </w:r>
      <w:hyperlink r:id="rId104">
        <w:r>
          <w:rPr>
            <w:rStyle w:val="Hyperlink"/>
          </w:rPr>
          <w:t xml:space="preserve">OpenStreetMap</w:t>
        </w:r>
        <w:r>
          <w:rPr>
            <w:rStyle w:val="Hyperlink"/>
          </w:rPr>
          <w:t xml:space="preserve"> </w:t>
        </w:r>
        <w:r>
          <w:rPr>
            <w:rStyle w:val="Hyperlink"/>
          </w:rPr>
          <w:t xml:space="preserve">Data</w:t>
        </w:r>
        <w:r>
          <w:rPr>
            <w:rStyle w:val="Hyperlink"/>
          </w:rPr>
          <w:t xml:space="preserve"> </w:t>
        </w:r>
        <w:r>
          <w:rPr>
            <w:rStyle w:val="Hyperlink"/>
          </w:rPr>
          <w:t xml:space="preserve">Extract</w:t>
        </w:r>
        <w:r>
          <w:rPr>
            <w:rStyle w:val="Hyperlink"/>
          </w:rPr>
          <w:t xml:space="preserve"> </w:t>
        </w:r>
        <w:r>
          <w:rPr>
            <w:rStyle w:val="Hyperlink"/>
          </w:rPr>
          <w:t xml:space="preserve">for</w:t>
        </w:r>
        <w:r>
          <w:rPr>
            <w:rStyle w:val="Hyperlink"/>
          </w:rPr>
          <w:t xml:space="preserve"> </w:t>
        </w:r>
        <w:r>
          <w:rPr>
            <w:rStyle w:val="Hyperlink"/>
          </w:rPr>
          <w:t xml:space="preserve">Portugal</w:t>
        </w:r>
      </w:hyperlink>
      <w:r>
        <w:rPr>
          <w:rFonts w:ascii="Times New Roman" w:hAnsi="Times New Roman" w:eastAsia="Times New Roman" w:cs="Times New Roman"/>
          <w:sz w:val="16"/>
        </w:rPr>
        <w:t xml:space="preserve">.</w:t>
      </w:r>
    </w:p>
    <w:bookmarkEnd w:id="105"/>
    <w:bookmarkStart w:id="107" w:name="ref-APA3403"/>
    <w:p>
      <w:pPr>
        <w:pStyle w:val="Bibliography"/>
        <w:widowControl/>
      </w:pPr>
      <w:r>
        <w:rPr>
          <w:rFonts w:ascii="Times New Roman" w:hAnsi="Times New Roman" w:eastAsia="Times New Roman" w:cs="Times New Roman"/>
          <w:sz w:val="16"/>
        </w:rPr>
        <w:t xml:space="preserve">12.</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APA.</w:t>
      </w:r>
      <w:r>
        <w:rPr>
          <w:rFonts w:ascii="Times New Roman" w:hAnsi="Times New Roman" w:eastAsia="Times New Roman" w:cs="Times New Roman"/>
          <w:sz w:val="16"/>
        </w:rPr>
        <w:t xml:space="preserve"> </w:t>
      </w:r>
      <w:hyperlink r:id="rId106">
        <w:r>
          <w:rPr>
            <w:rStyle w:val="Hyperlink"/>
          </w:rPr>
          <w:t xml:space="preserve">Sobreequipamento do parque eólico de trancoso: Parecer da comissão de avaliação, AIA 3403</w:t>
        </w:r>
      </w:hyperlink>
      <w:r>
        <w:rPr>
          <w:rFonts w:ascii="Times New Roman" w:hAnsi="Times New Roman" w:eastAsia="Times New Roman" w:cs="Times New Roman"/>
          <w:sz w:val="16"/>
        </w:rPr>
        <w:t xml:space="preserve">. (2021).</w:t>
      </w:r>
    </w:p>
    <w:bookmarkEnd w:id="107"/>
    <w:bookmarkStart w:id="109" w:name="ref-APAPPA421"/>
    <w:p>
      <w:pPr>
        <w:pStyle w:val="Bibliography"/>
        <w:widowControl/>
      </w:pPr>
      <w:r>
        <w:rPr>
          <w:rFonts w:ascii="Times New Roman" w:hAnsi="Times New Roman" w:eastAsia="Times New Roman" w:cs="Times New Roman"/>
          <w:sz w:val="16"/>
        </w:rPr>
        <w:t xml:space="preserve">13.</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APA.</w:t>
      </w:r>
      <w:r>
        <w:rPr>
          <w:rFonts w:ascii="Times New Roman" w:hAnsi="Times New Roman" w:eastAsia="Times New Roman" w:cs="Times New Roman"/>
          <w:sz w:val="16"/>
        </w:rPr>
        <w:t xml:space="preserve"> </w:t>
      </w:r>
      <w:hyperlink r:id="rId108">
        <w:r>
          <w:rPr>
            <w:rStyle w:val="Hyperlink"/>
          </w:rPr>
          <w:t xml:space="preserve">PPA 421: Sub-parque eólico de sernancelhe e ligação a moimenta</w:t>
        </w:r>
      </w:hyperlink>
      <w:r>
        <w:rPr>
          <w:rFonts w:ascii="Times New Roman" w:hAnsi="Times New Roman" w:eastAsia="Times New Roman" w:cs="Times New Roman"/>
          <w:sz w:val="16"/>
        </w:rPr>
        <w:t xml:space="preserve">.</w:t>
      </w:r>
    </w:p>
    <w:bookmarkEnd w:id="109"/>
    <w:bookmarkStart w:id="111" w:name="ref-APAPPA407"/>
    <w:p>
      <w:pPr>
        <w:pStyle w:val="Bibliography"/>
        <w:widowControl/>
      </w:pPr>
      <w:r>
        <w:rPr>
          <w:rFonts w:ascii="Times New Roman" w:hAnsi="Times New Roman" w:eastAsia="Times New Roman" w:cs="Times New Roman"/>
          <w:sz w:val="16"/>
        </w:rPr>
        <w:t xml:space="preserve">14.</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APA.</w:t>
      </w:r>
      <w:r>
        <w:rPr>
          <w:rFonts w:ascii="Times New Roman" w:hAnsi="Times New Roman" w:eastAsia="Times New Roman" w:cs="Times New Roman"/>
          <w:sz w:val="16"/>
        </w:rPr>
        <w:t xml:space="preserve"> </w:t>
      </w:r>
      <w:hyperlink r:id="rId110">
        <w:r>
          <w:rPr>
            <w:rStyle w:val="Hyperlink"/>
          </w:rPr>
          <w:t xml:space="preserve">PPA 407: Ligação do douro sul à subestação de armamar e subestação de moimenta</w:t>
        </w:r>
      </w:hyperlink>
      <w:r>
        <w:rPr>
          <w:rFonts w:ascii="Times New Roman" w:hAnsi="Times New Roman" w:eastAsia="Times New Roman" w:cs="Times New Roman"/>
          <w:sz w:val="16"/>
        </w:rPr>
        <w:t xml:space="preserve">.</w:t>
      </w:r>
    </w:p>
    <w:bookmarkEnd w:id="111"/>
    <w:bookmarkStart w:id="113" w:name="ref-GISCO2024"/>
    <w:p>
      <w:pPr>
        <w:pStyle w:val="Bibliography"/>
        <w:widowControl/>
      </w:pPr>
      <w:r>
        <w:rPr>
          <w:rFonts w:ascii="Times New Roman" w:hAnsi="Times New Roman" w:eastAsia="Times New Roman" w:cs="Times New Roman"/>
          <w:sz w:val="16"/>
        </w:rPr>
        <w:t xml:space="preserve">15.</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Eurostat GISCO.</w:t>
      </w:r>
      <w:r>
        <w:rPr>
          <w:rFonts w:ascii="Times New Roman" w:hAnsi="Times New Roman" w:eastAsia="Times New Roman" w:cs="Times New Roman"/>
          <w:sz w:val="16"/>
        </w:rPr>
        <w:t xml:space="preserve"> </w:t>
      </w:r>
      <w:hyperlink r:id="rId112">
        <w:r>
          <w:rPr>
            <w:rStyle w:val="Hyperlink"/>
          </w:rPr>
          <w:t xml:space="preserve">Countries 2024:</w:t>
        </w:r>
        <w:r>
          <w:rPr>
            <w:rStyle w:val="Hyperlink"/>
          </w:rPr>
          <w:t xml:space="preserve"> </w:t>
        </w:r>
        <w:r>
          <w:rPr>
            <w:rStyle w:val="Hyperlink"/>
          </w:rPr>
          <w:t xml:space="preserve">Portugal</w:t>
        </w:r>
        <w:r>
          <w:rPr>
            <w:rStyle w:val="Hyperlink"/>
          </w:rPr>
          <w:t xml:space="preserve"> </w:t>
        </w:r>
        <w:r>
          <w:rPr>
            <w:rStyle w:val="Hyperlink"/>
          </w:rPr>
          <w:t xml:space="preserve">Boundary,</w:t>
        </w:r>
        <w:r>
          <w:rPr>
            <w:rStyle w:val="Hyperlink"/>
          </w:rPr>
          <w:t xml:space="preserve"> </w:t>
        </w:r>
        <w:r>
          <w:rPr>
            <w:rStyle w:val="Hyperlink"/>
          </w:rPr>
          <w:t xml:space="preserve">1:1</w:t>
        </w:r>
        <w:r>
          <w:rPr>
            <w:rStyle w:val="Hyperlink"/>
          </w:rPr>
          <w:t xml:space="preserve"> </w:t>
        </w:r>
        <w:r>
          <w:rPr>
            <w:rStyle w:val="Hyperlink"/>
          </w:rPr>
          <w:t xml:space="preserve">Million,</w:t>
        </w:r>
        <w:r>
          <w:rPr>
            <w:rStyle w:val="Hyperlink"/>
          </w:rPr>
          <w:t xml:space="preserve"> </w:t>
        </w:r>
        <w:r>
          <w:rPr>
            <w:rStyle w:val="Hyperlink"/>
          </w:rPr>
          <w:t xml:space="preserve">EPSG:4326</w:t>
        </w:r>
      </w:hyperlink>
      <w:r>
        <w:rPr>
          <w:rFonts w:ascii="Times New Roman" w:hAnsi="Times New Roman" w:eastAsia="Times New Roman" w:cs="Times New Roman"/>
          <w:sz w:val="16"/>
        </w:rPr>
        <w:t xml:space="preserve">. (2024).</w:t>
      </w:r>
    </w:p>
    <w:bookmarkEnd w:id="113"/>
    <w:bookmarkStart w:id="115" w:name="ref-OpenInfraMap2026"/>
    <w:p>
      <w:pPr>
        <w:pStyle w:val="Bibliography"/>
        <w:widowControl/>
      </w:pPr>
      <w:r>
        <w:rPr>
          <w:rFonts w:ascii="Times New Roman" w:hAnsi="Times New Roman" w:eastAsia="Times New Roman" w:cs="Times New Roman"/>
          <w:sz w:val="16"/>
        </w:rPr>
        <w:t xml:space="preserve">16.</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OpenInfraMap contributors.</w:t>
      </w:r>
      <w:r>
        <w:rPr>
          <w:rFonts w:ascii="Times New Roman" w:hAnsi="Times New Roman" w:eastAsia="Times New Roman" w:cs="Times New Roman"/>
          <w:sz w:val="16"/>
        </w:rPr>
        <w:t xml:space="preserve"> </w:t>
      </w:r>
      <w:hyperlink r:id="rId114">
        <w:r>
          <w:rPr>
            <w:rStyle w:val="Hyperlink"/>
          </w:rPr>
          <w:t xml:space="preserve">OpenInfraMap</w:t>
        </w:r>
      </w:hyperlink>
      <w:r>
        <w:rPr>
          <w:rFonts w:ascii="Times New Roman" w:hAnsi="Times New Roman" w:eastAsia="Times New Roman" w:cs="Times New Roman"/>
          <w:sz w:val="16"/>
        </w:rPr>
        <w:t xml:space="preserve">.</w:t>
      </w:r>
    </w:p>
    <w:bookmarkEnd w:id="115"/>
    <w:bookmarkStart w:id="117" w:name="ref-EREDESPDIRD2020AnnexB"/>
    <w:p>
      <w:pPr>
        <w:pStyle w:val="Bibliography"/>
        <w:widowControl/>
      </w:pPr>
      <w:r>
        <w:rPr>
          <w:rFonts w:ascii="Times New Roman" w:hAnsi="Times New Roman" w:eastAsia="Times New Roman" w:cs="Times New Roman"/>
          <w:sz w:val="16"/>
        </w:rPr>
        <w:t xml:space="preserve">17.</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E-REDES &amp; Entidade Reguladora dos Serviços Energéticos.</w:t>
      </w:r>
      <w:r>
        <w:rPr>
          <w:rFonts w:ascii="Times New Roman" w:hAnsi="Times New Roman" w:eastAsia="Times New Roman" w:cs="Times New Roman"/>
          <w:sz w:val="16"/>
        </w:rPr>
        <w:t xml:space="preserve"> </w:t>
      </w:r>
      <w:r>
        <w:rPr>
          <w:rFonts w:ascii="Times New Roman" w:hAnsi="Times New Roman" w:eastAsia="Times New Roman" w:cs="Times New Roman"/>
          <w:i/>
          <w:iCs/>
          <w:sz w:val="16"/>
        </w:rPr>
        <w:t xml:space="preserve">PDIRD-e 2020,</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Anexo</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B</w:t>
      </w:r>
      <w:r>
        <w:rPr>
          <w:rFonts w:ascii="Times New Roman" w:hAnsi="Times New Roman" w:eastAsia="Times New Roman" w:cs="Times New Roman"/>
          <w:sz w:val="16"/>
        </w:rPr>
        <w:t xml:space="preserve">.</w:t>
      </w:r>
      <w:r>
        <w:rPr>
          <w:rFonts w:ascii="Times New Roman" w:hAnsi="Times New Roman" w:eastAsia="Times New Roman" w:cs="Times New Roman"/>
          <w:sz w:val="16"/>
        </w:rPr>
        <w:t xml:space="preserve"> </w:t>
      </w:r>
      <w:hyperlink r:id="rId116">
        <w:r>
          <w:rPr>
            <w:rStyle w:val="Hyperlink"/>
          </w:rPr>
          <w:t xml:space="preserve">https://www.erse.pt/media/340hrot0/proposta-pdird-e-2020_anexo_b.pdf</w:t>
        </w:r>
      </w:hyperlink>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(2020).</w:t>
      </w:r>
    </w:p>
    <w:bookmarkEnd w:id="117"/>
    <w:bookmarkStart w:id="119" w:name="ref-Tocha2019"/>
    <w:p>
      <w:pPr>
        <w:pStyle w:val="Bibliography"/>
        <w:widowControl/>
      </w:pPr>
      <w:r>
        <w:rPr>
          <w:rFonts w:ascii="Times New Roman" w:hAnsi="Times New Roman" w:eastAsia="Times New Roman" w:cs="Times New Roman"/>
          <w:sz w:val="16"/>
        </w:rPr>
        <w:t xml:space="preserve">18.</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EDP Distribuição.</w:t>
      </w:r>
      <w:r>
        <w:rPr>
          <w:rFonts w:ascii="Times New Roman" w:hAnsi="Times New Roman" w:eastAsia="Times New Roman" w:cs="Times New Roman"/>
          <w:sz w:val="16"/>
        </w:rPr>
        <w:t xml:space="preserve"> </w:t>
      </w:r>
      <w:hyperlink r:id="rId118">
        <w:r>
          <w:rPr>
            <w:rStyle w:val="Hyperlink"/>
          </w:rPr>
          <w:t xml:space="preserve">Memória descritiva e justificativa: Linha a 60 kV PE tocha II–tocha</w:t>
        </w:r>
      </w:hyperlink>
      <w:r>
        <w:rPr>
          <w:rFonts w:ascii="Times New Roman" w:hAnsi="Times New Roman" w:eastAsia="Times New Roman" w:cs="Times New Roman"/>
          <w:sz w:val="16"/>
        </w:rPr>
        <w:t xml:space="preserve">. (2019).</w:t>
      </w:r>
    </w:p>
    <w:bookmarkEnd w:id="119"/>
    <w:bookmarkStart w:id="121" w:name="ref-REE2012"/>
    <w:p>
      <w:pPr>
        <w:pStyle w:val="Bibliography"/>
        <w:widowControl/>
      </w:pPr>
      <w:r>
        <w:rPr>
          <w:rFonts w:ascii="Times New Roman" w:hAnsi="Times New Roman" w:eastAsia="Times New Roman" w:cs="Times New Roman"/>
          <w:sz w:val="16"/>
        </w:rPr>
        <w:t xml:space="preserve">19.</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Red Eléctrica de España (REE).</w:t>
      </w:r>
      <w:r>
        <w:rPr>
          <w:rFonts w:ascii="Times New Roman" w:hAnsi="Times New Roman" w:eastAsia="Times New Roman" w:cs="Times New Roman"/>
          <w:sz w:val="16"/>
        </w:rPr>
        <w:t xml:space="preserve"> </w:t>
      </w:r>
      <w:hyperlink r:id="rId120">
        <w:r>
          <w:rPr>
            <w:rStyle w:val="Hyperlink"/>
          </w:rPr>
          <w:t xml:space="preserve">Interconexiones eléctricas: Un paso para el mercado único de la energía en europa</w:t>
        </w:r>
      </w:hyperlink>
      <w:r>
        <w:rPr>
          <w:rFonts w:ascii="Times New Roman" w:hAnsi="Times New Roman" w:eastAsia="Times New Roman" w:cs="Times New Roman"/>
          <w:sz w:val="16"/>
        </w:rPr>
        <w:t xml:space="preserve">. (2012).</w:t>
      </w:r>
    </w:p>
    <w:bookmarkEnd w:id="121"/>
    <w:bookmarkStart w:id="123" w:name="ref-REN2015Estoi"/>
    <w:p>
      <w:pPr>
        <w:pStyle w:val="Bibliography"/>
        <w:widowControl/>
      </w:pPr>
      <w:r>
        <w:rPr>
          <w:rFonts w:ascii="Times New Roman" w:hAnsi="Times New Roman" w:eastAsia="Times New Roman" w:cs="Times New Roman"/>
          <w:sz w:val="16"/>
        </w:rPr>
        <w:t xml:space="preserve">20.</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REN.</w:t>
      </w:r>
      <w:r>
        <w:rPr>
          <w:rFonts w:ascii="Times New Roman" w:hAnsi="Times New Roman" w:eastAsia="Times New Roman" w:cs="Times New Roman"/>
          <w:sz w:val="16"/>
        </w:rPr>
        <w:t xml:space="preserve"> </w:t>
      </w:r>
      <w:hyperlink r:id="rId122">
        <w:r>
          <w:rPr>
            <w:rStyle w:val="Hyperlink"/>
          </w:rPr>
          <w:t xml:space="preserve">PDIRT 2016–2025, anexo 6: Equipamento em serviço previsto em finais de 2016, 2018, 2020 e 2025</w:t>
        </w:r>
      </w:hyperlink>
      <w:r>
        <w:rPr>
          <w:rFonts w:ascii="Times New Roman" w:hAnsi="Times New Roman" w:eastAsia="Times New Roman" w:cs="Times New Roman"/>
          <w:sz w:val="16"/>
        </w:rPr>
        <w:t xml:space="preserve">. (2015).</w:t>
      </w:r>
    </w:p>
    <w:bookmarkEnd w:id="123"/>
    <w:bookmarkStart w:id="125" w:name="ref-GeoPandas2026"/>
    <w:p>
      <w:pPr>
        <w:pStyle w:val="Bibliography"/>
        <w:widowControl/>
      </w:pPr>
      <w:r>
        <w:rPr>
          <w:rFonts w:ascii="Times New Roman" w:hAnsi="Times New Roman" w:eastAsia="Times New Roman" w:cs="Times New Roman"/>
          <w:sz w:val="16"/>
        </w:rPr>
        <w:t xml:space="preserve">21.</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Fleischmann, M.</w:t>
      </w:r>
      <w:r>
        <w:rPr>
          <w:rFonts w:ascii="Times New Roman" w:hAnsi="Times New Roman" w:eastAsia="Times New Roman" w:cs="Times New Roman"/>
          <w:sz w:val="16"/>
        </w:rPr>
        <w:t xml:space="preserve"> </w:t>
      </w:r>
      <w:r>
        <w:rPr>
          <w:rFonts w:ascii="Times New Roman" w:hAnsi="Times New Roman" w:eastAsia="Times New Roman" w:cs="Times New Roman"/>
          <w:i/>
          <w:iCs/>
          <w:sz w:val="16"/>
        </w:rPr>
        <w:t xml:space="preserve">et al.</w:t>
      </w:r>
      <w:r>
        <w:rPr>
          <w:rFonts w:ascii="Times New Roman" w:hAnsi="Times New Roman" w:eastAsia="Times New Roman" w:cs="Times New Roman"/>
          <w:sz w:val="16"/>
        </w:rPr>
        <w:t xml:space="preserve"> </w:t>
      </w:r>
      <w:hyperlink r:id="rId124">
        <w:r>
          <w:rPr>
            <w:rStyle w:val="Hyperlink"/>
          </w:rPr>
          <w:t xml:space="preserve">GeoPandas:</w:t>
        </w:r>
        <w:r>
          <w:rPr>
            <w:rStyle w:val="Hyperlink"/>
          </w:rPr>
          <w:t xml:space="preserve"> </w:t>
        </w:r>
        <w:r>
          <w:rPr>
            <w:rStyle w:val="Hyperlink"/>
          </w:rPr>
          <w:t xml:space="preserve">Fundamental</w:t>
        </w:r>
        <w:r>
          <w:rPr>
            <w:rStyle w:val="Hyperlink"/>
          </w:rPr>
          <w:t xml:space="preserve"> </w:t>
        </w:r>
        <w:r>
          <w:rPr>
            <w:rStyle w:val="Hyperlink"/>
          </w:rPr>
          <w:t xml:space="preserve">Data</w:t>
        </w:r>
        <w:r>
          <w:rPr>
            <w:rStyle w:val="Hyperlink"/>
          </w:rPr>
          <w:t xml:space="preserve"> </w:t>
        </w:r>
        <w:r>
          <w:rPr>
            <w:rStyle w:val="Hyperlink"/>
          </w:rPr>
          <w:t xml:space="preserve">Structures</w:t>
        </w:r>
        <w:r>
          <w:rPr>
            <w:rStyle w:val="Hyperlink"/>
          </w:rPr>
          <w:t xml:space="preserve"> </w:t>
        </w:r>
        <w:r>
          <w:rPr>
            <w:rStyle w:val="Hyperlink"/>
          </w:rPr>
          <w:t xml:space="preserve">for</w:t>
        </w:r>
        <w:r>
          <w:rPr>
            <w:rStyle w:val="Hyperlink"/>
          </w:rPr>
          <w:t xml:space="preserve"> </w:t>
        </w:r>
        <w:r>
          <w:rPr>
            <w:rStyle w:val="Hyperlink"/>
          </w:rPr>
          <w:t xml:space="preserve">Vector</w:t>
        </w:r>
        <w:r>
          <w:rPr>
            <w:rStyle w:val="Hyperlink"/>
          </w:rPr>
          <w:t xml:space="preserve"> </w:t>
        </w:r>
        <w:r>
          <w:rPr>
            <w:rStyle w:val="Hyperlink"/>
          </w:rPr>
          <w:t xml:space="preserve">Spatial</w:t>
        </w:r>
        <w:r>
          <w:rPr>
            <w:rStyle w:val="Hyperlink"/>
          </w:rPr>
          <w:t xml:space="preserve"> </w:t>
        </w:r>
        <w:r>
          <w:rPr>
            <w:rStyle w:val="Hyperlink"/>
          </w:rPr>
          <w:t xml:space="preserve">Data</w:t>
        </w:r>
        <w:r>
          <w:rPr>
            <w:rStyle w:val="Hyperlink"/>
          </w:rPr>
          <w:t xml:space="preserve"> </w:t>
        </w:r>
        <w:r>
          <w:rPr>
            <w:rStyle w:val="Hyperlink"/>
          </w:rPr>
          <w:t xml:space="preserve">in</w:t>
        </w:r>
        <w:r>
          <w:rPr>
            <w:rStyle w:val="Hyperlink"/>
          </w:rPr>
          <w:t xml:space="preserve"> </w:t>
        </w:r>
        <w:r>
          <w:rPr>
            <w:rStyle w:val="Hyperlink"/>
          </w:rPr>
          <w:t xml:space="preserve">Python</w:t>
        </w:r>
      </w:hyperlink>
      <w:r>
        <w:rPr>
          <w:rFonts w:ascii="Times New Roman" w:hAnsi="Times New Roman" w:eastAsia="Times New Roman" w:cs="Times New Roman"/>
          <w:sz w:val="16"/>
        </w:rPr>
        <w:t xml:space="preserve">.</w:t>
      </w:r>
      <w:r>
        <w:rPr>
          <w:rFonts w:ascii="Times New Roman" w:hAnsi="Times New Roman" w:eastAsia="Times New Roman" w:cs="Times New Roman"/>
          <w:sz w:val="16"/>
        </w:rPr>
        <w:t xml:space="preserve"> </w:t>
      </w:r>
      <w:r>
        <w:rPr>
          <w:rFonts w:ascii="Times New Roman" w:hAnsi="Times New Roman" w:eastAsia="Times New Roman" w:cs="Times New Roman"/>
          <w:i/>
          <w:iCs/>
          <w:sz w:val="16"/>
        </w:rPr>
        <w:t xml:space="preserve">Computers, Environment and Urban Systems</w:t>
      </w:r>
      <w:r>
        <w:rPr>
          <w:rFonts w:ascii="Times New Roman" w:hAnsi="Times New Roman" w:eastAsia="Times New Roman" w:cs="Times New Roman"/>
          <w:sz w:val="16"/>
        </w:rPr>
        <w:t xml:space="preserve"> </w:t>
      </w:r>
      <w:r>
        <w:rPr>
          <w:rFonts w:ascii="Times New Roman" w:hAnsi="Times New Roman" w:eastAsia="Times New Roman" w:cs="Times New Roman"/>
          <w:b/>
          <w:bCs/>
          <w:sz w:val="16"/>
        </w:rPr>
        <w:t xml:space="preserve">130</w:t>
      </w:r>
      <w:r>
        <w:rPr>
          <w:rFonts w:ascii="Times New Roman" w:hAnsi="Times New Roman" w:eastAsia="Times New Roman" w:cs="Times New Roman"/>
          <w:sz w:val="16"/>
        </w:rPr>
        <w:t xml:space="preserve">, 102495 (2026).</w:t>
      </w:r>
    </w:p>
    <w:bookmarkEnd w:id="125"/>
    <w:bookmarkStart w:id="127" w:name="ref-EREDESNationalConsumption"/>
    <w:p>
      <w:pPr>
        <w:pStyle w:val="Bibliography"/>
        <w:widowControl/>
      </w:pPr>
      <w:r>
        <w:rPr>
          <w:rFonts w:ascii="Times New Roman" w:hAnsi="Times New Roman" w:eastAsia="Times New Roman" w:cs="Times New Roman"/>
          <w:sz w:val="16"/>
        </w:rPr>
        <w:t xml:space="preserve">22.</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E-REDES.</w:t>
      </w:r>
      <w:r>
        <w:rPr>
          <w:rFonts w:ascii="Times New Roman" w:hAnsi="Times New Roman" w:eastAsia="Times New Roman" w:cs="Times New Roman"/>
          <w:sz w:val="16"/>
        </w:rPr>
        <w:t xml:space="preserve"> </w:t>
      </w:r>
      <w:hyperlink r:id="rId126">
        <w:r>
          <w:rPr>
            <w:rStyle w:val="Hyperlink"/>
          </w:rPr>
          <w:t xml:space="preserve">Consumo total nacional</w:t>
        </w:r>
      </w:hyperlink>
      <w:r>
        <w:rPr>
          <w:rFonts w:ascii="Times New Roman" w:hAnsi="Times New Roman" w:eastAsia="Times New Roman" w:cs="Times New Roman"/>
          <w:sz w:val="16"/>
        </w:rPr>
        <w:t xml:space="preserve">. E-REDES Open Data Portal.</w:t>
      </w:r>
    </w:p>
    <w:bookmarkEnd w:id="127"/>
    <w:bookmarkStart w:id="129" w:name="ref-EREDESDistributionInjection"/>
    <w:p>
      <w:pPr>
        <w:pStyle w:val="Bibliography"/>
        <w:widowControl/>
      </w:pPr>
      <w:r>
        <w:rPr>
          <w:rFonts w:ascii="Times New Roman" w:hAnsi="Times New Roman" w:eastAsia="Times New Roman" w:cs="Times New Roman"/>
          <w:sz w:val="16"/>
        </w:rPr>
        <w:t xml:space="preserve">23.</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E-REDES.</w:t>
      </w:r>
      <w:r>
        <w:rPr>
          <w:rFonts w:ascii="Times New Roman" w:hAnsi="Times New Roman" w:eastAsia="Times New Roman" w:cs="Times New Roman"/>
          <w:sz w:val="16"/>
        </w:rPr>
        <w:t xml:space="preserve"> </w:t>
      </w:r>
      <w:hyperlink r:id="rId128">
        <w:r>
          <w:rPr>
            <w:rStyle w:val="Hyperlink"/>
          </w:rPr>
          <w:t xml:space="preserve">Energia injetada na rede de distribuição</w:t>
        </w:r>
      </w:hyperlink>
      <w:r>
        <w:rPr>
          <w:rFonts w:ascii="Times New Roman" w:hAnsi="Times New Roman" w:eastAsia="Times New Roman" w:cs="Times New Roman"/>
          <w:sz w:val="16"/>
        </w:rPr>
        <w:t xml:space="preserve">. E-REDES Open Data Portal.</w:t>
      </w:r>
    </w:p>
    <w:bookmarkEnd w:id="129"/>
    <w:bookmarkStart w:id="131" w:name="ref-EREDESNationalProduction"/>
    <w:p>
      <w:pPr>
        <w:pStyle w:val="Bibliography"/>
        <w:widowControl/>
      </w:pPr>
      <w:r>
        <w:rPr>
          <w:rFonts w:ascii="Times New Roman" w:hAnsi="Times New Roman" w:eastAsia="Times New Roman" w:cs="Times New Roman"/>
          <w:sz w:val="16"/>
        </w:rPr>
        <w:t xml:space="preserve">24.</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E-REDES.</w:t>
      </w:r>
      <w:r>
        <w:rPr>
          <w:rFonts w:ascii="Times New Roman" w:hAnsi="Times New Roman" w:eastAsia="Times New Roman" w:cs="Times New Roman"/>
          <w:sz w:val="16"/>
        </w:rPr>
        <w:t xml:space="preserve"> </w:t>
      </w:r>
      <w:hyperlink r:id="rId130">
        <w:r>
          <w:rPr>
            <w:rStyle w:val="Hyperlink"/>
          </w:rPr>
          <w:t xml:space="preserve">Energia produzida total nacional</w:t>
        </w:r>
      </w:hyperlink>
      <w:r>
        <w:rPr>
          <w:rFonts w:ascii="Times New Roman" w:hAnsi="Times New Roman" w:eastAsia="Times New Roman" w:cs="Times New Roman"/>
          <w:sz w:val="16"/>
        </w:rPr>
        <w:t xml:space="preserve">. E-REDES Open Data Portal.</w:t>
      </w:r>
    </w:p>
    <w:bookmarkEnd w:id="131"/>
    <w:bookmarkStart w:id="133" w:name="ref-EREDESMunicipalityConsumption"/>
    <w:p>
      <w:pPr>
        <w:pStyle w:val="Bibliography"/>
        <w:widowControl/>
      </w:pPr>
      <w:r>
        <w:rPr>
          <w:rFonts w:ascii="Times New Roman" w:hAnsi="Times New Roman" w:eastAsia="Times New Roman" w:cs="Times New Roman"/>
          <w:sz w:val="16"/>
        </w:rPr>
        <w:t xml:space="preserve">25.</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E-REDES.</w:t>
      </w:r>
      <w:r>
        <w:rPr>
          <w:rFonts w:ascii="Times New Roman" w:hAnsi="Times New Roman" w:eastAsia="Times New Roman" w:cs="Times New Roman"/>
          <w:sz w:val="16"/>
        </w:rPr>
        <w:t xml:space="preserve"> </w:t>
      </w:r>
      <w:hyperlink r:id="rId132">
        <w:r>
          <w:rPr>
            <w:rStyle w:val="Hyperlink"/>
          </w:rPr>
          <w:t xml:space="preserve">Monthly consumption by municipality</w:t>
        </w:r>
      </w:hyperlink>
      <w:r>
        <w:rPr>
          <w:rFonts w:ascii="Times New Roman" w:hAnsi="Times New Roman" w:eastAsia="Times New Roman" w:cs="Times New Roman"/>
          <w:sz w:val="16"/>
        </w:rPr>
        <w:t xml:space="preserve">. E-REDES Open Data Portal.</w:t>
      </w:r>
    </w:p>
    <w:bookmarkEnd w:id="133"/>
    <w:bookmarkStart w:id="135" w:name="ref-EREDESSubstationCapacity"/>
    <w:p>
      <w:pPr>
        <w:pStyle w:val="Bibliography"/>
        <w:widowControl/>
      </w:pPr>
      <w:r>
        <w:rPr>
          <w:rFonts w:ascii="Times New Roman" w:hAnsi="Times New Roman" w:eastAsia="Times New Roman" w:cs="Times New Roman"/>
          <w:sz w:val="16"/>
        </w:rPr>
        <w:t xml:space="preserve">26.</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E-REDES.</w:t>
      </w:r>
      <w:r>
        <w:rPr>
          <w:rFonts w:ascii="Times New Roman" w:hAnsi="Times New Roman" w:eastAsia="Times New Roman" w:cs="Times New Roman"/>
          <w:sz w:val="16"/>
        </w:rPr>
        <w:t xml:space="preserve"> </w:t>
      </w:r>
      <w:hyperlink r:id="rId134">
        <w:r>
          <w:rPr>
            <w:rStyle w:val="Hyperlink"/>
          </w:rPr>
          <w:t xml:space="preserve">Carga na subestação</w:t>
        </w:r>
      </w:hyperlink>
      <w:r>
        <w:rPr>
          <w:rFonts w:ascii="Times New Roman" w:hAnsi="Times New Roman" w:eastAsia="Times New Roman" w:cs="Times New Roman"/>
          <w:sz w:val="16"/>
        </w:rPr>
        <w:t xml:space="preserve">. E-REDES Open Data Portal.</w:t>
      </w:r>
    </w:p>
    <w:bookmarkEnd w:id="135"/>
    <w:bookmarkStart w:id="136" w:name="ref-SimPT60Release2026"/>
    <w:p>
      <w:pPr>
        <w:pStyle w:val="Bibliography"/>
        <w:widowControl/>
      </w:pPr>
      <w:r>
        <w:rPr>
          <w:rFonts w:ascii="Times New Roman" w:hAnsi="Times New Roman" w:eastAsia="Times New Roman" w:cs="Times New Roman"/>
          <w:sz w:val="16"/>
        </w:rPr>
        <w:t xml:space="preserve">27.</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	</w:t>
      </w:r>
      <w:hyperlink r:id="rId81">
        <w:r>
          <w:rPr>
            <w:rStyle w:val="Hyperlink"/>
          </w:rPr>
          <w:t xml:space="preserve">SimPT60 2026.09.21 r1: Portuguese high-voltage network and time-series power-flow data</w:t>
        </w:r>
      </w:hyperlink>
      <w:r>
        <w:rPr>
          <w:rFonts w:ascii="Times New Roman" w:hAnsi="Times New Roman" w:eastAsia="Times New Roman" w:cs="Times New Roman"/>
          <w:sz w:val="16"/>
        </w:rPr>
        <w:t xml:space="preserve">. GitHub (2026).</w:t>
      </w:r>
    </w:p>
    <w:bookmarkEnd w:id="136"/>
    <w:bookmarkEnd w:id="137"/>
    <w:bookmarkEnd w:id="138"/>
    <w:sectPr>
      <w:footerReference r:id="rId9" w:type="default"/>
      <w:pgSz w:h="15840" w:w="12240"/>
      <w:pgMar w:bottom="1440" w:footer="720" w:header="720" w:left="1440" w:right="1440" w:top="1440"/>
    </w:sectPr>
  </w:body>
</w:document>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sz w:val="18"/>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view w:val="print"/>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00" w:before="0" w:line="269" w:lineRule="auto"/>
      <w:jc w:val="both"/>
    </w:pPr>
    <w:rPr>
      <w:rFonts w:ascii="Times New Roman" w:cs="Times New Roman" w:eastAsia="Times New Roman" w:hAnsi="Times New Roman"/>
      <w:b w:val="0"/>
      <w:i w:val="0"/>
      <w:color w:val="000000"/>
      <w:sz w:val="21"/>
    </w:rPr>
  </w:style>
  <w:style w:styleId="BodyText" w:type="paragraph">
    <w:name w:val="Body Text"/>
    <w:basedOn w:val="Normal"/>
    <w:link w:val="BodyTextChar"/>
    <w:qFormat/>
    <w:pPr>
      <w:keepNext w:val="0"/>
      <w:widowControl/>
      <w:spacing w:after="100" w:before="0" w:line="269" w:lineRule="auto"/>
      <w:jc w:val="both"/>
    </w:pPr>
    <w:rPr>
      <w:rFonts w:ascii="Times New Roman" w:cs="Times New Roman" w:eastAsia="Times New Roman" w:hAnsi="Times New Roman"/>
      <w:b w:val="0"/>
      <w:i w:val="0"/>
      <w:color w:val="000000"/>
      <w:sz w:val="21"/>
    </w:rPr>
  </w:style>
  <w:style w:customStyle="1" w:styleId="FirstParagraph" w:type="paragraph">
    <w:name w:val="First Paragraph"/>
    <w:basedOn w:val="BodyText"/>
    <w:next w:val="BodyText"/>
    <w:qFormat/>
    <w:pPr>
      <w:keepNext w:val="0"/>
      <w:widowControl/>
      <w:spacing w:after="100" w:before="0" w:line="269" w:lineRule="auto"/>
      <w:jc w:val="both"/>
    </w:pPr>
    <w:rPr>
      <w:rFonts w:ascii="Times New Roman" w:cs="Times New Roman" w:eastAsia="Times New Roman" w:hAnsi="Times New Roman"/>
      <w:b w:val="0"/>
      <w:i w:val="0"/>
      <w:color w:val="000000"/>
      <w:sz w:val="21"/>
    </w:rPr>
  </w:style>
  <w:style w:customStyle="1" w:styleId="Compact" w:type="paragraph">
    <w:name w:val="Compact"/>
    <w:basedOn w:val="BodyText"/>
    <w:qFormat/>
    <w:pPr>
      <w:keepNext w:val="0"/>
      <w:widowControl/>
      <w:spacing w:after="100" w:before="0" w:line="269" w:lineRule="auto"/>
      <w:jc w:val="both"/>
    </w:pPr>
    <w:rPr>
      <w:rFonts w:ascii="Times New Roman" w:cs="Times New Roman" w:eastAsia="Times New Roman" w:hAnsi="Times New Roman"/>
      <w:b w:val="0"/>
      <w:i w:val="0"/>
      <w:color w:val="000000"/>
      <w:sz w:val="21"/>
    </w:rPr>
  </w:style>
  <w:style w:styleId="Title" w:type="paragraph">
    <w:name w:val="Title"/>
    <w:basedOn w:val="Normal"/>
    <w:next w:val="BodyText"/>
    <w:link w:val="TitleChar"/>
    <w:uiPriority w:val="10"/>
    <w:qFormat/>
    <w:rsid w:val="00A10FD9"/>
    <w:pPr>
      <w:keepNext/>
      <w:widowControl/>
      <w:spacing w:after="200" w:before="0" w:line="240" w:lineRule="auto"/>
      <w:contextualSpacing/>
      <w:jc w:val="center"/>
    </w:pPr>
    <w:rPr>
      <w:rFonts w:ascii="Times New Roman" w:asciiTheme="majorHAnsi" w:cs="Times New Roman" w:cstheme="majorBidi" w:eastAsia="Times New Roman" w:eastAsiaTheme="majorEastAsia" w:hAnsi="Times New Roman" w:hAnsiTheme="majorHAnsi"/>
      <w:b/>
      <w:i w:val="0"/>
      <w:color w:val="000000"/>
      <w:spacing w:val="-10"/>
      <w:kern w:val="28"/>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widowControl/>
      <w:spacing w:after="60" w:before="0" w:line="240" w:lineRule="auto"/>
      <w:jc w:val="center"/>
    </w:pPr>
    <w:rPr>
      <w:rFonts w:ascii="Times New Roman" w:cs="Times New Roman" w:eastAsia="Times New Roman" w:hAnsi="Times New Roman"/>
      <w:b w:val="0"/>
      <w:i w:val="0"/>
      <w:color w:val="000000"/>
      <w:sz w:val="22"/>
    </w:rPr>
  </w:style>
  <w:style w:styleId="Date" w:type="paragraph">
    <w:name w:val="Date"/>
    <w:next w:val="BodyText"/>
    <w:qFormat/>
    <w:pPr>
      <w:keepNext/>
      <w:keepLines/>
      <w:widowControl/>
      <w:spacing w:after="180" w:before="0" w:line="240" w:lineRule="auto"/>
      <w:jc w:val="center"/>
    </w:pPr>
    <w:rPr>
      <w:rFonts w:ascii="Times New Roman" w:cs="Times New Roman" w:eastAsia="Times New Roman" w:hAnsi="Times New Roman"/>
      <w:b w:val="0"/>
      <w:i w:val="0"/>
      <w:color w:val="000000"/>
      <w:sz w:val="20"/>
    </w:rPr>
  </w:style>
  <w:style w:customStyle="1" w:styleId="AbstractTitle" w:type="paragraph">
    <w:name w:val="Abstract Title"/>
    <w:basedOn w:val="Normal"/>
    <w:next w:val="Abstract"/>
    <w:qFormat/>
    <w:pPr>
      <w:keepNext/>
      <w:keepLines/>
      <w:widowControl/>
      <w:spacing w:after="80" w:before="60" w:line="240" w:lineRule="auto"/>
      <w:jc w:val="center"/>
    </w:pPr>
    <w:rPr>
      <w:rFonts w:ascii="Times New Roman" w:cs="Times New Roman" w:eastAsia="Times New Roman" w:hAnsi="Times New Roman"/>
      <w:b/>
      <w:i w:val="0"/>
      <w:color w:val="000000"/>
      <w:sz w:val="22"/>
      <w:szCs w:val="20"/>
    </w:rPr>
  </w:style>
  <w:style w:customStyle="1" w:styleId="Abstract" w:type="paragraph">
    <w:name w:val="Abstract"/>
    <w:basedOn w:val="Normal"/>
    <w:next w:val="BodyText"/>
    <w:qFormat/>
    <w:pPr>
      <w:keepNext w:val="0"/>
      <w:keepLines/>
      <w:widowControl/>
      <w:spacing w:after="140" w:before="0" w:line="259" w:lineRule="auto"/>
      <w:jc w:val="both"/>
    </w:pPr>
    <w:rPr>
      <w:rFonts w:ascii="Times New Roman" w:cs="Times New Roman" w:eastAsia="Times New Roman" w:hAnsi="Times New Roman"/>
      <w:b w:val="0"/>
      <w:i w:val="0"/>
      <w:color w:val="000000"/>
      <w:sz w:val="20"/>
      <w:szCs w:val="20"/>
    </w:rPr>
  </w:style>
  <w:style w:styleId="Bibliography" w:type="paragraph">
    <w:name w:val="Bibliography"/>
    <w:basedOn w:val="Normal"/>
    <w:next w:val="Bibliography"/>
    <w:qFormat/>
    <w:pPr>
      <w:keepNext w:val="0"/>
      <w:widowControl/>
      <w:spacing w:after="20" w:before="0" w:line="228" w:lineRule="auto"/>
      <w:ind w:left="360" w:hanging="360"/>
      <w:jc w:val="left"/>
    </w:pPr>
    <w:rPr>
      <w:rFonts w:ascii="Times New Roman" w:cs="Times New Roman" w:eastAsia="Times New Roman" w:hAnsi="Times New Roman"/>
      <w:b w:val="0"/>
      <w:i w:val="0"/>
      <w:color w:val="000000"/>
      <w:sz w:val="16"/>
    </w:rPr>
  </w:style>
  <w:style w:styleId="Heading1" w:type="paragraph">
    <w:name w:val="heading 1"/>
    <w:basedOn w:val="Normal"/>
    <w:next w:val="BodyText"/>
    <w:link w:val="Heading1Char"/>
    <w:uiPriority w:val="9"/>
    <w:qFormat/>
    <w:rsid w:val="00A10FD9"/>
    <w:pPr>
      <w:keepNext/>
      <w:keepLines/>
      <w:widowControl/>
      <w:spacing w:after="120" w:before="280" w:line="240" w:lineRule="auto"/>
      <w:outlineLvl w:val="0"/>
    </w:pPr>
    <w:rPr>
      <w:rFonts w:ascii="Times New Roman" w:asciiTheme="majorHAnsi" w:cs="Times New Roman" w:cstheme="majorBidi" w:eastAsia="Times New Roman" w:eastAsiaTheme="majorEastAsia" w:hAnsi="Times New Roman" w:hAnsiTheme="majorHAnsi"/>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200" w:line="240" w:lineRule="auto"/>
      <w:outlineLvl w:val="1"/>
    </w:pPr>
    <w:rPr>
      <w:rFonts w:ascii="Times New Roman" w:asciiTheme="majorHAnsi" w:cs="Times New Roman" w:cstheme="majorBidi" w:eastAsia="Times New Roman" w:eastAsiaTheme="majorEastAsia" w:hAnsi="Times New Roman" w:hAnsiTheme="majorHAnsi"/>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widowControl/>
      <w:spacing w:after="60" w:before="160" w:line="240" w:lineRule="auto"/>
      <w:outlineLvl w:val="2"/>
    </w:pPr>
    <w:rPr>
      <w:rFonts w:ascii="Times New Roman" w:cs="Times New Roman" w:cstheme="majorBidi" w:eastAsia="Times New Roman" w:eastAsiaTheme="majorEastAsia" w:hAnsi="Times New Roman"/>
      <w:b/>
      <w:i/>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widowControl/>
      <w:spacing w:after="80" w:before="120" w:line="240" w:lineRule="auto"/>
      <w:jc w:val="left"/>
    </w:pPr>
    <w:rPr>
      <w:rFonts w:ascii="Times New Roman" w:cs="Times New Roman" w:eastAsia="Times New Roman" w:hAnsi="Times New Roman"/>
      <w:b w:val="0"/>
      <w:i/>
      <w:color w:val="000000"/>
      <w:sz w:val="18"/>
    </w:rPr>
  </w:style>
  <w:style w:customStyle="1" w:styleId="TableCaption" w:type="paragraph">
    <w:name w:val="Table Caption"/>
    <w:basedOn w:val="Caption"/>
    <w:pPr>
      <w:keepNext/>
      <w:widowControl/>
      <w:spacing w:after="80" w:before="120" w:line="240" w:lineRule="auto"/>
      <w:jc w:val="left"/>
    </w:pPr>
    <w:rPr>
      <w:rFonts w:ascii="Times New Roman" w:cs="Times New Roman" w:eastAsia="Times New Roman" w:hAnsi="Times New Roman"/>
      <w:b w:val="0"/>
      <w:i/>
      <w:color w:val="000000"/>
      <w:sz w:val="18"/>
    </w:rPr>
  </w:style>
  <w:style w:customStyle="1" w:styleId="ImageCaption" w:type="paragraph">
    <w:name w:val="Image Caption"/>
    <w:basedOn w:val="Caption"/>
    <w:pPr>
      <w:keepNext w:val="0"/>
      <w:widowControl/>
      <w:spacing w:after="160" w:before="60" w:line="240" w:lineRule="auto"/>
      <w:jc w:val="both"/>
    </w:pPr>
    <w:rPr>
      <w:rFonts w:ascii="Times New Roman" w:cs="Times New Roman" w:eastAsia="Times New Roman" w:hAnsi="Times New Roman"/>
      <w:b w:val="0"/>
      <w:i/>
      <w:color w:val="000000"/>
      <w:sz w:val="18"/>
    </w:rPr>
  </w:style>
  <w:style w:customStyle="1" w:styleId="Figure" w:type="paragraph">
    <w:name w:val="Figure"/>
    <w:basedOn w:val="Normal"/>
  </w:style>
  <w:style w:customStyle="1" w:styleId="CaptionedFigure" w:type="paragraph">
    <w:name w:val="Captioned Figure"/>
    <w:basedOn w:val="Figure"/>
    <w:pPr>
      <w:keepNext/>
      <w:widowControl/>
      <w:spacing w:after="0" w:before="0" w:line="240" w:lineRule="auto"/>
      <w:jc w:val="center"/>
    </w:pPr>
    <w:rPr>
      <w:rFonts w:ascii="Times New Roman" w:cs="Times New Roman" w:eastAsia="Times New Roman" w:hAnsi="Times New Roman"/>
      <w:b w:val="0"/>
      <w:i w:val="0"/>
      <w:color w:val="000000"/>
      <w:sz w:val="18"/>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keepNext w:val="0"/>
      <w:widowControl/>
      <w:wordWrap w:val="off"/>
      <w:spacing w:after="60" w:before="0" w:line="240" w:lineRule="auto"/>
    </w:pPr>
    <w:rPr>
      <w:rFonts w:ascii="Courier New" w:cs="Times New Roman" w:eastAsia="Times New Roman" w:hAnsi="Courier New"/>
      <w:b w:val="0"/>
      <w:i w:val="0"/>
      <w:color w:val="000000"/>
      <w:sz w:val="17"/>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9" Type="http://schemas.openxmlformats.org/officeDocument/2006/relationships/footer" Target="footer1.xml"/><Relationship Id="rId27" Type="http://schemas.openxmlformats.org/officeDocument/2006/relationships/image" Target="media/rId27.pdf"/><Relationship Id="rId43" Type="http://schemas.openxmlformats.org/officeDocument/2006/relationships/image" Target="media/rId43.pdf"/><Relationship Id="rId52" Type="http://schemas.openxmlformats.org/officeDocument/2006/relationships/image" Target="media/rId52.pdf"/><Relationship Id="rId57" Type="http://schemas.openxmlformats.org/officeDocument/2006/relationships/image" Target="media/rId57.pdf"/><Relationship Id="rId61" Type="http://schemas.openxmlformats.org/officeDocument/2006/relationships/image" Target="media/rId61.pdf"/><Relationship Id="rId65" Type="http://schemas.openxmlformats.org/officeDocument/2006/relationships/image" Target="media/rId65.pdf"/><Relationship Id="rId69" Type="http://schemas.openxmlformats.org/officeDocument/2006/relationships/image" Target="media/rId69.pdf"/><Relationship Id="rId74" Type="http://schemas.openxmlformats.org/officeDocument/2006/relationships/image" Target="media/rId74.pdf"/><Relationship Id="rId96" Type="http://schemas.openxmlformats.org/officeDocument/2006/relationships/hyperlink" Target="https://datahub.ren.pt/en/networks/electrical-grid/" TargetMode="External"/><Relationship Id="rId124" Type="http://schemas.openxmlformats.org/officeDocument/2006/relationships/hyperlink" Target="https://doi.org/10.1016/j.compenvurbsys.2026.102495" TargetMode="External"/><Relationship Id="rId86" Type="http://schemas.openxmlformats.org/officeDocument/2006/relationships/hyperlink" Target="https://doi.org/10.1016/j.esr.2018.08.012" TargetMode="External"/><Relationship Id="rId90" Type="http://schemas.openxmlformats.org/officeDocument/2006/relationships/hyperlink" Target="https://doi.org/10.1038/s41597-025-04550-7" TargetMode="External"/><Relationship Id="rId84" Type="http://schemas.openxmlformats.org/officeDocument/2006/relationships/hyperlink" Target="https://doi.org/10.1109/TPWRS.2018.2829021" TargetMode="External"/><Relationship Id="rId88" Type="http://schemas.openxmlformats.org/officeDocument/2006/relationships/hyperlink" Target="https://doi.org/10.3390/en13123290" TargetMode="External"/><Relationship Id="rId104" Type="http://schemas.openxmlformats.org/officeDocument/2006/relationships/hyperlink" Target="https://download.geofabrik.de/europe/portugal.html" TargetMode="External"/><Relationship Id="rId132" Type="http://schemas.openxmlformats.org/officeDocument/2006/relationships/hyperlink" Target="https://e-redes.opendatasoft.com/explore/dataset/3-consumos-faturados-por-municipio-ultimos-10-anos/" TargetMode="External"/><Relationship Id="rId134" Type="http://schemas.openxmlformats.org/officeDocument/2006/relationships/hyperlink" Target="https://e-redes.opendatasoft.com/explore/dataset/carga-na-subestacao/" TargetMode="External"/><Relationship Id="rId126" Type="http://schemas.openxmlformats.org/officeDocument/2006/relationships/hyperlink" Target="https://e-redes.opendatasoft.com/explore/dataset/consumo-total-nacional/" TargetMode="External"/><Relationship Id="rId128" Type="http://schemas.openxmlformats.org/officeDocument/2006/relationships/hyperlink" Target="https://e-redes.opendatasoft.com/explore/dataset/energia-injetada-na-rede-de-distribuicao/" TargetMode="External"/><Relationship Id="rId130" Type="http://schemas.openxmlformats.org/officeDocument/2006/relationships/hyperlink" Target="https://e-redes.opendatasoft.com/explore/dataset/energia-produzida-total-nacional/" TargetMode="External"/><Relationship Id="rId94" Type="http://schemas.openxmlformats.org/officeDocument/2006/relationships/hyperlink" Target="https://e-redes.opendatasoft.com/pages/rnd/" TargetMode="External"/><Relationship Id="rId112" Type="http://schemas.openxmlformats.org/officeDocument/2006/relationships/hyperlink" Target="https://gisco-services.ec.europa.eu/distribution/v2/countries/" TargetMode="External"/><Relationship Id="rId81" Type="http://schemas.openxmlformats.org/officeDocument/2006/relationships/hyperlink" Target="https://github.com/MingLeiZhou/PortugueseOPD/releases/tag/SimPT60-2026.09.21-r1" TargetMode="External"/><Relationship Id="rId114" Type="http://schemas.openxmlformats.org/officeDocument/2006/relationships/hyperlink" Target="https://openinframap.org/about" TargetMode="External"/><Relationship Id="rId118" Type="http://schemas.openxmlformats.org/officeDocument/2006/relationships/hyperlink" Target="https://siaia.apambiente.pt/AIADOC/AIA3274/projeto%20linha%20eletrica%20pe%20tocha%20ii2019729153214.pdf" TargetMode="External"/><Relationship Id="rId106" Type="http://schemas.openxmlformats.org/officeDocument/2006/relationships/hyperlink" Target="https://siaia.apambiente.pt/AIADOC/AIA3403/parecerca_3403202192134944.pdf" TargetMode="External"/><Relationship Id="rId110" Type="http://schemas.openxmlformats.org/officeDocument/2006/relationships/hyperlink" Target="https://siaia.apambiente.pt/PosAvaliacao/DetalhesPosAvaliacao/407" TargetMode="External"/><Relationship Id="rId108" Type="http://schemas.openxmlformats.org/officeDocument/2006/relationships/hyperlink" Target="https://siaia.apambiente.pt/PosAvaliacao/DetalhesPosAvaliacao/421" TargetMode="External"/><Relationship Id="rId92" Type="http://schemas.openxmlformats.org/officeDocument/2006/relationships/hyperlink" Target="https://www.dgeg.gov.pt/media/54fldci3/pnec2030_para_aprov_ar.pdf" TargetMode="External"/><Relationship Id="rId98" Type="http://schemas.openxmlformats.org/officeDocument/2006/relationships/hyperlink" Target="https://www.dgeg.gov.pt/pt/servicos-online/setor-energetico/" TargetMode="External"/><Relationship Id="rId116" Type="http://schemas.openxmlformats.org/officeDocument/2006/relationships/hyperlink" Target="https://www.erse.pt/media/340hrot0/proposta-pdird-e-2020_anexo_b.pdf" TargetMode="External"/><Relationship Id="rId122" Type="http://schemas.openxmlformats.org/officeDocument/2006/relationships/hyperlink" Target="https://www.erse.pt/media/b1edmm30/proposta_pdirt_e_2015_anexos.pdf" TargetMode="External"/><Relationship Id="rId100" Type="http://schemas.openxmlformats.org/officeDocument/2006/relationships/hyperlink" Target="https://www.erse.pt/media/lx5n5kao/pdirt-2025-2034-proposta-inicial-vol-i-anexos-1-a-16.pdf" TargetMode="External"/><Relationship Id="rId102" Type="http://schemas.openxmlformats.org/officeDocument/2006/relationships/hyperlink" Target="https://www.openstreetmap.org/copyright" TargetMode="External"/><Relationship Id="rId120" Type="http://schemas.openxmlformats.org/officeDocument/2006/relationships/hyperlink" Target="https://www.ree.es/sites/default/files/jgk4byy3ukct.pdf" TargetMode="External"/></Relationships>
</file>

<file path=word/_rels/footnotes.xml.rels><?xml version='1.0' encoding='UTF-8' standalone='yes'?>
<Relationships xmlns="http://schemas.openxmlformats.org/package/2006/relationships"><Relationship Id="rId96" Type="http://schemas.openxmlformats.org/officeDocument/2006/relationships/hyperlink" Target="https://datahub.ren.pt/en/networks/electrical-grid/" TargetMode="External"/><Relationship Id="rId124" Type="http://schemas.openxmlformats.org/officeDocument/2006/relationships/hyperlink" Target="https://doi.org/10.1016/j.compenvurbsys.2026.102495" TargetMode="External"/><Relationship Id="rId86" Type="http://schemas.openxmlformats.org/officeDocument/2006/relationships/hyperlink" Target="https://doi.org/10.1016/j.esr.2018.08.012" TargetMode="External"/><Relationship Id="rId90" Type="http://schemas.openxmlformats.org/officeDocument/2006/relationships/hyperlink" Target="https://doi.org/10.1038/s41597-025-04550-7" TargetMode="External"/><Relationship Id="rId84" Type="http://schemas.openxmlformats.org/officeDocument/2006/relationships/hyperlink" Target="https://doi.org/10.1109/TPWRS.2018.2829021" TargetMode="External"/><Relationship Id="rId88" Type="http://schemas.openxmlformats.org/officeDocument/2006/relationships/hyperlink" Target="https://doi.org/10.3390/en13123290" TargetMode="External"/><Relationship Id="rId104" Type="http://schemas.openxmlformats.org/officeDocument/2006/relationships/hyperlink" Target="https://download.geofabrik.de/europe/portugal.html" TargetMode="External"/><Relationship Id="rId132" Type="http://schemas.openxmlformats.org/officeDocument/2006/relationships/hyperlink" Target="https://e-redes.opendatasoft.com/explore/dataset/3-consumos-faturados-por-municipio-ultimos-10-anos/" TargetMode="External"/><Relationship Id="rId134" Type="http://schemas.openxmlformats.org/officeDocument/2006/relationships/hyperlink" Target="https://e-redes.opendatasoft.com/explore/dataset/carga-na-subestacao/" TargetMode="External"/><Relationship Id="rId126" Type="http://schemas.openxmlformats.org/officeDocument/2006/relationships/hyperlink" Target="https://e-redes.opendatasoft.com/explore/dataset/consumo-total-nacional/" TargetMode="External"/><Relationship Id="rId128" Type="http://schemas.openxmlformats.org/officeDocument/2006/relationships/hyperlink" Target="https://e-redes.opendatasoft.com/explore/dataset/energia-injetada-na-rede-de-distribuicao/" TargetMode="External"/><Relationship Id="rId130" Type="http://schemas.openxmlformats.org/officeDocument/2006/relationships/hyperlink" Target="https://e-redes.opendatasoft.com/explore/dataset/energia-produzida-total-nacional/" TargetMode="External"/><Relationship Id="rId94" Type="http://schemas.openxmlformats.org/officeDocument/2006/relationships/hyperlink" Target="https://e-redes.opendatasoft.com/pages/rnd/" TargetMode="External"/><Relationship Id="rId112" Type="http://schemas.openxmlformats.org/officeDocument/2006/relationships/hyperlink" Target="https://gisco-services.ec.europa.eu/distribution/v2/countries/" TargetMode="External"/><Relationship Id="rId81" Type="http://schemas.openxmlformats.org/officeDocument/2006/relationships/hyperlink" Target="https://github.com/MingLeiZhou/PortugueseOPD/releases/tag/SimPT60-2026.09.21-r1" TargetMode="External"/><Relationship Id="rId114" Type="http://schemas.openxmlformats.org/officeDocument/2006/relationships/hyperlink" Target="https://openinframap.org/about" TargetMode="External"/><Relationship Id="rId118" Type="http://schemas.openxmlformats.org/officeDocument/2006/relationships/hyperlink" Target="https://siaia.apambiente.pt/AIADOC/AIA3274/projeto%20linha%20eletrica%20pe%20tocha%20ii2019729153214.pdf" TargetMode="External"/><Relationship Id="rId106" Type="http://schemas.openxmlformats.org/officeDocument/2006/relationships/hyperlink" Target="https://siaia.apambiente.pt/AIADOC/AIA3403/parecerca_3403202192134944.pdf" TargetMode="External"/><Relationship Id="rId110" Type="http://schemas.openxmlformats.org/officeDocument/2006/relationships/hyperlink" Target="https://siaia.apambiente.pt/PosAvaliacao/DetalhesPosAvaliacao/407" TargetMode="External"/><Relationship Id="rId108" Type="http://schemas.openxmlformats.org/officeDocument/2006/relationships/hyperlink" Target="https://siaia.apambiente.pt/PosAvaliacao/DetalhesPosAvaliacao/421" TargetMode="External"/><Relationship Id="rId92" Type="http://schemas.openxmlformats.org/officeDocument/2006/relationships/hyperlink" Target="https://www.dgeg.gov.pt/media/54fldci3/pnec2030_para_aprov_ar.pdf" TargetMode="External"/><Relationship Id="rId98" Type="http://schemas.openxmlformats.org/officeDocument/2006/relationships/hyperlink" Target="https://www.dgeg.gov.pt/pt/servicos-online/setor-energetico/" TargetMode="External"/><Relationship Id="rId116" Type="http://schemas.openxmlformats.org/officeDocument/2006/relationships/hyperlink" Target="https://www.erse.pt/media/340hrot0/proposta-pdird-e-2020_anexo_b.pdf" TargetMode="External"/><Relationship Id="rId122" Type="http://schemas.openxmlformats.org/officeDocument/2006/relationships/hyperlink" Target="https://www.erse.pt/media/b1edmm30/proposta_pdirt_e_2015_anexos.pdf" TargetMode="External"/><Relationship Id="rId100" Type="http://schemas.openxmlformats.org/officeDocument/2006/relationships/hyperlink" Target="https://www.erse.pt/media/lx5n5kao/pdirt-2025-2034-proposta-inicial-vol-i-anexos-1-a-16.pdf" TargetMode="External"/><Relationship Id="rId102" Type="http://schemas.openxmlformats.org/officeDocument/2006/relationships/hyperlink" Target="https://www.openstreetmap.org/copyright" TargetMode="External"/><Relationship Id="rId120" Type="http://schemas.openxmlformats.org/officeDocument/2006/relationships/hyperlink" Target="https://www.ree.es/sites/default/files/jgk4byy3ukct.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traceable time-series power-flow dataset for Portugal's high-voltage grid</dc:title>
  <dc:creator/>
  <cp:keywords/>
  <dcterms:created xsi:type="dcterms:W3CDTF">2026-09-21T15:53:59Z</dcterms:created>
  <dcterms:modified xsi:type="dcterms:W3CDTF">2026-09-21T15:53:59Z</dcterms:modified>
  <cp:lastModifiedBy/>
  <dc:description>Editable submission manuscript export</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Publicly accessible power-system data are commonly fragmented across network structure, equipment attributes, and operating records, which limits their direct use in continuous power-flow analysis and method comparison. We present SimPT60, a research dataset reconstructed from multiple public sources for the continental Portuguese 60–400 kV grid and the Portugal–Spain interconnection boundary. SimPT60 organizes the static network, operating time series, and alternating-current power-flow results in a unified data framework. It provides continuous 15-minute operating cases, source-level provenance, and validation products for assessing model consistency. The dataset supports time-series power-flow studies, scenario comparison, relative-risk screening, and testing of grid-analysis algorithms. Its research utility is demonstrated using E-REDES public datasets that were withheld from nodal-power construction, parameter-sensitivity experiments, and single-element (N−1) contingency screening. SimPT60 is a public-data-derived research model and has not been validated as an operator network model at equipment level.</vt:lpwstr>
  </property>
  <property fmtid="{D5CDD505-2E9C-101B-9397-08002B2CF9AE}" pid="3" name="bibliography">
    <vt:lpwstr>paper/references_final.bib</vt:lpwstr>
  </property>
  <property fmtid="{D5CDD505-2E9C-101B-9397-08002B2CF9AE}" pid="4" name="csl">
    <vt:lpwstr>paper/nature.csl</vt:lpwstr>
  </property>
  <property fmtid="{D5CDD505-2E9C-101B-9397-08002B2CF9AE}" pid="5" name="date">
    <vt:lpwstr/>
  </property>
  <property fmtid="{D5CDD505-2E9C-101B-9397-08002B2CF9AE}" pid="6" name="link-citations">
    <vt:lpwstr>False</vt:lpwstr>
  </property>
  <property fmtid="{D5CDD505-2E9C-101B-9397-08002B2CF9AE}" pid="7" name="reference-section-title">
    <vt:lpwstr>References</vt:lpwstr>
  </property>
</Properties>
</file>