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2.png" ContentType="image/png"/>
  <Override PartName="/word/media/rId5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provenance-tracked candidate dataset for Portuguese 60 kV topology reconstruction</w:t>
      </w:r>
    </w:p>
    <w:p>
      <w:pPr>
        <w:pStyle w:val="Author"/>
      </w:pPr>
      <w:r>
        <w:t xml:space="preserve">Author details to be finalized before submission</w:t>
      </w:r>
    </w:p>
    <w:p>
      <w:pPr>
        <w:pStyle w:val="Date"/>
      </w:pPr>
      <w:r>
        <w:t xml:space="preserve">July 2026</w:t>
      </w:r>
    </w:p>
    <w:p>
      <w:pPr>
        <w:pStyle w:val="AbstractTitle"/>
      </w:pPr>
      <w:r>
        <w:t xml:space="preserve">Abstract</w:t>
      </w:r>
    </w:p>
    <w:p>
      <w:pPr>
        <w:pStyle w:val="Abstract"/>
      </w:pPr>
      <w:r>
        <w:t xml:space="preserve">Public distribution-network records rarely provide explicit bus–branch topology. We present</w:t>
      </w:r>
      <w:r>
        <w:t xml:space="preserve"> </w:t>
      </w:r>
      <w:r>
        <w:rPr>
          <w:smallCaps/>
        </w:rPr>
        <w:t xml:space="preserve">PT60-Candidate</w:t>
      </w:r>
      <w:r>
        <w:t xml:space="preserve">, a provenance-tracked candidate dataset for the Portuguese E-REDES 60 kV layer and its fail-closed construction pipeline. From 5,334 line features and 586 facility records, the selected configuration yields 1,342 classified circuit candidates: 358 retained inter-facility branches and 984 downgraded or rejected records with reasons. Version 1.0.1 includes a 484-node multigraph, 216-configuration sensitivity sweep, source manifests, machine-readable schemas, a field-level data dictionary, checksums, and branch-level public evidence derived from OpenStreetMap (OSM). Internal validation tests geometry, identifiers, graph–table parity, schema coverage, missingness, and archive integrity. Endpoint-name permutation and displaced-geometry controls reduce corresponding OSM-evidence rates by 95.1% and 99.7%, testing matcher selectivity rather than topology accuracy. The dataset is not operator validated, precision and recall are unavailable, and electrical parameters remain incomplete. It supports topology-reconstruction, provenance, geospatial-integration, and interface research, not operational grid studies. Versioned data and code are provided separately.</w:t>
      </w:r>
    </w:p>
    <w:p>
      <w:pPr>
        <w:pStyle w:val="FirstParagraph"/>
      </w:pPr>
      <w:r>
        <w:rPr>
          <w:b/>
          <w:bCs/>
        </w:rPr>
        <w:t xml:space="preserve">Keywords:</w:t>
      </w:r>
      <w:r>
        <w:t xml:space="preserve"> </w:t>
      </w:r>
      <w:r>
        <w:t xml:space="preserve">power-grid dataset; data provenance; topology reconstruction; distribution networks; technical validation; open data</w:t>
      </w:r>
    </w:p>
    <w:bookmarkStart w:id="20" w:name="background-summary"/>
    <w:p>
      <w:pPr>
        <w:pStyle w:val="Heading1"/>
      </w:pPr>
      <w:r>
        <w:t xml:space="preserve">Background &amp; Summary</w:t>
      </w:r>
    </w:p>
    <w:p>
      <w:pPr>
        <w:pStyle w:val="FirstParagraph"/>
      </w:pPr>
      <w:r>
        <w:t xml:space="preserve">Public distribution-network portals can support geospatial and data-integration studies, but the released records rarely correspond directly to an auditable bus–branch dataset. Connectivity must usually be inferred from facility locations and line geometries, while electrical parameters, switching states, and operating conditions remain incomplete or unavailable. In this setting, a reusable dataset should not only publish retained candidate connections; it should also preserve how those candidates were constructed, what evidence supports them, and which fields remain unknown or diagnostic.</w:t>
      </w:r>
    </w:p>
    <w:p>
      <w:pPr>
        <w:pStyle w:val="BodyText"/>
      </w:pPr>
      <w:r>
        <w:rPr>
          <w:smallCaps/>
        </w:rPr>
        <w:t xml:space="preserve">PT60-Candidate</w:t>
      </w:r>
      <w:r>
        <w:t xml:space="preserve"> </w:t>
      </w:r>
      <w:r>
        <w:t xml:space="preserve">was assembled to provide such a resource for a Portuguese E-REDES 60 kV layer. The release is explicitly a</w:t>
      </w:r>
      <w:r>
        <w:t xml:space="preserve"> </w:t>
      </w:r>
      <w:r>
        <w:rPr>
          <w:i/>
          <w:iCs/>
        </w:rPr>
        <w:t xml:space="preserve">candidate</w:t>
      </w:r>
      <w:r>
        <w:t xml:space="preserve"> </w:t>
      </w:r>
      <w:r>
        <w:t xml:space="preserve">dataset. It does not represent an operator-confirmed connectivity model, a national Portuguese grid model, or a validated electrical operating case. Instead, it provides a provenance-tracked reconstruction product in which retained branches, downgraded circuits, release manifests, validation outputs, and downstream interface contracts remain inspectable as part of the data record.</w:t>
      </w:r>
    </w:p>
    <w:p>
      <w:pPr>
        <w:pStyle w:val="BodyText"/>
      </w:pPr>
      <w:r>
        <w:t xml:space="preserve">The release contains three closely related resource types. First, it provides a core topology layer composed of retained inter-facility branches, an all-facility multigraph, and a complete circuit-classification ledger. Second, it provides validation and provenance records, including a reconstruction-sensitivity sweep, a source manifest, public-source audits, negative controls, and branch-level triangulation outputs. Third, it provides a schema package, field-level data dictionary, join documentation, manifest, checksums, and responsible-use metadata so that the core records can be interpreted without the development repository.</w:t>
      </w:r>
    </w:p>
    <w:p>
      <w:pPr>
        <w:pStyle w:val="BodyText"/>
      </w:pPr>
      <w:r>
        <w:t xml:space="preserve">This framing differs from a conventional engineering paper. The central contribution is a documented candidate dataset and its validation boundaries, not algorithmic novelty or predictive superiority. European open-grid resources demonstrate the reuse value of transparent model construction and standardized public records</w:t>
      </w:r>
      <w:r>
        <w:rPr>
          <w:vertAlign w:val="superscript"/>
        </w:rPr>
        <w:t xml:space="preserve">1–4</w:t>
      </w:r>
      <w:r>
        <w:t xml:space="preserve">; OSM-based reconstruction studies also show that public geometry requires explicit topology-building assumptions</w:t>
      </w:r>
      <w:r>
        <w:rPr>
          <w:vertAlign w:val="superscript"/>
        </w:rPr>
        <w:t xml:space="preserve">5,6</w:t>
      </w:r>
      <w:r>
        <w:t xml:space="preserve">. Dataset documentation and FAIR practice motivate the release of provenance, field semantics, identifiers, and reuse constraints alongside the data</w:t>
      </w:r>
      <w:r>
        <w:rPr>
          <w:vertAlign w:val="superscript"/>
        </w:rPr>
        <w:t xml:space="preserve">7,8</w:t>
      </w:r>
      <w:r>
        <w:t xml:space="preserve">.</w:t>
      </w:r>
      <w:r>
        <w:t xml:space="preserve"> </w:t>
      </w:r>
      <w:r>
        <w:rPr>
          <w:smallCaps/>
        </w:rPr>
        <w:t xml:space="preserve">PT60-Candidate</w:t>
      </w:r>
      <w:r>
        <w:t xml:space="preserve"> </w:t>
      </w:r>
      <w:r>
        <w:t xml:space="preserve">applies these principles to a Portuguese 60 kV distribution-layer reconstruction while exposing rejected circuits and semantic status fields.</w:t>
      </w:r>
    </w:p>
    <w:bookmarkEnd w:id="20"/>
    <w:bookmarkStart w:id="37" w:name="methods"/>
    <w:p>
      <w:pPr>
        <w:pStyle w:val="Heading1"/>
      </w:pPr>
      <w:r>
        <w:t xml:space="preserve">Methods</w:t>
      </w:r>
    </w:p>
    <w:bookmarkStart w:id="23" w:name="source-datasets"/>
    <w:p>
      <w:pPr>
        <w:pStyle w:val="Heading2"/>
      </w:pPr>
      <w:r>
        <w:t xml:space="preserve">Source datasets</w:t>
      </w:r>
    </w:p>
    <w:p>
      <w:pPr>
        <w:pStyle w:val="FirstParagraph"/>
      </w:pPr>
      <w:r>
        <w:t xml:space="preserve">The source snapshot combines AT line geometries, AT substations, switching facilities, MT-substation context, network-characteristics tables, substation-load records, reception-capacity context, and load-diagram indices from the E-REDES Open Data Portal</w:t>
      </w:r>
      <w:r>
        <w:rPr>
          <w:vertAlign w:val="superscript"/>
        </w:rPr>
        <w:t xml:space="preserve">9</w:t>
      </w:r>
      <w:r>
        <w:t xml:space="preserve">. Table </w:t>
      </w:r>
      <w:hyperlink w:anchor="tab:source-inputs">
        <w:r>
          <w:rPr>
            <w:rStyle w:val="Hyperlink"/>
          </w:rPr>
          <w:t xml:space="preserve">1</w:t>
        </w:r>
      </w:hyperlink>
      <w:r>
        <w:t xml:space="preserve"> </w:t>
      </w:r>
      <w:r>
        <w:t xml:space="preserve">identifies the three topology-critical inputs; the 13-source inventory and exact legacy catalog, portal, CSV, and GeoJSON URLs are preserved in</w:t>
      </w:r>
      <w:r>
        <w:t xml:space="preserve"> </w:t>
      </w:r>
      <w:r>
        <w:rPr>
          <w:rStyle w:val="VerbatimChar"/>
        </w:rPr>
        <w:t xml:space="preserve">provenance/reproduction_source_manifest.json</w:t>
      </w:r>
      <w:r>
        <w:t xml:space="preserve">. For example, the line metadata route was</w:t>
      </w:r>
      <w:r>
        <w:t xml:space="preserve"> </w:t>
      </w:r>
      <w:hyperlink r:id="rId21">
        <w:r>
          <w:rPr>
            <w:rStyle w:val="Hyperlink"/>
          </w:rPr>
          <w:t xml:space="preserve">https://e-redes.opendatasoft.com/api/explore/v2.1/catalog/datasets/rede-at-teste</w:t>
        </w:r>
      </w:hyperlink>
      <w:r>
        <w:t xml:space="preserve">; the other routes substitute the identifiers shown in the table. The final reacquisition audit on 14 July 2026 returned HTTP 404 for all four recorded routes for each topology-critical dataset.</w:t>
      </w:r>
    </w:p>
    <w:bookmarkStart w:id="22" w:name="tab:source-inputs"/>
    <w:p>
      <w:pPr>
        <w:pStyle w:val="TableCaption"/>
      </w:pPr>
      <w:r>
        <w:t xml:space="preserve">Topology-critical E-REDES inputs. Record counts and snapshot checks are frozen provenance values; the final column records the later clean-room URL audit, not the historical response.</w:t>
      </w:r>
    </w:p>
    <w:tbl>
      <w:tblPr>
        <w:tblStyle w:val="Table"/>
        <w:tblW w:type="auto" w:w="0"/>
        <w:tblLook w:firstRow="1" w:lastRow="0" w:firstColumn="0" w:lastColumn="0" w:noHBand="0" w:noVBand="0" w:val="0020"/>
        <w:tblCaption w:val="Topology-critical E-REDES inputs. Record counts and snapshot checks are frozen provenance values; the final column records the later clean-room URL audit, not the historical response."/>
      </w:tblPr>
      <w:tblGrid>
        <w:gridCol w:w="1584"/>
        <w:gridCol w:w="1584"/>
        <w:gridCol w:w="1584"/>
        <w:gridCol w:w="1584"/>
        <w:gridCol w:w="1584"/>
      </w:tblGrid>
      <w:tr>
        <w:trPr>
          <w:tblHeader w:val="on"/>
        </w:trPr>
        <w:tc>
          <w:tcPr/>
          <w:p>
            <w:pPr>
              <w:pStyle w:val="Compact"/>
              <w:jc w:val="left"/>
            </w:pPr>
            <w:r>
              <w:t xml:space="preserve">Portal identifier</w:t>
            </w:r>
          </w:p>
        </w:tc>
        <w:tc>
          <w:tcPr/>
          <w:p>
            <w:pPr>
              <w:pStyle w:val="Compact"/>
              <w:jc w:val="right"/>
            </w:pPr>
            <w:r>
              <w:t xml:space="preserve">Records</w:t>
            </w:r>
          </w:p>
        </w:tc>
        <w:tc>
          <w:tcPr/>
          <w:p>
            <w:pPr>
              <w:pStyle w:val="Compact"/>
              <w:jc w:val="left"/>
            </w:pPr>
            <w:r>
              <w:t xml:space="preserve">Snapshot date</w:t>
            </w:r>
          </w:p>
        </w:tc>
        <w:tc>
          <w:tcPr/>
          <w:p>
            <w:pPr>
              <w:pStyle w:val="Compact"/>
              <w:jc w:val="left"/>
            </w:pPr>
            <w:r>
              <w:t xml:space="preserve">Role</w:t>
            </w:r>
          </w:p>
        </w:tc>
        <w:tc>
          <w:tcPr/>
          <w:p>
            <w:pPr>
              <w:pStyle w:val="Compact"/>
              <w:jc w:val="left"/>
            </w:pPr>
            <w:r>
              <w:t xml:space="preserve">Recheck</w:t>
            </w:r>
          </w:p>
        </w:tc>
      </w:tr>
      <w:tr>
        <w:tc>
          <w:tcPr/>
          <w:p>
            <w:pPr>
              <w:pStyle w:val="Compact"/>
              <w:jc w:val="left"/>
            </w:pPr>
            <w:r>
              <w:rPr>
                <w:rStyle w:val="VerbatimChar"/>
              </w:rPr>
              <w:t xml:space="preserve">rede-at-teste</w:t>
            </w:r>
          </w:p>
        </w:tc>
        <w:tc>
          <w:tcPr/>
          <w:p>
            <w:pPr>
              <w:pStyle w:val="Compact"/>
              <w:jc w:val="right"/>
            </w:pPr>
            <w:r>
              <w:t xml:space="preserve">5,334</w:t>
            </w:r>
          </w:p>
        </w:tc>
        <w:tc>
          <w:tcPr/>
          <w:p>
            <w:pPr>
              <w:pStyle w:val="Compact"/>
              <w:jc w:val="left"/>
            </w:pPr>
            <w:r>
              <w:t xml:space="preserve">2026-07-13</w:t>
            </w:r>
          </w:p>
        </w:tc>
        <w:tc>
          <w:tcPr/>
          <w:p>
            <w:pPr>
              <w:pStyle w:val="Compact"/>
              <w:jc w:val="left"/>
            </w:pPr>
            <w:r>
              <w:t xml:space="preserve">AT line geometries</w:t>
            </w:r>
          </w:p>
        </w:tc>
        <w:tc>
          <w:tcPr/>
          <w:p>
            <w:pPr>
              <w:pStyle w:val="Compact"/>
              <w:jc w:val="left"/>
            </w:pPr>
            <w:r>
              <w:t xml:space="preserve">HTTP 404</w:t>
            </w:r>
          </w:p>
        </w:tc>
      </w:tr>
      <w:tr>
        <w:tc>
          <w:tcPr/>
          <w:p>
            <w:pPr>
              <w:pStyle w:val="Compact"/>
              <w:jc w:val="left"/>
            </w:pPr>
            <w:r>
              <w:rPr>
                <w:rStyle w:val="VerbatimChar"/>
              </w:rPr>
              <w:t xml:space="preserve">se-at_2025</w:t>
            </w:r>
          </w:p>
        </w:tc>
        <w:tc>
          <w:tcPr/>
          <w:p>
            <w:pPr>
              <w:pStyle w:val="Compact"/>
              <w:jc w:val="right"/>
            </w:pPr>
            <w:r>
              <w:t xml:space="preserve">410</w:t>
            </w:r>
          </w:p>
        </w:tc>
        <w:tc>
          <w:tcPr/>
          <w:p>
            <w:pPr>
              <w:pStyle w:val="Compact"/>
              <w:jc w:val="left"/>
            </w:pPr>
            <w:r>
              <w:t xml:space="preserve">2026-07-13</w:t>
            </w:r>
          </w:p>
        </w:tc>
        <w:tc>
          <w:tcPr/>
          <w:p>
            <w:pPr>
              <w:pStyle w:val="Compact"/>
              <w:jc w:val="left"/>
            </w:pPr>
            <w:r>
              <w:t xml:space="preserve">AT substation facilities</w:t>
            </w:r>
          </w:p>
        </w:tc>
        <w:tc>
          <w:tcPr/>
          <w:p>
            <w:pPr>
              <w:pStyle w:val="Compact"/>
              <w:jc w:val="left"/>
            </w:pPr>
            <w:r>
              <w:t xml:space="preserve">HTTP 404</w:t>
            </w:r>
          </w:p>
        </w:tc>
      </w:tr>
      <w:tr>
        <w:tc>
          <w:tcPr/>
          <w:p>
            <w:pPr>
              <w:pStyle w:val="Compact"/>
              <w:jc w:val="left"/>
            </w:pPr>
            <w:r>
              <w:rPr>
                <w:rStyle w:val="VerbatimChar"/>
              </w:rPr>
              <w:t xml:space="preserve">pc-at_2025</w:t>
            </w:r>
          </w:p>
        </w:tc>
        <w:tc>
          <w:tcPr/>
          <w:p>
            <w:pPr>
              <w:pStyle w:val="Compact"/>
              <w:jc w:val="right"/>
            </w:pPr>
            <w:r>
              <w:t xml:space="preserve">76</w:t>
            </w:r>
          </w:p>
        </w:tc>
        <w:tc>
          <w:tcPr/>
          <w:p>
            <w:pPr>
              <w:pStyle w:val="Compact"/>
              <w:jc w:val="left"/>
            </w:pPr>
            <w:r>
              <w:t xml:space="preserve">2026-07-13</w:t>
            </w:r>
          </w:p>
        </w:tc>
        <w:tc>
          <w:tcPr/>
          <w:p>
            <w:pPr>
              <w:pStyle w:val="Compact"/>
              <w:jc w:val="left"/>
            </w:pPr>
            <w:r>
              <w:t xml:space="preserve">Switching facilities</w:t>
            </w:r>
          </w:p>
        </w:tc>
        <w:tc>
          <w:tcPr/>
          <w:p>
            <w:pPr>
              <w:pStyle w:val="Compact"/>
              <w:jc w:val="left"/>
            </w:pPr>
            <w:r>
              <w:t xml:space="preserve">HTTP 404</w:t>
            </w:r>
          </w:p>
        </w:tc>
      </w:tr>
    </w:tbl>
    <w:bookmarkEnd w:id="22"/>
    <w:p>
      <w:pPr>
        <w:pStyle w:val="BodyText"/>
      </w:pPr>
      <w:r>
        <w:t xml:space="preserve">For the documented snapshot, the topology stage loads 586 technically relevant facilities, comprising 409 AT substations and 177 additional facilities. It also loads 5,334 valid AT line features: 5,323 labelled 60 kV and 11 labelled 130 kV. The 11 130 kV features merge into five candidates (three self-loops, one single-facility record, and one isolated record). All five remain in the classification ledger; none enters the 358 retained branches, and no mixed-voltage circuit is produced.</w:t>
      </w:r>
    </w:p>
    <w:p>
      <w:pPr>
        <w:pStyle w:val="BodyText"/>
      </w:pPr>
      <w:r>
        <w:t xml:space="preserve">The release uses the portal-level license statement reported by E-REDES for distributable data artifacts. The dataset package records publisher attribution, portal URL, source dataset identifiers, access dates, and transformation notices separately from the repository’s MIT code license. Where topology-critical API catalog responses did not repeat an explicit license field, the release policy follows the recorded portal-level statement rather than inferring a different license from the omission. The topology-critical catalog records were checked on 13 July 2026; per-source timestamps are preserved in</w:t>
      </w:r>
      <w:r>
        <w:t xml:space="preserve"> </w:t>
      </w:r>
      <w:r>
        <w:rPr>
          <w:rStyle w:val="VerbatimChar"/>
        </w:rPr>
        <w:t xml:space="preserve">provenance/reproduction_source_manifest.json</w:t>
      </w:r>
      <w:r>
        <w:t xml:space="preserve">.</w:t>
      </w:r>
    </w:p>
    <w:bookmarkEnd w:id="23"/>
    <w:bookmarkStart w:id="24" w:name="data-acquisition"/>
    <w:p>
      <w:pPr>
        <w:pStyle w:val="Heading2"/>
      </w:pPr>
      <w:r>
        <w:t xml:space="preserve">Data acquisition</w:t>
      </w:r>
    </w:p>
    <w:p>
      <w:pPr>
        <w:pStyle w:val="FirstParagraph"/>
      </w:pPr>
      <w:r>
        <w:t xml:space="preserve">Source files were downloaded and validated through a manifest-driven workflow that records dataset roles, retrieval checks, and release metadata. The released workflow is reproducible from the frozen derived inputs, not from newly downloaded raw/API responses. No raw E-REDES snapshot is included, and the recorded topology-critical URLs now return HTTP 404. The source manifest therefore preserves the available identifiers, URL forms, access times, record counts, roles, licence basis, and local-snapshot absence; it cannot provide retroactive raw-file hashes or byte sizes for files that were not retained. Geometry parsing and machine-readability checks occur before reconstruction so that parse failures become explicit blocking states rather than silent exclusions.</w:t>
      </w:r>
    </w:p>
    <w:p>
      <w:pPr>
        <w:pStyle w:val="BodyText"/>
      </w:pPr>
      <w:r>
        <w:t xml:space="preserve">The acquisition scope is limited to the E-REDES AT layer represented in the documented snapshot. It does not include a verified REN transmission boundary, complete national generation, measured operating conditions, or authoritative switching-state data. These omissions are treated as scope boundaries of the dataset rather than as gaps to be silently imputed.</w:t>
      </w:r>
    </w:p>
    <w:bookmarkEnd w:id="24"/>
    <w:bookmarkStart w:id="26" w:name="data-preprocessing"/>
    <w:p>
      <w:pPr>
        <w:pStyle w:val="Heading2"/>
      </w:pPr>
      <w:r>
        <w:t xml:space="preserve">Data preprocessing</w:t>
      </w:r>
    </w:p>
    <w:p>
      <w:pPr>
        <w:pStyle w:val="FirstParagraph"/>
      </w:pPr>
      <w:r>
        <w:t xml:space="preserve">Preprocessing harmonizes source geometries, facility identifiers, and facility classes before topology inference. Released geometries use WGS84 longitude–latitude coordinates (EPSG:4326). The frozen v1.0.1 pipeline projects them to a local equirectangular workspace centred at longitude</w:t>
      </w:r>
      <w:r>
        <w:t xml:space="preserve"> </w:t>
      </w:r>
      <m:oMath>
        <m:r>
          <m:rPr>
            <m:sty m:val="p"/>
          </m:rPr>
          <m:t>−</m:t>
        </m:r>
        <m:sSup>
          <m:e>
            <m:r>
              <m:t>8.532604</m:t>
            </m:r>
          </m:e>
          <m:sup>
            <m:r>
              <m:rPr>
                <m:sty m:val="p"/>
              </m:rPr>
              <m:t>∘</m:t>
            </m:r>
          </m:sup>
        </m:sSup>
      </m:oMath>
      <w:r>
        <w:t xml:space="preserve"> </w:t>
      </w:r>
      <w:r>
        <w:t xml:space="preserve">and latitude</w:t>
      </w:r>
      <w:r>
        <w:t xml:space="preserve"> </w:t>
      </w:r>
      <m:oMath>
        <m:sSup>
          <m:e>
            <m:r>
              <m:t>39.567953</m:t>
            </m:r>
          </m:e>
          <m:sup>
            <m:r>
              <m:rPr>
                <m:sty m:val="p"/>
              </m:rPr>
              <m:t>∘</m:t>
            </m:r>
          </m:sup>
        </m:sSup>
      </m:oMath>
      <w:r>
        <w:t xml:space="preserve"> </w:t>
      </w:r>
      <w:r>
        <w:t xml:space="preserve">for endpoint, buffer, and length calculations. These transformations and geometry-derived quantities are recorded as derived rather than observed values.</w:t>
      </w:r>
    </w:p>
    <w:p>
      <w:pPr>
        <w:pStyle w:val="BodyText"/>
      </w:pPr>
      <w:bookmarkStart w:id="25" w:name="sec:projection-error-audit"/>
      <w:bookmarkEnd w:id="25"/>
      <w:r>
        <w:t xml:space="preserve"> </w:t>
      </w:r>
      <w:r>
        <w:t xml:space="preserve">Because one national-scale centre introduces latitude-dependent scale distortion, we audited all 43,505 adjacent segments in the released branch geometries against spherical great-circle distance. The median and 95th-percentile relative errors were 0.47% and 2.36%; the maximum was 3.84%. Across the released latitude range, the worst east–west scale error was 3.91%, equivalent to 0.020, 1.96, 3.91, 9.78, and 19.55 m at the 0.5, 50, 100, 250, and 500 m thresholds, respectively. The selected 0.5 and 100 m settings are retained for version consistency; a future threshold-retuned release should use ETRS89 / Portugal TM06 (EPSG:3763) or ellipsoidal geodesic distances.</w:t>
      </w:r>
    </w:p>
    <w:p>
      <w:pPr>
        <w:pStyle w:val="BodyText"/>
      </w:pPr>
      <w:r>
        <w:t xml:space="preserve">Facilities are standardized into node candidates with associated codes, names, types, source roles, and footprint-ready geometries. Source line features are standardized into endpoint-bearing line records. Ambiguous matches and unresolved endpoints are retained as explicit states for later classification. This preprocessing stage therefore prepares line and facility inputs for reconstruction without asserting that each input line already corresponds to a valid inter-facility branch.</w:t>
      </w:r>
    </w:p>
    <w:bookmarkEnd w:id="26"/>
    <w:bookmarkStart w:id="28" w:name="provenance-model"/>
    <w:p>
      <w:pPr>
        <w:pStyle w:val="Heading2"/>
      </w:pPr>
      <w:r>
        <w:t xml:space="preserve">Provenance model</w:t>
      </w:r>
    </w:p>
    <w:p>
      <w:pPr>
        <w:pStyle w:val="FirstParagraph"/>
      </w:pPr>
      <w:r>
        <w:t xml:space="preserve">The release uses a field-level semantic status model so that downstream users can separate copied observations from deterministic derivations, inferred topology, and diagnostic assumptions. For an object</w:t>
      </w:r>
      <w:r>
        <w:t xml:space="preserve"> </w:t>
      </w:r>
      <m:oMath>
        <m:r>
          <m:t>o</m:t>
        </m:r>
      </m:oMath>
      <w:r>
        <w:t xml:space="preserve"> </w:t>
      </w:r>
      <w:r>
        <w:t xml:space="preserve">at stage</w:t>
      </w:r>
      <w:r>
        <w:t xml:space="preserve"> </w:t>
      </w:r>
      <m:oMath>
        <m:r>
          <m:t>k</m:t>
        </m:r>
      </m:oMath>
      <w:r>
        <w:t xml:space="preserve">, the workflow records</w:t>
      </w:r>
    </w:p>
    <w:p>
      <w:pPr>
        <w:pStyle w:val="BodyText"/>
      </w:pPr>
      <m:oMathPara>
        <m:oMathParaPr>
          <m:jc m:val="center"/>
        </m:oMathParaPr>
        <m:oMath>
          <m:sSub>
            <m:e>
              <m:r>
                <m:t>T</m:t>
              </m:r>
            </m:e>
            <m:sub>
              <m:r>
                <m:t>k</m:t>
              </m:r>
            </m:sub>
          </m:sSub>
          <m:d>
            <m:dPr>
              <m:begChr m:val="("/>
              <m:endChr m:val=")"/>
              <m:sepChr m:val=""/>
              <m:grow/>
            </m:dPr>
            <m:e>
              <m:r>
                <m:t>o</m:t>
              </m:r>
            </m:e>
          </m:d>
          <m:r>
            <m:rPr>
              <m:sty m:val="p"/>
            </m:rPr>
            <m:t>=</m:t>
          </m:r>
          <m:d>
            <m:dPr>
              <m:begChr m:val="("/>
              <m:endChr m:val=")"/>
              <m:sepChr m:val=""/>
              <m:grow/>
            </m:dPr>
            <m:e>
              <m:r>
                <m:t>v</m:t>
              </m:r>
              <m:r>
                <m:rPr>
                  <m:sty m:val="p"/>
                </m:rPr>
                <m:t>,</m:t>
              </m:r>
              <m:r>
                <m:t>s</m:t>
              </m:r>
              <m:r>
                <m:rPr>
                  <m:sty m:val="p"/>
                </m:rPr>
                <m:t>,</m:t>
              </m:r>
              <m:r>
                <m:t>q</m:t>
              </m:r>
              <m:r>
                <m:rPr>
                  <m:sty m:val="p"/>
                </m:rPr>
                <m:t>,</m:t>
              </m:r>
              <m:r>
                <m:t>a</m:t>
              </m:r>
              <m:r>
                <m:rPr>
                  <m:sty m:val="p"/>
                </m:rPr>
                <m:t>,</m:t>
              </m:r>
              <m:r>
                <m:t>e</m:t>
              </m:r>
            </m:e>
          </m:d>
          <m:r>
            <m:rPr>
              <m:sty m:val="p"/>
            </m:rPr>
            <m:t>,</m:t>
          </m:r>
        </m:oMath>
      </m:oMathPara>
    </w:p>
    <w:p>
      <w:pPr>
        <w:pStyle w:val="FirstParagraph"/>
      </w:pPr>
      <w:r>
        <w:t xml:space="preserve">where</w:t>
      </w:r>
      <w:r>
        <w:t xml:space="preserve"> </w:t>
      </w:r>
      <m:oMath>
        <m:r>
          <m:t>v</m:t>
        </m:r>
      </m:oMath>
      <w:r>
        <w:t xml:space="preserve"> </w:t>
      </w:r>
      <w:r>
        <w:t xml:space="preserve">is the value,</w:t>
      </w:r>
      <w:r>
        <w:t xml:space="preserve"> </w:t>
      </w:r>
      <m:oMath>
        <m:r>
          <m:t>s</m:t>
        </m:r>
      </m:oMath>
      <w:r>
        <w:t xml:space="preserve"> </w:t>
      </w:r>
      <w:r>
        <w:t xml:space="preserve">its semantic status,</w:t>
      </w:r>
      <w:r>
        <w:t xml:space="preserve"> </w:t>
      </w:r>
      <m:oMath>
        <m:r>
          <m:t>q</m:t>
        </m:r>
      </m:oMath>
      <w:r>
        <w:t xml:space="preserve"> </w:t>
      </w:r>
      <w:r>
        <w:t xml:space="preserve">a quality or confidence indicator,</w:t>
      </w:r>
      <w:r>
        <w:t xml:space="preserve"> </w:t>
      </w:r>
      <m:oMath>
        <m:r>
          <m:t>a</m:t>
        </m:r>
      </m:oMath>
      <w:r>
        <w:t xml:space="preserve"> </w:t>
      </w:r>
      <w:r>
        <w:t xml:space="preserve">a source or assumption identifier, and</w:t>
      </w:r>
      <w:r>
        <w:t xml:space="preserve"> </w:t>
      </w:r>
      <m:oMath>
        <m:r>
          <m:t>e</m:t>
        </m:r>
      </m:oMath>
      <w:r>
        <w:t xml:space="preserve"> </w:t>
      </w:r>
      <w:r>
        <w:t xml:space="preserve">an exclusion or blocking reason.</w:t>
      </w:r>
    </w:p>
    <w:bookmarkStart w:id="27" w:name="tab:semantics"/>
    <w:p>
      <w:pPr>
        <w:pStyle w:val="TableCaption"/>
      </w:pPr>
      <w:r>
        <w:t xml:space="preserve">Semantic statuses used in</w:t>
      </w:r>
      <w:r>
        <w:t xml:space="preserve"> </w:t>
      </w:r>
      <w:r>
        <w:rPr>
          <w:smallCaps/>
        </w:rPr>
        <w:t xml:space="preserve">PT60-Candidate</w:t>
      </w:r>
      <w:r>
        <w:t xml:space="preserve"> </w:t>
      </w:r>
      <w:r>
        <w:t xml:space="preserve">and its derivative interfaces.</w:t>
      </w:r>
    </w:p>
    <w:tbl>
      <w:tblPr>
        <w:tblStyle w:val="Table"/>
        <w:tblW w:type="auto" w:w="0"/>
        <w:tblLook w:firstRow="1" w:lastRow="0" w:firstColumn="0" w:lastColumn="0" w:noHBand="0" w:noVBand="0" w:val="0020"/>
        <w:tblCaption w:val="Semantic statuses used in PT60-Candidate and its derivative interfaces."/>
      </w:tblPr>
      <w:tblGrid>
        <w:gridCol w:w="3960"/>
        <w:gridCol w:w="3960"/>
      </w:tblGrid>
      <w:tr>
        <w:trPr>
          <w:tblHeader w:val="on"/>
        </w:trPr>
        <w:tc>
          <w:tcPr/>
          <w:p>
            <w:pPr>
              <w:pStyle w:val="Compact"/>
              <w:jc w:val="left"/>
            </w:pPr>
            <w:r>
              <w:t xml:space="preserve">Status</w:t>
            </w:r>
          </w:p>
        </w:tc>
        <w:tc>
          <w:tcPr/>
          <w:p>
            <w:pPr>
              <w:pStyle w:val="Compact"/>
              <w:jc w:val="left"/>
            </w:pPr>
            <w:r>
              <w:t xml:space="preserve">Interpretation</w:t>
            </w:r>
          </w:p>
        </w:tc>
      </w:tr>
      <w:tr>
        <w:tc>
          <w:tcPr/>
          <w:p>
            <w:pPr>
              <w:pStyle w:val="Compact"/>
              <w:jc w:val="left"/>
            </w:pPr>
            <w:r>
              <w:t xml:space="preserve">Observed</w:t>
            </w:r>
          </w:p>
        </w:tc>
        <w:tc>
          <w:tcPr/>
          <w:p>
            <w:pPr>
              <w:pStyle w:val="Compact"/>
              <w:jc w:val="left"/>
            </w:pPr>
            <w:r>
              <w:t xml:space="preserve">Copied from an E-REDES record, subject to source and join quality.</w:t>
            </w:r>
          </w:p>
        </w:tc>
      </w:tr>
      <w:tr>
        <w:tc>
          <w:tcPr/>
          <w:p>
            <w:pPr>
              <w:pStyle w:val="Compact"/>
              <w:jc w:val="left"/>
            </w:pPr>
            <w:r>
              <w:t xml:space="preserve">Derived</w:t>
            </w:r>
          </w:p>
        </w:tc>
        <w:tc>
          <w:tcPr/>
          <w:p>
            <w:pPr>
              <w:pStyle w:val="Compact"/>
              <w:jc w:val="left"/>
            </w:pPr>
            <w:r>
              <w:t xml:space="preserve">Deterministic transformation, such as geometry length.</w:t>
            </w:r>
          </w:p>
        </w:tc>
      </w:tr>
      <w:tr>
        <w:tc>
          <w:tcPr/>
          <w:p>
            <w:pPr>
              <w:pStyle w:val="Compact"/>
              <w:jc w:val="left"/>
            </w:pPr>
            <w:r>
              <w:t xml:space="preserve">Inferred</w:t>
            </w:r>
          </w:p>
        </w:tc>
        <w:tc>
          <w:tcPr/>
          <w:p>
            <w:pPr>
              <w:pStyle w:val="Compact"/>
              <w:jc w:val="left"/>
            </w:pPr>
            <w:r>
              <w:t xml:space="preserve">Connectivity produced by matching, clustering, merging, or classification.</w:t>
            </w:r>
          </w:p>
        </w:tc>
      </w:tr>
      <w:tr>
        <w:tc>
          <w:tcPr/>
          <w:p>
            <w:pPr>
              <w:pStyle w:val="Compact"/>
              <w:jc w:val="left"/>
            </w:pPr>
            <w:r>
              <w:t xml:space="preserve">Source-backed</w:t>
            </w:r>
          </w:p>
        </w:tc>
        <w:tc>
          <w:tcPr/>
          <w:p>
            <w:pPr>
              <w:pStyle w:val="Compact"/>
              <w:jc w:val="left"/>
            </w:pPr>
            <w:r>
              <w:t xml:space="preserve">Supported by an applicable operator, standard, or catalog source.</w:t>
            </w:r>
          </w:p>
        </w:tc>
      </w:tr>
      <w:tr>
        <w:tc>
          <w:tcPr/>
          <w:p>
            <w:pPr>
              <w:pStyle w:val="Compact"/>
              <w:jc w:val="left"/>
            </w:pPr>
            <w:r>
              <w:t xml:space="preserve">Scenario-assumed</w:t>
            </w:r>
          </w:p>
        </w:tc>
        <w:tc>
          <w:tcPr/>
          <w:p>
            <w:pPr>
              <w:pStyle w:val="Compact"/>
              <w:jc w:val="left"/>
            </w:pPr>
            <w:r>
              <w:t xml:space="preserve">Explicit choice used only in a named diagnostic scenario.</w:t>
            </w:r>
          </w:p>
        </w:tc>
      </w:tr>
      <w:tr>
        <w:tc>
          <w:tcPr/>
          <w:p>
            <w:pPr>
              <w:pStyle w:val="Compact"/>
              <w:jc w:val="left"/>
            </w:pPr>
            <w:r>
              <w:t xml:space="preserve">Benchmark-only</w:t>
            </w:r>
          </w:p>
        </w:tc>
        <w:tc>
          <w:tcPr/>
          <w:p>
            <w:pPr>
              <w:pStyle w:val="Compact"/>
              <w:jc w:val="left"/>
            </w:pPr>
            <w:r>
              <w:t xml:space="preserve">Non-Portuguese reference value used only for software and interface testing.</w:t>
            </w:r>
          </w:p>
        </w:tc>
      </w:tr>
      <w:tr>
        <w:tc>
          <w:tcPr/>
          <w:p>
            <w:pPr>
              <w:pStyle w:val="Compact"/>
              <w:jc w:val="left"/>
            </w:pPr>
            <w:r>
              <w:t xml:space="preserve">Proxy</w:t>
            </w:r>
          </w:p>
        </w:tc>
        <w:tc>
          <w:tcPr/>
          <w:p>
            <w:pPr>
              <w:pStyle w:val="Compact"/>
              <w:jc w:val="left"/>
            </w:pPr>
            <w:r>
              <w:t xml:space="preserve">Surrogate identity, injection, capacity, dispatch, or cost semantics.</w:t>
            </w:r>
          </w:p>
        </w:tc>
      </w:tr>
      <w:tr>
        <w:tc>
          <w:tcPr/>
          <w:p>
            <w:pPr>
              <w:pStyle w:val="Compact"/>
              <w:jc w:val="left"/>
            </w:pPr>
            <w:r>
              <w:t xml:space="preserve">Missing</w:t>
            </w:r>
          </w:p>
        </w:tc>
        <w:tc>
          <w:tcPr/>
          <w:p>
            <w:pPr>
              <w:pStyle w:val="Compact"/>
              <w:jc w:val="left"/>
            </w:pPr>
            <w:r>
              <w:t xml:space="preserve">Intentionally unfilled; dependent readiness gates must block use.</w:t>
            </w:r>
          </w:p>
        </w:tc>
      </w:tr>
    </w:tbl>
    <w:bookmarkEnd w:id="27"/>
    <w:p>
      <w:pPr>
        <w:pStyle w:val="BodyText"/>
      </w:pPr>
      <w:r>
        <w:t xml:space="preserve">Table </w:t>
      </w:r>
      <w:hyperlink w:anchor="tab:semantics">
        <w:r>
          <w:rPr>
            <w:rStyle w:val="Hyperlink"/>
          </w:rPr>
          <w:t xml:space="preserve">2</w:t>
        </w:r>
      </w:hyperlink>
      <w:r>
        <w:t xml:space="preserve"> </w:t>
      </w:r>
      <w:r>
        <w:t xml:space="preserve">summarizes the evidence distinctions carried into the released records and metadata so that consumers can apply explicit admissibility rules. The complete field-level dictionary is provided as</w:t>
      </w:r>
      <w:r>
        <w:t xml:space="preserve"> </w:t>
      </w:r>
      <w:r>
        <w:rPr>
          <w:rStyle w:val="VerbatimChar"/>
        </w:rPr>
        <w:t xml:space="preserve">schema/data_dictionary.csv</w:t>
      </w:r>
      <w:r>
        <w:t xml:space="preserve">;</w:t>
      </w:r>
      <w:r>
        <w:t xml:space="preserve"> </w:t>
      </w:r>
      <w:r>
        <w:rPr>
          <w:rStyle w:val="VerbatimChar"/>
        </w:rPr>
        <w:t xml:space="preserve">schema/file_schema_summary.csv</w:t>
      </w:r>
      <w:r>
        <w:t xml:space="preserve">,</w:t>
      </w:r>
      <w:r>
        <w:t xml:space="preserve"> </w:t>
      </w:r>
      <w:r>
        <w:rPr>
          <w:rStyle w:val="VerbatimChar"/>
        </w:rPr>
        <w:t xml:space="preserve">schema/join_relationships.csv</w:t>
      </w:r>
      <w:r>
        <w:t xml:space="preserve">, and</w:t>
      </w:r>
      <w:r>
        <w:t xml:space="preserve"> </w:t>
      </w:r>
      <w:r>
        <w:rPr>
          <w:rStyle w:val="VerbatimChar"/>
        </w:rPr>
        <w:t xml:space="preserve">manifest.json</w:t>
      </w:r>
      <w:r>
        <w:t xml:space="preserve"> </w:t>
      </w:r>
      <w:r>
        <w:t xml:space="preserve">provide file-level structure, joins, versions, roles, and checksums.</w:t>
      </w:r>
    </w:p>
    <w:bookmarkEnd w:id="28"/>
    <w:bookmarkStart w:id="33" w:name="reconstruction-pipeline"/>
    <w:p>
      <w:pPr>
        <w:pStyle w:val="Heading2"/>
      </w:pPr>
      <w:r>
        <w:t xml:space="preserve">Reconstruction pipeline</w:t>
      </w:r>
    </w:p>
    <w:p>
      <w:pPr>
        <w:pStyle w:val="FirstParagraph"/>
      </w:pPr>
      <w:r>
        <w:t xml:space="preserve">Facility records are converted to circular footprints with radii of 50, 100, 250, and 500 m. Three node sets are evaluated: set A contains 409 AT substations, set B contains 484 AT substations and switching facilities, and set C contains all 586 technically relevant facilities. Each source line contributes two endpoints. When an endpoint intersects multiple footprints, the workflow resolves membership by centroid distance and records ambiguity where needed rather than forcing an unqualified assignment.</w:t>
      </w:r>
    </w:p>
    <w:p>
      <w:pPr>
        <w:pStyle w:val="BodyText"/>
      </w:pPr>
      <w:r>
        <w:t xml:space="preserve">Endpoints are then clustered at 0.5, 1, 5, 10, 25, and 50 m. Union–find merging groups features into circuit candidates under geometry-only, voltage-aware, or voltage-plus-status-aware compatibility rules. Explicit conflicts block merging in the corresponding compatibility mode. Endpoint-cluster degree is then used to distinguish ordinary terminal pairs from loop, self-loop, isolated, and tap or multi-terminal patterns.</w:t>
      </w:r>
    </w:p>
    <w:p>
      <w:pPr>
        <w:pStyle w:val="BodyText"/>
      </w:pPr>
      <w:r>
        <w:t xml:space="preserve">Figure </w:t>
      </w:r>
      <w:hyperlink w:anchor="fig:pipeline">
        <w:r>
          <w:rPr>
            <w:rStyle w:val="Hyperlink"/>
          </w:rPr>
          <w:t xml:space="preserve">1</w:t>
        </w:r>
      </w:hyperlink>
      <w:r>
        <w:t xml:space="preserve"> </w:t>
      </w:r>
      <w:r>
        <w:t xml:space="preserve">shows how retained and downgraded records pass through common validation and release-contract stages.</w:t>
      </w:r>
    </w:p>
    <w:bookmarkStart w:id="32" w:name="fig:pipeline"/>
    <w:p>
      <w:pPr>
        <w:pStyle w:val="CaptionedFigure"/>
      </w:pPr>
      <w:r>
        <w:drawing>
          <wp:inline>
            <wp:extent cx="5334000" cy="2667771"/>
            <wp:effectExtent b="0" l="0" r="0" t="0"/>
            <wp:docPr descr="" title="" id="30" name="Picture"/>
            <a:graphic>
              <a:graphicData uri="http://schemas.openxmlformats.org/drawingml/2006/picture">
                <pic:pic>
                  <pic:nvPicPr>
                    <pic:cNvPr descr="fig1_pipeline_overview.png" id="31" name="Picture"/>
                    <pic:cNvPicPr>
                      <a:picLocks noChangeArrowheads="1" noChangeAspect="1"/>
                    </pic:cNvPicPr>
                  </pic:nvPicPr>
                  <pic:blipFill>
                    <a:blip r:embed="rId29"/>
                    <a:stretch>
                      <a:fillRect/>
                    </a:stretch>
                  </pic:blipFill>
                  <pic:spPr bwMode="auto">
                    <a:xfrm>
                      <a:off x="0" y="0"/>
                      <a:ext cx="5334000" cy="2667771"/>
                    </a:xfrm>
                    <a:prstGeom prst="rect">
                      <a:avLst/>
                    </a:prstGeom>
                    <a:noFill/>
                    <a:ln w="9525">
                      <a:noFill/>
                      <a:headEnd/>
                      <a:tailEnd/>
                    </a:ln>
                  </pic:spPr>
                </pic:pic>
              </a:graphicData>
            </a:graphic>
          </wp:inline>
        </w:drawing>
      </w:r>
    </w:p>
    <w:p>
      <w:pPr>
        <w:pStyle w:val="ImageCaption"/>
      </w:pPr>
      <w:r>
        <w:t xml:space="preserve">Fail-closed reconstruction and release workflow for</w:t>
      </w:r>
      <w:r>
        <w:t xml:space="preserve"> </w:t>
      </w:r>
      <w:r>
        <w:rPr>
          <w:smallCaps/>
        </w:rPr>
        <w:t xml:space="preserve">PT60-Candidate</w:t>
      </w:r>
      <w:r>
        <w:t xml:space="preserve">. Blue boxes denote transformations or validation, the yellow diamond is the declared retention gate, green boxes are deposited release layers, the red box preserves downgraded/rejected records, and the purple box records provenance and reuse contracts. The diagram summarizes workflow structure and claim boundaries rather than measured performance.</w:t>
      </w:r>
    </w:p>
    <w:bookmarkEnd w:id="32"/>
    <w:bookmarkEnd w:id="33"/>
    <w:bookmarkStart w:id="34" w:name="candidate-selection"/>
    <w:p>
      <w:pPr>
        <w:pStyle w:val="Heading2"/>
      </w:pPr>
      <w:r>
        <w:t xml:space="preserve">Candidate selection</w:t>
      </w:r>
    </w:p>
    <w:p>
      <w:pPr>
        <w:pStyle w:val="FirstParagraph"/>
      </w:pPr>
      <w:r>
        <w:t xml:space="preserve">A merged group is retained as an inter-facility candidate branch only when it has exactly two terminals, both terminals match facilities without disqualifying ambiguity, and the two facilities are distinct. Outcomes failing these conditions remain available in the circuit-classification ledger as loop, self-loop, single-facility, isolated, tap or multi-terminal, ambiguous, or otherwise downgraded records.</w:t>
      </w:r>
    </w:p>
    <w:p>
      <w:pPr>
        <w:pStyle w:val="BodyText"/>
      </w:pPr>
      <w:r>
        <w:t xml:space="preserve">This selection policy is intentionally conservative. It favors explicit preservation of non-retained outcomes over optimistic retention. Mixed voltage or status conflicts, suspicious spatial matches, and unresolved facility mappings are retained as audit information instead of being absorbed into a simplified final graph.</w:t>
      </w:r>
    </w:p>
    <w:p>
      <w:pPr>
        <w:pStyle w:val="BodyText"/>
      </w:pPr>
      <w:r>
        <w:t xml:space="preserve">For each retained branch,</w:t>
      </w:r>
      <w:r>
        <w:t xml:space="preserve"> </w:t>
      </w:r>
      <w:r>
        <w:rPr>
          <w:rStyle w:val="VerbatimChar"/>
        </w:rPr>
        <w:t xml:space="preserve">confidence_score</w:t>
      </w:r>
      <w:r>
        <w:t xml:space="preserve"> </w:t>
      </w:r>
      <w:r>
        <w:t xml:space="preserve">is an internal proximity score</w:t>
      </w:r>
    </w:p>
    <w:p>
      <w:pPr>
        <w:pStyle w:val="BodyText"/>
      </w:pPr>
      <m:oMathPara>
        <m:oMathParaPr>
          <m:jc m:val="center"/>
        </m:oMathParaPr>
        <m:oMath>
          <m:r>
            <m:t>q</m:t>
          </m:r>
          <m:r>
            <m:rPr>
              <m:sty m:val="p"/>
            </m:rPr>
            <m:t>=</m:t>
          </m:r>
          <m:r>
            <m:rPr>
              <m:sty m:val="p"/>
            </m:rPr>
            <m:t>max</m:t>
          </m:r>
          <m:r>
            <m:t>​</m:t>
          </m:r>
          <m:d>
            <m:dPr>
              <m:begChr m:val="("/>
              <m:endChr m:val=")"/>
              <m:sepChr m:val=""/>
              <m:grow/>
            </m:dPr>
            <m:e>
              <m:r>
                <m:t>0</m:t>
              </m:r>
              <m:r>
                <m:rPr>
                  <m:sty m:val="p"/>
                </m:rPr>
                <m:t>,</m:t>
              </m:r>
              <m:r>
                <m:rPr>
                  <m:sty m:val="p"/>
                </m:rPr>
                <m:t>min</m:t>
              </m:r>
              <m:r>
                <m:t>​</m:t>
              </m:r>
              <m:d>
                <m:dPr>
                  <m:begChr m:val="("/>
                  <m:endChr m:val=")"/>
                  <m:sepChr m:val=""/>
                  <m:grow/>
                </m:dPr>
                <m:e>
                  <m:r>
                    <m:t>1</m:t>
                  </m:r>
                  <m:r>
                    <m:rPr>
                      <m:sty m:val="p"/>
                    </m:rPr>
                    <m:t>,</m:t>
                  </m:r>
                  <m:r>
                    <m:t>1</m:t>
                  </m:r>
                  <m:r>
                    <m:rPr>
                      <m:sty m:val="p"/>
                    </m:rPr>
                    <m:t>−</m:t>
                  </m:r>
                  <m:r>
                    <m:t>0.35</m:t>
                  </m:r>
                  <m:f>
                    <m:fPr>
                      <m:type m:val="bar"/>
                    </m:fPr>
                    <m:num>
                      <m:sSub>
                        <m:e>
                          <m:r>
                            <m:t>d</m:t>
                          </m:r>
                        </m:e>
                        <m:sub>
                          <m:r>
                            <m:rPr>
                              <m:sty m:val="p"/>
                            </m:rPr>
                            <m:t>max</m:t>
                          </m:r>
                        </m:sub>
                      </m:sSub>
                    </m:num>
                    <m:den>
                      <m:r>
                        <m:t>b</m:t>
                      </m:r>
                    </m:den>
                  </m:f>
                </m:e>
              </m:d>
            </m:e>
          </m:d>
          <m:r>
            <m:rPr>
              <m:sty m:val="p"/>
            </m:rPr>
            <m:t>,</m:t>
          </m:r>
        </m:oMath>
      </m:oMathPara>
    </w:p>
    <w:p>
      <w:pPr>
        <w:pStyle w:val="FirstParagraph"/>
      </w:pPr>
      <w:r>
        <w:t xml:space="preserve">where</w:t>
      </w:r>
      <w:r>
        <w:t xml:space="preserve"> </w:t>
      </w:r>
      <m:oMath>
        <m:sSub>
          <m:e>
            <m:r>
              <m:t>d</m:t>
            </m:r>
          </m:e>
          <m:sub>
            <m:r>
              <m:rPr>
                <m:sty m:val="p"/>
              </m:rPr>
              <m:t>max</m:t>
            </m:r>
          </m:sub>
        </m:sSub>
      </m:oMath>
      <w:r>
        <w:t xml:space="preserve"> </w:t>
      </w:r>
      <w:r>
        <w:t xml:space="preserve">is the larger of the two endpoint-to-facility distances and</w:t>
      </w:r>
      <w:r>
        <w:t xml:space="preserve"> </w:t>
      </w:r>
      <m:oMath>
        <m:r>
          <m:t>b</m:t>
        </m:r>
      </m:oMath>
      <w:r>
        <w:t xml:space="preserve"> </w:t>
      </w:r>
      <w:r>
        <w:t xml:space="preserve">is the facility-buffer radius, both in metres. The value is rounded to four decimals and lies in</w:t>
      </w:r>
      <w:r>
        <w:t xml:space="preserve"> </w:t>
      </w:r>
      <m:oMath>
        <m:d>
          <m:dPr>
            <m:begChr m:val="["/>
            <m:endChr m:val="]"/>
            <m:sepChr m:val=""/>
            <m:grow/>
          </m:dPr>
          <m:e>
            <m:r>
              <m:t>0</m:t>
            </m:r>
            <m:r>
              <m:rPr>
                <m:sty m:val="p"/>
              </m:rPr>
              <m:t>,</m:t>
            </m:r>
            <m:r>
              <m:t>1</m:t>
            </m:r>
          </m:e>
        </m:d>
      </m:oMath>
      <w:r>
        <w:t xml:space="preserve">. It is a deterministic rule score, not a probability, precision estimate, or operator-validation measure. It is computed only after a circuit passes the inter-facility retention rule and does not affect merging, retention, the 216-setting selection score, or the OSM-derived evidence category.</w:t>
      </w:r>
    </w:p>
    <w:bookmarkEnd w:id="34"/>
    <w:bookmarkStart w:id="35" w:name="parameter-sweep"/>
    <w:p>
      <w:pPr>
        <w:pStyle w:val="Heading2"/>
      </w:pPr>
      <w:r>
        <w:t xml:space="preserve">Parameter sweep</w:t>
      </w:r>
    </w:p>
    <w:p>
      <w:pPr>
        <w:pStyle w:val="FirstParagraph"/>
      </w:pPr>
      <w:r>
        <w:t xml:space="preserve">The reconstruction workflow evaluates 216 settings generated by combining three facility sets, four footprint buffers, six endpoint snap thresholds, and three merge modes. For configuration</w:t>
      </w:r>
      <w:r>
        <w:t xml:space="preserve"> </w:t>
      </w:r>
      <m:oMath>
        <m:r>
          <m:t>i</m:t>
        </m:r>
      </m:oMath>
      <w:r>
        <w:t xml:space="preserve">, the unnormalised engineering score is</w:t>
      </w:r>
    </w:p>
    <w:p>
      <w:pPr>
        <w:pStyle w:val="BodyText"/>
      </w:pPr>
      <m:oMathPara>
        <m:oMathParaPr>
          <m:jc m:val="center"/>
        </m:oMathParaPr>
        <m:oMath>
          <m:sSub>
            <m:e>
              <m:r>
                <m:t>S</m:t>
              </m:r>
            </m:e>
            <m:sub>
              <m:r>
                <m:t>i</m:t>
              </m:r>
            </m:sub>
          </m:sSub>
          <m:r>
            <m:rPr>
              <m:sty m:val="p"/>
            </m:rPr>
            <m:t>=</m:t>
          </m:r>
          <m:r>
            <m:t>100</m:t>
          </m:r>
          <m:sSub>
            <m:e>
              <m:r>
                <m:t>C</m:t>
              </m:r>
            </m:e>
            <m:sub>
              <m:r>
                <m:t>i</m:t>
              </m:r>
            </m:sub>
          </m:sSub>
          <m:r>
            <m:rPr>
              <m:sty m:val="p"/>
            </m:rPr>
            <m:t>+</m:t>
          </m:r>
          <m:r>
            <m:t>50</m:t>
          </m:r>
          <m:sSub>
            <m:e>
              <m:r>
                <m:t>L</m:t>
              </m:r>
            </m:e>
            <m:sub>
              <m:r>
                <m:t>i</m:t>
              </m:r>
            </m:sub>
          </m:sSub>
          <m:r>
            <m:rPr>
              <m:sty m:val="p"/>
            </m:rPr>
            <m:t>−</m:t>
          </m:r>
          <m:r>
            <m:t>50</m:t>
          </m:r>
          <m:sSub>
            <m:e>
              <m:r>
                <m:t>A</m:t>
              </m:r>
            </m:e>
            <m:sub>
              <m:r>
                <m:t>i</m:t>
              </m:r>
            </m:sub>
          </m:sSub>
          <m:r>
            <m:rPr>
              <m:sty m:val="p"/>
            </m:rPr>
            <m:t>−</m:t>
          </m:r>
          <m:r>
            <m:t>100</m:t>
          </m:r>
          <m:sSub>
            <m:e>
              <m:r>
                <m:t>V</m:t>
              </m:r>
            </m:e>
            <m:sub>
              <m:r>
                <m:t>i</m:t>
              </m:r>
            </m:sub>
          </m:sSub>
          <m:r>
            <m:rPr>
              <m:sty m:val="p"/>
            </m:rPr>
            <m:t>−</m:t>
          </m:r>
          <m:r>
            <m:t>10</m:t>
          </m:r>
          <m:sSub>
            <m:e>
              <m:r>
                <m:t>T</m:t>
              </m:r>
            </m:e>
            <m:sub>
              <m:r>
                <m:t>i</m:t>
              </m:r>
            </m:sub>
          </m:sSub>
          <m:r>
            <m:rPr>
              <m:sty m:val="p"/>
            </m:rPr>
            <m:t>−</m:t>
          </m:r>
          <m:r>
            <m:t>50</m:t>
          </m:r>
          <m:sSub>
            <m:e>
              <m:r>
                <m:t>Q</m:t>
              </m:r>
            </m:e>
            <m:sub>
              <m:r>
                <m:t>i</m:t>
              </m:r>
            </m:sub>
          </m:sSub>
          <m:r>
            <m:rPr>
              <m:sty m:val="p"/>
            </m:rPr>
            <m:t>−</m:t>
          </m:r>
          <m:r>
            <m:t>500</m:t>
          </m:r>
          <m:r>
            <m:rPr>
              <m:sty m:val="b"/>
            </m:rPr>
            <m:t>1</m:t>
          </m:r>
          <m:d>
            <m:dPr>
              <m:begChr m:val="["/>
              <m:endChr m:val="]"/>
              <m:sepChr m:val=""/>
              <m:grow/>
            </m:dPr>
            <m:e>
              <m:sSub>
                <m:e>
                  <m:r>
                    <m:t>b</m:t>
                  </m:r>
                </m:e>
                <m:sub>
                  <m:r>
                    <m:t>i</m:t>
                  </m:r>
                </m:sub>
              </m:sSub>
              <m:r>
                <m:rPr>
                  <m:sty m:val="p"/>
                </m:rPr>
                <m:t>=</m:t>
              </m:r>
              <m:r>
                <m:t>500</m:t>
              </m:r>
            </m:e>
          </m:d>
          <m:r>
            <m:rPr>
              <m:sty m:val="p"/>
            </m:rPr>
            <m:t>−</m:t>
          </m:r>
          <m:r>
            <m:t>250</m:t>
          </m:r>
          <m:r>
            <m:rPr>
              <m:sty m:val="b"/>
            </m:rPr>
            <m:t>1</m:t>
          </m:r>
          <m:d>
            <m:dPr>
              <m:begChr m:val="["/>
              <m:endChr m:val="]"/>
              <m:sepChr m:val=""/>
              <m:grow/>
            </m:dPr>
            <m:e>
              <m:sSub>
                <m:e>
                  <m:r>
                    <m:t>s</m:t>
                  </m:r>
                </m:e>
                <m:sub>
                  <m:r>
                    <m:t>i</m:t>
                  </m:r>
                </m:sub>
              </m:sSub>
              <m:r>
                <m:rPr>
                  <m:sty m:val="p"/>
                </m:rPr>
                <m:t>=</m:t>
              </m:r>
              <m:r>
                <m:t>50</m:t>
              </m:r>
            </m:e>
          </m:d>
          <m:r>
            <m:rPr>
              <m:sty m:val="p"/>
            </m:rPr>
            <m:t>,</m:t>
          </m:r>
        </m:oMath>
      </m:oMathPara>
    </w:p>
    <w:p>
      <w:pPr>
        <w:pStyle w:val="FirstParagraph"/>
      </w:pPr>
      <w:r>
        <w:t xml:space="preserve">where</w:t>
      </w:r>
      <w:r>
        <w:t xml:space="preserve"> </w:t>
      </w:r>
      <m:oMath>
        <m:r>
          <m:t>C</m:t>
        </m:r>
      </m:oMath>
      <w:r>
        <w:t xml:space="preserve"> </w:t>
      </w:r>
      <w:r>
        <w:t xml:space="preserve">is the retained inter-facility count,</w:t>
      </w:r>
      <w:r>
        <w:t xml:space="preserve"> </w:t>
      </w:r>
      <m:oMath>
        <m:r>
          <m:t>L</m:t>
        </m:r>
      </m:oMath>
      <w:r>
        <w:t xml:space="preserve"> </w:t>
      </w:r>
      <w:r>
        <w:t xml:space="preserve">the largest edge-induced component size,</w:t>
      </w:r>
      <w:r>
        <w:t xml:space="preserve"> </w:t>
      </w:r>
      <m:oMath>
        <m:r>
          <m:t>A</m:t>
        </m:r>
      </m:oMath>
      <w:r>
        <w:t xml:space="preserve"> </w:t>
      </w:r>
      <w:r>
        <w:t xml:space="preserve">the ambiguous-circuit count,</w:t>
      </w:r>
      <w:r>
        <w:t xml:space="preserve"> </w:t>
      </w:r>
      <m:oMath>
        <m:r>
          <m:t>V</m:t>
        </m:r>
      </m:oMath>
      <w:r>
        <w:t xml:space="preserve"> </w:t>
      </w:r>
      <w:r>
        <w:t xml:space="preserve">and</w:t>
      </w:r>
      <w:r>
        <w:t xml:space="preserve"> </w:t>
      </w:r>
      <m:oMath>
        <m:r>
          <m:t>T</m:t>
        </m:r>
      </m:oMath>
      <w:r>
        <w:t xml:space="preserve"> </w:t>
      </w:r>
      <w:r>
        <w:t xml:space="preserve">the mixed-voltage and mixed-status counts,</w:t>
      </w:r>
      <w:r>
        <w:t xml:space="preserve"> </w:t>
      </w:r>
      <m:oMath>
        <m:r>
          <m:t>Q</m:t>
        </m:r>
      </m:oMath>
      <w:r>
        <w:t xml:space="preserve"> </w:t>
      </w:r>
      <w:r>
        <w:t xml:space="preserve">the ambiguous facility-match count,</w:t>
      </w:r>
      <w:r>
        <w:t xml:space="preserve"> </w:t>
      </w:r>
      <m:oMath>
        <m:r>
          <m:t>b</m:t>
        </m:r>
      </m:oMath>
      <w:r>
        <w:t xml:space="preserve"> </w:t>
      </w:r>
      <w:r>
        <w:t xml:space="preserve">the facility buffer in metres, and</w:t>
      </w:r>
      <w:r>
        <w:t xml:space="preserve"> </w:t>
      </w:r>
      <m:oMath>
        <m:r>
          <m:t>s</m:t>
        </m:r>
      </m:oMath>
      <w:r>
        <w:t xml:space="preserve"> </w:t>
      </w:r>
      <w:r>
        <w:t xml:space="preserve">the endpoint snap in metres. No term is normalized or fitted to truth labels. The maximum score is selected; an exact tie is resolved by the first configuration in the declared loop order: node sets A–C, buffers 50–500 m, snap thresholds 0.5–50 m, and merge modes geometry-only, voltage-aware, then voltage-plus-status-aware.</w:t>
      </w:r>
    </w:p>
    <w:p>
      <w:pPr>
        <w:pStyle w:val="BodyText"/>
      </w:pPr>
      <w:r>
        <w:t xml:space="preserve">This rule selects node set B, a 100 m facility buffer, a 0.5 m endpoint snap threshold, and voltage-plus-status-aware merging (</w:t>
      </w:r>
      <m:oMath>
        <m:r>
          <m:t>S</m:t>
        </m:r>
        <m:r>
          <m:rPr>
            <m:sty m:val="p"/>
          </m:rPr>
          <m:t>=</m:t>
        </m:r>
        <m:r>
          <m:t>32</m:t>
        </m:r>
        <m:r>
          <m:rPr>
            <m:sty m:val="p"/>
          </m:rPr>
          <m:t>,</m:t>
        </m:r>
        <m:r>
          <m:t>350</m:t>
        </m:r>
      </m:oMath>
      <w:r>
        <w:t xml:space="preserve">). The weights encode a documented pipeline design preference, not a calibrated probability or externally validated optimum; all 216 rows remain available for alternative selection rules.</w:t>
      </w:r>
    </w:p>
    <w:p>
      <w:pPr>
        <w:pStyle w:val="BodyText"/>
      </w:pPr>
      <w:r>
        <w:t xml:space="preserve">Large-language-model assistance was used for code review, structural editing, and release-checklist support. The authors inspected the generated changes and remain responsible for the methods, numerical results, citations, release files, and claims. This disclosure must be confirmed against the authors’ actual use before submission.</w:t>
      </w:r>
    </w:p>
    <w:bookmarkEnd w:id="35"/>
    <w:bookmarkStart w:id="36" w:name="dataset-generation"/>
    <w:p>
      <w:pPr>
        <w:pStyle w:val="Heading2"/>
      </w:pPr>
      <w:r>
        <w:t xml:space="preserve">Dataset generation</w:t>
      </w:r>
    </w:p>
    <w:p>
      <w:pPr>
        <w:pStyle w:val="FirstParagraph"/>
      </w:pPr>
      <w:r>
        <w:t xml:space="preserve">The selected setting converts 5,334 source line features into 1,342 circuit candidates. Of these, 358 satisfy the declared inter-facility rules and are released as retained candidate branches. The remaining 984 circuit candidates are preserved as downgraded records rather than discarded. The selected all-facility GraphML preserves isolated facilities as nodes so that graph outputs remain consistent with the declared isolate policy.</w:t>
      </w:r>
    </w:p>
    <w:p>
      <w:pPr>
        <w:pStyle w:val="BodyText"/>
      </w:pPr>
      <w:r>
        <w:t xml:space="preserve">The same workflow packages the reconstruction-sensitivity table, public-source triangulation outputs, negative controls, an independence-risk audit, internal-validation results, source manifests, schemas, and checksum-linked inventory. Electrical diagnostics and Stage 1–5 learning interfaces are excluded from the main v1.0.1 public archive because they depend on incomplete, proxy, benchmark-only, or scenario-derived information.</w:t>
      </w:r>
    </w:p>
    <w:bookmarkEnd w:id="36"/>
    <w:bookmarkEnd w:id="37"/>
    <w:bookmarkStart w:id="51" w:name="data-record"/>
    <w:p>
      <w:pPr>
        <w:pStyle w:val="Heading1"/>
      </w:pPr>
      <w:r>
        <w:t xml:space="preserve">Data Record</w:t>
      </w:r>
    </w:p>
    <w:bookmarkStart w:id="39" w:name="repository-overview"/>
    <w:p>
      <w:pPr>
        <w:pStyle w:val="Heading2"/>
      </w:pPr>
      <w:r>
        <w:t xml:space="preserve">Repository overview</w:t>
      </w:r>
    </w:p>
    <w:p>
      <w:pPr>
        <w:pStyle w:val="FirstParagraph"/>
      </w:pPr>
      <w:r>
        <w:rPr>
          <w:smallCaps/>
        </w:rPr>
        <w:t xml:space="preserve">PT60-Candidate</w:t>
      </w:r>
      <w:r>
        <w:t xml:space="preserve"> </w:t>
      </w:r>
      <w:r>
        <w:t xml:space="preserve">version 1.0.1 has been deposited in the reserved figshare record</w:t>
      </w:r>
      <w:r>
        <w:rPr>
          <w:vertAlign w:val="superscript"/>
        </w:rPr>
        <w:t xml:space="preserve">10</w:t>
      </w:r>
      <w:r>
        <w:t xml:space="preserve">. Its DOI is</w:t>
      </w:r>
      <w:r>
        <w:t xml:space="preserve"> </w:t>
      </w:r>
      <w:hyperlink r:id="rId38">
        <w:r>
          <w:rPr>
            <w:rStyle w:val="Hyperlink"/>
          </w:rPr>
          <w:t xml:space="preserve">https://doi.org/10.6084/m9.figshare.32984021</w:t>
        </w:r>
      </w:hyperlink>
      <w:r>
        <w:t xml:space="preserve">. The final tagged-build archive</w:t>
      </w:r>
      <w:r>
        <w:t xml:space="preserve"> </w:t>
      </w:r>
      <w:r>
        <w:rPr>
          <w:rStyle w:val="VerbatimChar"/>
        </w:rPr>
        <w:t xml:space="preserve">PT60-Candidate-v1.0.1.tar.gz</w:t>
      </w:r>
      <w:r>
        <w:t xml:space="preserve"> </w:t>
      </w:r>
      <w:r>
        <w:t xml:space="preserve">has SHA-256</w:t>
      </w:r>
      <w:r>
        <w:t xml:space="preserve"> </w:t>
      </w:r>
      <w:r>
        <w:rPr>
          <w:rStyle w:val="VerbatimChar"/>
        </w:rPr>
        <w:t xml:space="preserve">3240cd741e6af985c2d7e631856cc3482443ab56d0e4a687cdb3b63c6c957271</w:t>
      </w:r>
      <w:r>
        <w:t xml:space="preserve">.</w:t>
      </w:r>
    </w:p>
    <w:p>
      <w:pPr>
        <w:pStyle w:val="BodyText"/>
      </w:pPr>
      <w:r>
        <w:t xml:space="preserve">The archive contains 63 documented files. It provides the retained candidate topology, the complete downgrade/rejection ledger, the GraphML multigraph, the 216-setting sensitivity record, provenance manifests, validation outputs, schemas, licensing documents, and checksum-linked inventory. Raw E-REDES downloads, raw OSM history/cache blobs, manuscript work files, optional Stage 1–5 interfaces, and non-operational electrical diagnostics are not part of the main public archive. The reasons and reproducibility consequences of these exclusions are recorded in</w:t>
      </w:r>
      <w:r>
        <w:t xml:space="preserve"> </w:t>
      </w:r>
      <w:r>
        <w:rPr>
          <w:rStyle w:val="VerbatimChar"/>
        </w:rPr>
        <w:t xml:space="preserve">excluded_artifacts.json</w:t>
      </w:r>
      <w:r>
        <w:t xml:space="preserve">.</w:t>
      </w:r>
    </w:p>
    <w:bookmarkEnd w:id="39"/>
    <w:bookmarkStart w:id="41" w:name="file-organization"/>
    <w:p>
      <w:pPr>
        <w:pStyle w:val="Heading2"/>
      </w:pPr>
      <w:r>
        <w:t xml:space="preserve">File organization</w:t>
      </w:r>
    </w:p>
    <w:p>
      <w:pPr>
        <w:pStyle w:val="FirstParagraph"/>
      </w:pPr>
      <w:r>
        <w:t xml:space="preserve">The top-level</w:t>
      </w:r>
      <w:r>
        <w:t xml:space="preserve"> </w:t>
      </w:r>
      <w:r>
        <w:rPr>
          <w:rStyle w:val="VerbatimChar"/>
        </w:rPr>
        <w:t xml:space="preserve">README.md</w:t>
      </w:r>
      <w:r>
        <w:t xml:space="preserve">,</w:t>
      </w:r>
      <w:r>
        <w:t xml:space="preserve"> </w:t>
      </w:r>
      <w:r>
        <w:rPr>
          <w:rStyle w:val="VerbatimChar"/>
        </w:rPr>
        <w:t xml:space="preserve">CITATION.cff</w:t>
      </w:r>
      <w:r>
        <w:t xml:space="preserve">,</w:t>
      </w:r>
      <w:r>
        <w:t xml:space="preserve"> </w:t>
      </w:r>
      <w:r>
        <w:rPr>
          <w:rStyle w:val="VerbatimChar"/>
        </w:rPr>
        <w:t xml:space="preserve">DATA_LICENSE.md</w:t>
      </w:r>
      <w:r>
        <w:t xml:space="preserve">,</w:t>
      </w:r>
      <w:r>
        <w:t xml:space="preserve"> </w:t>
      </w:r>
      <w:r>
        <w:rPr>
          <w:rStyle w:val="VerbatimChar"/>
        </w:rPr>
        <w:t xml:space="preserve">ATTRIBUTION.md</w:t>
      </w:r>
      <w:r>
        <w:t xml:space="preserve">,</w:t>
      </w:r>
      <w:r>
        <w:t xml:space="preserve"> </w:t>
      </w:r>
      <w:r>
        <w:rPr>
          <w:rStyle w:val="VerbatimChar"/>
        </w:rPr>
        <w:t xml:space="preserve">CHANGELOG.md</w:t>
      </w:r>
      <w:r>
        <w:t xml:space="preserve">, and</w:t>
      </w:r>
      <w:r>
        <w:t xml:space="preserve"> </w:t>
      </w:r>
      <w:r>
        <w:rPr>
          <w:rStyle w:val="VerbatimChar"/>
        </w:rPr>
        <w:t xml:space="preserve">LICENSE-CODE-MIT</w:t>
      </w:r>
      <w:r>
        <w:t xml:space="preserve"> </w:t>
      </w:r>
      <w:r>
        <w:t xml:space="preserve">describe citation, licensing, attribution, version history, and scope. The archive-control files</w:t>
      </w:r>
      <w:r>
        <w:t xml:space="preserve"> </w:t>
      </w:r>
      <w:r>
        <w:rPr>
          <w:rStyle w:val="VerbatimChar"/>
        </w:rPr>
        <w:t xml:space="preserve">manifest.json</w:t>
      </w:r>
      <w:r>
        <w:t xml:space="preserve">,</w:t>
      </w:r>
      <w:r>
        <w:t xml:space="preserve"> </w:t>
      </w:r>
      <w:r>
        <w:rPr>
          <w:rStyle w:val="VerbatimChar"/>
        </w:rPr>
        <w:t xml:space="preserve">checksums.sha256</w:t>
      </w:r>
      <w:r>
        <w:t xml:space="preserve">,</w:t>
      </w:r>
      <w:r>
        <w:t xml:space="preserve"> </w:t>
      </w:r>
      <w:r>
        <w:rPr>
          <w:rStyle w:val="VerbatimChar"/>
        </w:rPr>
        <w:t xml:space="preserve">archive_validation_summary.json</w:t>
      </w:r>
      <w:r>
        <w:t xml:space="preserve">, and</w:t>
      </w:r>
      <w:r>
        <w:t xml:space="preserve"> </w:t>
      </w:r>
      <w:r>
        <w:rPr>
          <w:rStyle w:val="VerbatimChar"/>
        </w:rPr>
        <w:t xml:space="preserve">excluded_artifacts.json</w:t>
      </w:r>
      <w:r>
        <w:t xml:space="preserve"> </w:t>
      </w:r>
      <w:r>
        <w:t xml:space="preserve">identify every released file and verify package integrity. Table </w:t>
      </w:r>
      <w:hyperlink w:anchor="tab:archive-layout">
        <w:r>
          <w:rPr>
            <w:rStyle w:val="Hyperlink"/>
          </w:rPr>
          <w:t xml:space="preserve">3</w:t>
        </w:r>
      </w:hyperlink>
      <w:r>
        <w:t xml:space="preserve"> </w:t>
      </w:r>
      <w:r>
        <w:t xml:space="preserve">summarizes the directory-level organization.</w:t>
      </w:r>
    </w:p>
    <w:bookmarkStart w:id="40" w:name="tab:archive-layout"/>
    <w:p>
      <w:pPr>
        <w:pStyle w:val="TableCaption"/>
      </w:pPr>
      <w:r>
        <w:t xml:space="preserve">Directory structure of the</w:t>
      </w:r>
      <w:r>
        <w:t xml:space="preserve"> </w:t>
      </w:r>
      <w:r>
        <w:rPr>
          <w:smallCaps/>
        </w:rPr>
        <w:t xml:space="preserve">PT60-Candidate</w:t>
      </w:r>
      <w:r>
        <w:t xml:space="preserve"> </w:t>
      </w:r>
      <w:r>
        <w:t xml:space="preserve">v1.0.1 archive. Counts refer to files, not data rows.</w:t>
      </w:r>
    </w:p>
    <w:tbl>
      <w:tblPr>
        <w:tblStyle w:val="Table"/>
        <w:tblW w:type="auto" w:w="0"/>
        <w:tblLook w:firstRow="1" w:lastRow="0" w:firstColumn="0" w:lastColumn="0" w:noHBand="0" w:noVBand="0" w:val="0020"/>
        <w:tblCaption w:val="Directory structure of the PT60-Candidate v1.0.1 archive. Counts refer to files, not data rows."/>
      </w:tblPr>
      <w:tblGrid>
        <w:gridCol w:w="2640"/>
        <w:gridCol w:w="2640"/>
        <w:gridCol w:w="2640"/>
      </w:tblGrid>
      <w:tr>
        <w:trPr>
          <w:tblHeader w:val="on"/>
        </w:trPr>
        <w:tc>
          <w:tcPr/>
          <w:p>
            <w:pPr>
              <w:pStyle w:val="Compact"/>
              <w:jc w:val="left"/>
            </w:pPr>
            <w:r>
              <w:t xml:space="preserve">Path</w:t>
            </w:r>
          </w:p>
        </w:tc>
        <w:tc>
          <w:tcPr/>
          <w:p>
            <w:pPr>
              <w:pStyle w:val="Compact"/>
              <w:jc w:val="right"/>
            </w:pPr>
            <w:r>
              <w:t xml:space="preserve">Files</w:t>
            </w:r>
          </w:p>
        </w:tc>
        <w:tc>
          <w:tcPr/>
          <w:p>
            <w:pPr>
              <w:pStyle w:val="Compact"/>
              <w:jc w:val="left"/>
            </w:pPr>
            <w:r>
              <w:t xml:space="preserve">Contents</w:t>
            </w:r>
          </w:p>
        </w:tc>
      </w:tr>
      <w:tr>
        <w:tc>
          <w:tcPr/>
          <w:p>
            <w:pPr>
              <w:pStyle w:val="Compact"/>
              <w:jc w:val="left"/>
            </w:pPr>
            <w:r>
              <w:rPr>
                <w:rStyle w:val="VerbatimChar"/>
              </w:rPr>
              <w:t xml:space="preserve">core_topology/</w:t>
            </w:r>
          </w:p>
        </w:tc>
        <w:tc>
          <w:tcPr/>
          <w:p>
            <w:pPr>
              <w:pStyle w:val="Compact"/>
              <w:jc w:val="right"/>
            </w:pPr>
            <w:r>
              <w:t xml:space="preserve">12</w:t>
            </w:r>
          </w:p>
        </w:tc>
        <w:tc>
          <w:tcPr/>
          <w:p>
            <w:pPr>
              <w:pStyle w:val="Compact"/>
              <w:jc w:val="left"/>
            </w:pPr>
            <w:r>
              <w:t xml:space="preserve">Retained branches, complete circuit ledger, GraphML, sensitivity sweep, endpoint/facility summaries, voltage inventory, and parameter-readiness summary.</w:t>
            </w:r>
          </w:p>
        </w:tc>
      </w:tr>
      <w:tr>
        <w:tc>
          <w:tcPr/>
          <w:p>
            <w:pPr>
              <w:pStyle w:val="Compact"/>
              <w:jc w:val="left"/>
            </w:pPr>
            <w:r>
              <w:rPr>
                <w:rStyle w:val="VerbatimChar"/>
              </w:rPr>
              <w:t xml:space="preserve">provenance/</w:t>
            </w:r>
          </w:p>
        </w:tc>
        <w:tc>
          <w:tcPr/>
          <w:p>
            <w:pPr>
              <w:pStyle w:val="Compact"/>
              <w:jc w:val="right"/>
            </w:pPr>
            <w:r>
              <w:t xml:space="preserve">5</w:t>
            </w:r>
          </w:p>
        </w:tc>
        <w:tc>
          <w:tcPr/>
          <w:p>
            <w:pPr>
              <w:pStyle w:val="Compact"/>
              <w:jc w:val="left"/>
            </w:pPr>
            <w:r>
              <w:t xml:space="preserve">Source manifests, API validation, licence decisions, and responsible-release boundary.</w:t>
            </w:r>
          </w:p>
        </w:tc>
      </w:tr>
      <w:tr>
        <w:tc>
          <w:tcPr/>
          <w:p>
            <w:pPr>
              <w:pStyle w:val="Compact"/>
              <w:jc w:val="left"/>
            </w:pPr>
            <w:r>
              <w:rPr>
                <w:rStyle w:val="VerbatimChar"/>
              </w:rPr>
              <w:t xml:space="preserve">validation/</w:t>
            </w:r>
          </w:p>
        </w:tc>
        <w:tc>
          <w:tcPr/>
          <w:p>
            <w:pPr>
              <w:pStyle w:val="Compact"/>
              <w:jc w:val="right"/>
            </w:pPr>
            <w:r>
              <w:t xml:space="preserve">13</w:t>
            </w:r>
          </w:p>
        </w:tc>
        <w:tc>
          <w:tcPr/>
          <w:p>
            <w:pPr>
              <w:pStyle w:val="Compact"/>
              <w:jc w:val="left"/>
            </w:pPr>
            <w:r>
              <w:t xml:space="preserve">Internal checks, missingness, two negative controls, public-source concordance, and sanitized independence-risk records.</w:t>
            </w:r>
          </w:p>
        </w:tc>
      </w:tr>
      <w:tr>
        <w:tc>
          <w:tcPr/>
          <w:p>
            <w:pPr>
              <w:pStyle w:val="Compact"/>
              <w:jc w:val="left"/>
            </w:pPr>
            <w:r>
              <w:rPr>
                <w:rStyle w:val="VerbatimChar"/>
              </w:rPr>
              <w:t xml:space="preserve">schema/</w:t>
            </w:r>
          </w:p>
        </w:tc>
        <w:tc>
          <w:tcPr/>
          <w:p>
            <w:pPr>
              <w:pStyle w:val="Compact"/>
              <w:jc w:val="right"/>
            </w:pPr>
            <w:r>
              <w:t xml:space="preserve">22</w:t>
            </w:r>
          </w:p>
        </w:tc>
        <w:tc>
          <w:tcPr/>
          <w:p>
            <w:pPr>
              <w:pStyle w:val="Compact"/>
              <w:jc w:val="left"/>
            </w:pPr>
            <w:r>
              <w:t xml:space="preserve">Field dictionary, file schemas, joins, CRS/geometry documentation, and 15 machine-readable schemas.</w:t>
            </w:r>
          </w:p>
        </w:tc>
      </w:tr>
      <w:tr>
        <w:tc>
          <w:tcPr/>
          <w:p>
            <w:pPr>
              <w:pStyle w:val="Compact"/>
              <w:jc w:val="left"/>
            </w:pPr>
            <w:r>
              <w:rPr>
                <w:rStyle w:val="VerbatimChar"/>
              </w:rPr>
              <w:t xml:space="preserve">inventory/</w:t>
            </w:r>
          </w:p>
        </w:tc>
        <w:tc>
          <w:tcPr/>
          <w:p>
            <w:pPr>
              <w:pStyle w:val="Compact"/>
              <w:jc w:val="right"/>
            </w:pPr>
            <w:r>
              <w:t xml:space="preserve">1</w:t>
            </w:r>
          </w:p>
        </w:tc>
        <w:tc>
          <w:tcPr/>
          <w:p>
            <w:pPr>
              <w:pStyle w:val="Compact"/>
              <w:jc w:val="left"/>
            </w:pPr>
            <w:r>
              <w:t xml:space="preserve">Frozen headline counts and release-scope statements.</w:t>
            </w:r>
          </w:p>
        </w:tc>
      </w:tr>
      <w:tr>
        <w:tc>
          <w:tcPr/>
          <w:p>
            <w:pPr>
              <w:pStyle w:val="Compact"/>
              <w:jc w:val="left"/>
            </w:pPr>
            <w:r>
              <w:t xml:space="preserve">Archive root</w:t>
            </w:r>
          </w:p>
        </w:tc>
        <w:tc>
          <w:tcPr/>
          <w:p>
            <w:pPr>
              <w:pStyle w:val="Compact"/>
              <w:jc w:val="right"/>
            </w:pPr>
            <w:r>
              <w:t xml:space="preserve">10</w:t>
            </w:r>
          </w:p>
        </w:tc>
        <w:tc>
          <w:tcPr/>
          <w:p>
            <w:pPr>
              <w:pStyle w:val="Compact"/>
              <w:jc w:val="left"/>
            </w:pPr>
            <w:r>
              <w:t xml:space="preserve">Readme, citation, licences, attribution, changelog, manifest, checksums, exclusions, and validation summary.</w:t>
            </w:r>
          </w:p>
        </w:tc>
      </w:tr>
    </w:tbl>
    <w:bookmarkEnd w:id="40"/>
    <w:bookmarkEnd w:id="41"/>
    <w:bookmarkStart w:id="49" w:name="released-artifacts"/>
    <w:p>
      <w:pPr>
        <w:pStyle w:val="Heading2"/>
      </w:pPr>
      <w:r>
        <w:t xml:space="preserve">Released artifacts</w:t>
      </w:r>
    </w:p>
    <w:p>
      <w:pPr>
        <w:pStyle w:val="FirstParagraph"/>
      </w:pPr>
      <w:r>
        <w:t xml:space="preserve">Table </w:t>
      </w:r>
      <w:hyperlink w:anchor="tab:composition">
        <w:r>
          <w:rPr>
            <w:rStyle w:val="Hyperlink"/>
          </w:rPr>
          <w:t xml:space="preserve">4</w:t>
        </w:r>
      </w:hyperlink>
      <w:r>
        <w:t xml:space="preserve"> </w:t>
      </w:r>
      <w:r>
        <w:t xml:space="preserve">identifies the principal machine-readable records and their roles.</w:t>
      </w:r>
    </w:p>
    <w:bookmarkStart w:id="42" w:name="tab:composition"/>
    <w:p>
      <w:pPr>
        <w:pStyle w:val="TableCaption"/>
      </w:pPr>
      <w:r>
        <w:t xml:space="preserve">Principal machine-readable artifacts in the deposited archive. Paths are relative to the archive root.</w:t>
      </w:r>
    </w:p>
    <w:tbl>
      <w:tblPr>
        <w:tblStyle w:val="Table"/>
        <w:tblW w:type="auto" w:w="0"/>
        <w:tblLook w:firstRow="1" w:lastRow="0" w:firstColumn="0" w:lastColumn="0" w:noHBand="0" w:noVBand="0" w:val="0020"/>
        <w:tblCaption w:val="Principal machine-readable artifacts in the deposited archive. Paths are relative to the archive root."/>
      </w:tblPr>
      <w:tblGrid>
        <w:gridCol w:w="2640"/>
        <w:gridCol w:w="2640"/>
        <w:gridCol w:w="2640"/>
      </w:tblGrid>
      <w:tr>
        <w:trPr>
          <w:tblHeader w:val="on"/>
        </w:trPr>
        <w:tc>
          <w:tcPr/>
          <w:p>
            <w:pPr>
              <w:pStyle w:val="Compact"/>
              <w:jc w:val="left"/>
            </w:pPr>
            <w:r>
              <w:t xml:space="preserve">Artifact</w:t>
            </w:r>
          </w:p>
        </w:tc>
        <w:tc>
          <w:tcPr/>
          <w:p>
            <w:pPr>
              <w:pStyle w:val="Compact"/>
              <w:jc w:val="right"/>
            </w:pPr>
            <w:r>
              <w:t xml:space="preserve">Rows/items</w:t>
            </w:r>
          </w:p>
        </w:tc>
        <w:tc>
          <w:tcPr/>
          <w:p>
            <w:pPr>
              <w:pStyle w:val="Compact"/>
              <w:jc w:val="left"/>
            </w:pPr>
            <w:r>
              <w:t xml:space="preserve">Purpose</w:t>
            </w:r>
          </w:p>
        </w:tc>
      </w:tr>
      <w:tr>
        <w:tc>
          <w:tcPr/>
          <w:p>
            <w:pPr>
              <w:pStyle w:val="Compact"/>
              <w:jc w:val="left"/>
            </w:pPr>
            <w:r>
              <w:t xml:space="preserve">Retained candidate branches CSV</w:t>
            </w:r>
          </w:p>
        </w:tc>
        <w:tc>
          <w:tcPr/>
          <w:p>
            <w:pPr>
              <w:pStyle w:val="Compact"/>
              <w:jc w:val="right"/>
            </w:pPr>
            <w:r>
              <w:t xml:space="preserve">358</w:t>
            </w:r>
          </w:p>
        </w:tc>
        <w:tc>
          <w:tcPr/>
          <w:p>
            <w:pPr>
              <w:pStyle w:val="Compact"/>
              <w:jc w:val="left"/>
            </w:pPr>
            <w:r>
              <w:t xml:space="preserve">Inter-facility candidate branches with endpoint facilities, source identifiers, geometry-derived length, status, and confidence metadata.</w:t>
            </w:r>
          </w:p>
        </w:tc>
      </w:tr>
      <w:tr>
        <w:tc>
          <w:tcPr/>
          <w:p>
            <w:pPr>
              <w:pStyle w:val="Compact"/>
              <w:jc w:val="left"/>
            </w:pPr>
            <w:r>
              <w:t xml:space="preserve">Circuit-classification ledger CSV</w:t>
            </w:r>
          </w:p>
        </w:tc>
        <w:tc>
          <w:tcPr/>
          <w:p>
            <w:pPr>
              <w:pStyle w:val="Compact"/>
              <w:jc w:val="right"/>
            </w:pPr>
            <w:r>
              <w:t xml:space="preserve">1,342</w:t>
            </w:r>
          </w:p>
        </w:tc>
        <w:tc>
          <w:tcPr/>
          <w:p>
            <w:pPr>
              <w:pStyle w:val="Compact"/>
              <w:jc w:val="left"/>
            </w:pPr>
            <w:r>
              <w:t xml:space="preserve">Full retained and downgraded circuit population with terminal structure, conflict flags, and disposition fields.</w:t>
            </w:r>
          </w:p>
        </w:tc>
      </w:tr>
      <w:tr>
        <w:tc>
          <w:tcPr/>
          <w:p>
            <w:pPr>
              <w:pStyle w:val="Compact"/>
              <w:jc w:val="left"/>
            </w:pPr>
            <w:r>
              <w:t xml:space="preserve">Selected GraphML multigraph</w:t>
            </w:r>
          </w:p>
        </w:tc>
        <w:tc>
          <w:tcPr/>
          <w:p>
            <w:pPr>
              <w:pStyle w:val="Compact"/>
              <w:jc w:val="right"/>
            </w:pPr>
            <w:r>
              <w:t xml:space="preserve">484 nodes, 358 edges</w:t>
            </w:r>
          </w:p>
        </w:tc>
        <w:tc>
          <w:tcPr/>
          <w:p>
            <w:pPr>
              <w:pStyle w:val="Compact"/>
              <w:jc w:val="left"/>
            </w:pPr>
            <w:r>
              <w:t xml:space="preserve">All-facility candidate graph including isolates under the declared release policy.</w:t>
            </w:r>
          </w:p>
        </w:tc>
      </w:tr>
      <w:tr>
        <w:tc>
          <w:tcPr/>
          <w:p>
            <w:pPr>
              <w:pStyle w:val="Compact"/>
              <w:jc w:val="left"/>
            </w:pPr>
            <w:r>
              <w:t xml:space="preserve">Reconstruction-sensitivity CSV</w:t>
            </w:r>
          </w:p>
        </w:tc>
        <w:tc>
          <w:tcPr/>
          <w:p>
            <w:pPr>
              <w:pStyle w:val="Compact"/>
              <w:jc w:val="right"/>
            </w:pPr>
            <w:r>
              <w:t xml:space="preserve">216</w:t>
            </w:r>
          </w:p>
        </w:tc>
        <w:tc>
          <w:tcPr/>
          <w:p>
            <w:pPr>
              <w:pStyle w:val="Compact"/>
              <w:jc w:val="left"/>
            </w:pPr>
            <w:r>
              <w:t xml:space="preserve">Parameter sweep across facility sets, buffers, snap thresholds, and merge modes.</w:t>
            </w:r>
          </w:p>
        </w:tc>
      </w:tr>
      <w:tr>
        <w:tc>
          <w:tcPr/>
          <w:p>
            <w:pPr>
              <w:pStyle w:val="Compact"/>
              <w:jc w:val="left"/>
            </w:pPr>
            <w:r>
              <w:t xml:space="preserve">Public-source concordance CSV/JSON</w:t>
            </w:r>
          </w:p>
        </w:tc>
        <w:tc>
          <w:tcPr/>
          <w:p>
            <w:pPr>
              <w:pStyle w:val="Compact"/>
              <w:jc w:val="right"/>
            </w:pPr>
            <w:r>
              <w:t xml:space="preserve">358 branch records</w:t>
            </w:r>
          </w:p>
        </w:tc>
        <w:tc>
          <w:tcPr/>
          <w:p>
            <w:pPr>
              <w:pStyle w:val="Compact"/>
              <w:jc w:val="left"/>
            </w:pPr>
            <w:r>
              <w:t xml:space="preserve">Public-evidence categories, matching variables, source roles, and supporting summaries.</w:t>
            </w:r>
          </w:p>
        </w:tc>
      </w:tr>
      <w:tr>
        <w:tc>
          <w:tcPr/>
          <w:p>
            <w:pPr>
              <w:pStyle w:val="Compact"/>
              <w:jc w:val="left"/>
            </w:pPr>
            <w:r>
              <w:t xml:space="preserve">Negative-control CSV/JSON</w:t>
            </w:r>
          </w:p>
        </w:tc>
        <w:tc>
          <w:tcPr/>
          <w:p>
            <w:pPr>
              <w:pStyle w:val="Compact"/>
              <w:jc w:val="right"/>
            </w:pPr>
            <w:r>
              <w:t xml:space="preserve">2 controls</w:t>
            </w:r>
          </w:p>
        </w:tc>
        <w:tc>
          <w:tcPr/>
          <w:p>
            <w:pPr>
              <w:pStyle w:val="Compact"/>
              <w:jc w:val="left"/>
            </w:pPr>
            <w:r>
              <w:t xml:space="preserve">Endpoint-name corruption and spatial-displacement matcher-selectivity results.</w:t>
            </w:r>
          </w:p>
        </w:tc>
      </w:tr>
      <w:tr>
        <w:tc>
          <w:tcPr/>
          <w:p>
            <w:pPr>
              <w:pStyle w:val="Compact"/>
              <w:jc w:val="left"/>
            </w:pPr>
            <w:r>
              <w:t xml:space="preserve">Source manifests CSV/JSON</w:t>
            </w:r>
          </w:p>
        </w:tc>
        <w:tc>
          <w:tcPr/>
          <w:p>
            <w:pPr>
              <w:pStyle w:val="Compact"/>
              <w:jc w:val="right"/>
            </w:pPr>
            <w:r>
              <w:t xml:space="preserve">13 sources</w:t>
            </w:r>
          </w:p>
        </w:tc>
        <w:tc>
          <w:tcPr/>
          <w:p>
            <w:pPr>
              <w:pStyle w:val="Compact"/>
              <w:jc w:val="left"/>
            </w:pPr>
            <w:r>
              <w:t xml:space="preserve">Source dataset identifiers, roles, access checks, and attribution metadata.</w:t>
            </w:r>
          </w:p>
        </w:tc>
      </w:tr>
      <w:tr>
        <w:tc>
          <w:tcPr/>
          <w:p>
            <w:pPr>
              <w:pStyle w:val="Compact"/>
              <w:jc w:val="left"/>
            </w:pPr>
            <w:r>
              <w:t xml:space="preserve">Data dictionary CSV</w:t>
            </w:r>
          </w:p>
        </w:tc>
        <w:tc>
          <w:tcPr/>
          <w:p>
            <w:pPr>
              <w:pStyle w:val="Compact"/>
              <w:jc w:val="right"/>
            </w:pPr>
            <w:r>
              <w:t xml:space="preserve">1,090 records</w:t>
            </w:r>
          </w:p>
        </w:tc>
        <w:tc>
          <w:tcPr/>
          <w:p>
            <w:pPr>
              <w:pStyle w:val="Compact"/>
              <w:jc w:val="left"/>
            </w:pPr>
            <w:r>
              <w:t xml:space="preserve">Field, JSON-pointer, and GraphML-attribute definitions across 54 machine-readable paths.</w:t>
            </w:r>
          </w:p>
        </w:tc>
      </w:tr>
    </w:tbl>
    <w:bookmarkEnd w:id="42"/>
    <w:bookmarkStart w:id="43" w:name="retained-candidate-branches-csv."/>
    <w:p>
      <w:pPr>
        <w:pStyle w:val="Heading4"/>
      </w:pPr>
      <w:r>
        <w:t xml:space="preserve">Retained candidate branches CSV.</w:t>
      </w:r>
    </w:p>
    <w:p>
      <w:pPr>
        <w:pStyle w:val="FirstParagraph"/>
      </w:pPr>
      <w:r>
        <w:t xml:space="preserve">The retained branch table (</w:t>
      </w:r>
      <w:r>
        <w:rPr>
          <w:rStyle w:val="VerbatimChar"/>
        </w:rPr>
        <w:t xml:space="preserve">core_topology/at_interfacility_candidate_branches.csv</w:t>
      </w:r>
      <w:r>
        <w:t xml:space="preserve">) is the principal branch-level record. Its 358 rows contain generated branch and circuit identifiers, endpoint facility identifiers and labels, voltage and status fields, geometry-derived length, segment count, source-line membership, the rule-based</w:t>
      </w:r>
      <w:r>
        <w:t xml:space="preserve"> </w:t>
      </w:r>
      <w:r>
        <w:rPr>
          <w:rStyle w:val="VerbatimChar"/>
        </w:rPr>
        <w:t xml:space="preserve">confidence_score</w:t>
      </w:r>
      <w:r>
        <w:t xml:space="preserve"> </w:t>
      </w:r>
      <w:r>
        <w:t xml:space="preserve">defined in Methods, and explicit electrical placeholders. Fields ending in</w:t>
      </w:r>
      <w:r>
        <w:t xml:space="preserve"> </w:t>
      </w:r>
      <w:r>
        <w:rPr>
          <w:rStyle w:val="VerbatimChar"/>
        </w:rPr>
        <w:t xml:space="preserve">_m</w:t>
      </w:r>
      <w:r>
        <w:t xml:space="preserve"> </w:t>
      </w:r>
      <w:r>
        <w:t xml:space="preserve">and</w:t>
      </w:r>
      <w:r>
        <w:t xml:space="preserve"> </w:t>
      </w:r>
      <w:r>
        <w:rPr>
          <w:rStyle w:val="VerbatimChar"/>
        </w:rPr>
        <w:t xml:space="preserve">_km</w:t>
      </w:r>
      <w:r>
        <w:t xml:space="preserve"> </w:t>
      </w:r>
      <w:r>
        <w:t xml:space="preserve">use metres and kilometres, respectively. Missing electrical fields are not backfilled with model defaults.</w:t>
      </w:r>
    </w:p>
    <w:bookmarkEnd w:id="43"/>
    <w:bookmarkStart w:id="44" w:name="circuit-classification-ledger-csv."/>
    <w:p>
      <w:pPr>
        <w:pStyle w:val="Heading4"/>
      </w:pPr>
      <w:r>
        <w:t xml:space="preserve">Circuit-classification ledger CSV.</w:t>
      </w:r>
    </w:p>
    <w:p>
      <w:pPr>
        <w:pStyle w:val="FirstParagraph"/>
      </w:pPr>
      <w:r>
        <w:t xml:space="preserve">The circuit-classification ledger (</w:t>
      </w:r>
      <w:r>
        <w:rPr>
          <w:rStyle w:val="VerbatimChar"/>
        </w:rPr>
        <w:t xml:space="preserve">core_topology/at_circuit_classification.csv</w:t>
      </w:r>
      <w:r>
        <w:t xml:space="preserve">) contains all 1,342 merged circuit candidates, including the 358 retained records and 984 downgraded or rejected outcomes. Rows include construction-setting identifiers, terminal structure, facility membership, ambiguity and conflict indicators, source-line membership, disposition, and downgrade reason. The ledger exposes what was not retained and why.</w:t>
      </w:r>
    </w:p>
    <w:bookmarkEnd w:id="44"/>
    <w:bookmarkStart w:id="45" w:name="reconstruction-sensitivity-csv."/>
    <w:p>
      <w:pPr>
        <w:pStyle w:val="Heading4"/>
      </w:pPr>
      <w:r>
        <w:t xml:space="preserve">Reconstruction-sensitivity CSV.</w:t>
      </w:r>
    </w:p>
    <w:p>
      <w:pPr>
        <w:pStyle w:val="FirstParagraph"/>
      </w:pPr>
      <w:r>
        <w:t xml:space="preserve">The sensitivity table (</w:t>
      </w:r>
      <w:r>
        <w:rPr>
          <w:rStyle w:val="VerbatimChar"/>
        </w:rPr>
        <w:t xml:space="preserve">core_topology/at_paper_logic_parameter_sweep.csv</w:t>
      </w:r>
      <w:r>
        <w:t xml:space="preserve">) stores all 216 combinations of facility set, facility buffer, endpoint snap threshold, and merge mode together with the corresponding reconstruction summaries. The selected setting is identified in</w:t>
      </w:r>
      <w:r>
        <w:t xml:space="preserve"> </w:t>
      </w:r>
      <w:r>
        <w:rPr>
          <w:rStyle w:val="VerbatimChar"/>
        </w:rPr>
        <w:t xml:space="preserve">core_topology/at_paper_logic_summary.json</w:t>
      </w:r>
      <w:r>
        <w:t xml:space="preserve">.</w:t>
      </w:r>
    </w:p>
    <w:bookmarkEnd w:id="45"/>
    <w:bookmarkStart w:id="46" w:name="graphml-multigraph."/>
    <w:p>
      <w:pPr>
        <w:pStyle w:val="Heading4"/>
      </w:pPr>
      <w:r>
        <w:t xml:space="preserve">GraphML multigraph.</w:t>
      </w:r>
    </w:p>
    <w:p>
      <w:pPr>
        <w:pStyle w:val="FirstParagraph"/>
      </w:pPr>
      <w:r>
        <w:t xml:space="preserve">The GraphML file (</w:t>
      </w:r>
      <w:r>
        <w:rPr>
          <w:rStyle w:val="VerbatimChar"/>
        </w:rPr>
        <w:t xml:space="preserve">core_topology/at_paper_logic_graph.graphml</w:t>
      </w:r>
      <w:r>
        <w:t xml:space="preserve">) represents the selected candidate multigraph. Nodes correspond to facilities in the selected release node set, including declared isolates; edges correspond to retained candidate branches. The</w:t>
      </w:r>
      <w:r>
        <w:t xml:space="preserve"> </w:t>
      </w:r>
      <w:r>
        <w:rPr>
          <w:rStyle w:val="VerbatimChar"/>
        </w:rPr>
        <w:t xml:space="preserve">branch_id</w:t>
      </w:r>
      <w:r>
        <w:t xml:space="preserve"> </w:t>
      </w:r>
      <w:r>
        <w:t xml:space="preserve">edge identifiers and facility identifiers link the GraphML to the retained branch table and facility summaries. Parallel edges are preserved.</w:t>
      </w:r>
    </w:p>
    <w:bookmarkEnd w:id="46"/>
    <w:bookmarkStart w:id="47" w:name="validation-and-public-evidence-records."/>
    <w:p>
      <w:pPr>
        <w:pStyle w:val="Heading4"/>
      </w:pPr>
      <w:r>
        <w:t xml:space="preserve">Validation and public-evidence records.</w:t>
      </w:r>
    </w:p>
    <w:p>
      <w:pPr>
        <w:pStyle w:val="FirstParagraph"/>
      </w:pPr>
      <w:r>
        <w:t xml:space="preserve">The</w:t>
      </w:r>
      <w:r>
        <w:t xml:space="preserve"> </w:t>
      </w:r>
      <w:r>
        <w:rPr>
          <w:rStyle w:val="VerbatimChar"/>
        </w:rPr>
        <w:t xml:space="preserve">validation/</w:t>
      </w:r>
      <w:r>
        <w:t xml:space="preserve"> </w:t>
      </w:r>
      <w:r>
        <w:t xml:space="preserve">directory contains the 25 internal checks and missingness report; endpoint-name and spatial-alignment negative controls; branch-level OSM-derived concordance; a source-role audit; and a sanitized independence-risk audit. The</w:t>
      </w:r>
      <w:r>
        <w:t xml:space="preserve"> </w:t>
      </w:r>
      <w:r>
        <w:rPr>
          <w:rStyle w:val="VerbatimChar"/>
        </w:rPr>
        <w:t xml:space="preserve">branch_id</w:t>
      </w:r>
      <w:r>
        <w:t xml:space="preserve"> </w:t>
      </w:r>
      <w:r>
        <w:t xml:space="preserve">field links these records to the retained branch table. Evidence and independence-risk categories are audit variables, not confirmed topology labels.</w:t>
      </w:r>
    </w:p>
    <w:bookmarkEnd w:id="47"/>
    <w:bookmarkStart w:id="48" w:name="metadata-and-manifests."/>
    <w:p>
      <w:pPr>
        <w:pStyle w:val="Heading4"/>
      </w:pPr>
      <w:r>
        <w:t xml:space="preserve">Metadata and manifests.</w:t>
      </w:r>
    </w:p>
    <w:p>
      <w:pPr>
        <w:pStyle w:val="FirstParagraph"/>
      </w:pPr>
      <w:r>
        <w:t xml:space="preserve">The parallel</w:t>
      </w:r>
      <w:r>
        <w:t xml:space="preserve"> </w:t>
      </w:r>
      <w:r>
        <w:rPr>
          <w:rStyle w:val="VerbatimChar"/>
        </w:rPr>
        <w:t xml:space="preserve">provenance/reproduction_source_manifest.csv</w:t>
      </w:r>
      <w:r>
        <w:t xml:space="preserve"> </w:t>
      </w:r>
      <w:r>
        <w:t xml:space="preserve">and</w:t>
      </w:r>
      <w:r>
        <w:t xml:space="preserve"> </w:t>
      </w:r>
      <w:r>
        <w:rPr>
          <w:rStyle w:val="VerbatimChar"/>
        </w:rPr>
        <w:t xml:space="preserve">.json</w:t>
      </w:r>
      <w:r>
        <w:t xml:space="preserve"> </w:t>
      </w:r>
      <w:r>
        <w:t xml:space="preserve">files record dataset identifiers, roles, access checks, and attribution metadata for 13 sources. The release-level</w:t>
      </w:r>
      <w:r>
        <w:t xml:space="preserve"> </w:t>
      </w:r>
      <w:r>
        <w:rPr>
          <w:rStyle w:val="VerbatimChar"/>
        </w:rPr>
        <w:t xml:space="preserve">manifest.json</w:t>
      </w:r>
      <w:r>
        <w:t xml:space="preserve"> </w:t>
      </w:r>
      <w:r>
        <w:t xml:space="preserve">contains relative path, purpose, semantic role, media type, bytes, SHA-256, row/item count, dataset and schema versions, generator commit, upstream source identifiers, licence class, and public-access class for each file.</w:t>
      </w:r>
      <w:r>
        <w:t xml:space="preserve"> </w:t>
      </w:r>
      <w:r>
        <w:rPr>
          <w:rStyle w:val="VerbatimChar"/>
        </w:rPr>
        <w:t xml:space="preserve">checksums.sha256</w:t>
      </w:r>
      <w:r>
        <w:t xml:space="preserve"> </w:t>
      </w:r>
      <w:r>
        <w:t xml:space="preserve">provides an independently checkable path–digest list.</w:t>
      </w:r>
    </w:p>
    <w:bookmarkEnd w:id="48"/>
    <w:bookmarkEnd w:id="49"/>
    <w:bookmarkStart w:id="50" w:name="X1b441bc8825d4205e2695a1ab561ef77fea70bc"/>
    <w:p>
      <w:pPr>
        <w:pStyle w:val="Heading2"/>
      </w:pPr>
      <w:r>
        <w:t xml:space="preserve">Schema, coordinate systems, units, and missing values</w:t>
      </w:r>
    </w:p>
    <w:p>
      <w:pPr>
        <w:pStyle w:val="FirstParagraph"/>
      </w:pPr>
      <w:r>
        <w:t xml:space="preserve">The schema package documents 54 public machine-readable paths using 1,090 field, JSON-pointer, and GraphML-attribute records.</w:t>
      </w:r>
      <w:r>
        <w:t xml:space="preserve"> </w:t>
      </w:r>
      <w:r>
        <w:rPr>
          <w:rStyle w:val="VerbatimChar"/>
        </w:rPr>
        <w:t xml:space="preserve">schema/data_dictionary.csv</w:t>
      </w:r>
      <w:r>
        <w:t xml:space="preserve"> </w:t>
      </w:r>
      <w:r>
        <w:t xml:space="preserve">defines type, nullability, unit, observed missing representation, allowed values, semantic status, derivation, and key role. Version 1.0.1 corrects the earlier substring-based inference of coordinate, geometry, boolean, and count fields and adds fail-closed semantic checks plus regression tests for those failure modes.</w:t>
      </w:r>
      <w:r>
        <w:t xml:space="preserve"> </w:t>
      </w:r>
      <w:r>
        <w:rPr>
          <w:rStyle w:val="VerbatimChar"/>
        </w:rPr>
        <w:t xml:space="preserve">schema/join_relationships.csv</w:t>
      </w:r>
      <w:r>
        <w:t xml:space="preserve"> </w:t>
      </w:r>
      <w:r>
        <w:t xml:space="preserve">defines six recommended joins among retained branches, the ledger, validation records, source manifests, and archive checksums. Fifteen JSON schema files cover the principal core, validation, provenance, manifest, and GraphML records.</w:t>
      </w:r>
    </w:p>
    <w:p>
      <w:pPr>
        <w:pStyle w:val="BodyText"/>
      </w:pPr>
      <w:r>
        <w:t xml:space="preserve">The topology inputs were retrieved through Opendatasoft v2.1 GeoJSON export routes without an</w:t>
      </w:r>
      <w:r>
        <w:t xml:space="preserve"> </w:t>
      </w:r>
      <w:r>
        <w:rPr>
          <w:rStyle w:val="VerbatimChar"/>
        </w:rPr>
        <w:t xml:space="preserve">epsg</w:t>
      </w:r>
      <w:r>
        <w:t xml:space="preserve"> </w:t>
      </w:r>
      <w:r>
        <w:t xml:space="preserve">override; the documented default for geometry-capable exports is EPSG:4326</w:t>
      </w:r>
      <w:r>
        <w:rPr>
          <w:vertAlign w:val="superscript"/>
        </w:rPr>
        <w:t xml:space="preserve">11</w:t>
      </w:r>
      <w:r>
        <w:t xml:space="preserve">. Released geometries therefore use GeoJSON-style WGS 84 coordinates (EPSG:4326) in longitude–latitude order. The native CRS before portal ingestion, if different, is not recorded and was not used by the reconstruction pipeline. Endpoint clustering, facility distances, corridor distances, and length diagnostics use a pipeline-defined local equirectangular metric workspace centred at longitude</w:t>
      </w:r>
      <w:r>
        <w:t xml:space="preserve"> </w:t>
      </w:r>
      <m:oMath>
        <m:r>
          <m:rPr>
            <m:sty m:val="p"/>
          </m:rPr>
          <m:t>−</m:t>
        </m:r>
        <m:r>
          <m:t>8.532604</m:t>
        </m:r>
      </m:oMath>
      <w:r>
        <w:t xml:space="preserve"> </w:t>
      </w:r>
      <w:r>
        <w:t xml:space="preserve">and latitude</w:t>
      </w:r>
      <w:r>
        <w:t xml:space="preserve"> </w:t>
      </w:r>
      <m:oMath>
        <m:r>
          <m:t>39.567953</m:t>
        </m:r>
      </m:oMath>
      <w:r>
        <w:t xml:space="preserve">; this workspace has no EPSG identifier. The projection-error audit is described in Methods (Section </w:t>
      </w:r>
      <w:hyperlink w:anchor="sec:projection-error-audit">
        <w:r>
          <w:rPr>
            <w:rStyle w:val="Hyperlink"/>
          </w:rPr>
          <w:t xml:space="preserve">[sec:projection-error-audit]</w:t>
        </w:r>
      </w:hyperlink>
      <w:r>
        <w:t xml:space="preserve">). Voltage fields preserve file-specific source encodings. Common missing representations are empty strings, JSON</w:t>
      </w:r>
      <w:r>
        <w:t xml:space="preserve"> </w:t>
      </w:r>
      <w:r>
        <w:rPr>
          <w:rStyle w:val="VerbatimChar"/>
        </w:rPr>
        <w:t xml:space="preserve">null</w:t>
      </w:r>
      <w:r>
        <w:t xml:space="preserve">,</w:t>
      </w:r>
      <w:r>
        <w:t xml:space="preserve"> </w:t>
      </w:r>
      <w:r>
        <w:rPr>
          <w:rStyle w:val="VerbatimChar"/>
        </w:rPr>
        <w:t xml:space="preserve">NaN</w:t>
      </w:r>
      <w:r>
        <w:t xml:space="preserve">, absent optional keys, and the explicit token</w:t>
      </w:r>
      <w:r>
        <w:t xml:space="preserve"> </w:t>
      </w:r>
      <w:r>
        <w:rPr>
          <w:rStyle w:val="VerbatimChar"/>
        </w:rPr>
        <w:t xml:space="preserve">MISSING_NOT_ESTIMATED</w:t>
      </w:r>
      <w:r>
        <w:t xml:space="preserve">. The complete conventions are recorded in</w:t>
      </w:r>
      <w:r>
        <w:t xml:space="preserve"> </w:t>
      </w:r>
      <w:r>
        <w:rPr>
          <w:rStyle w:val="VerbatimChar"/>
        </w:rPr>
        <w:t xml:space="preserve">schema/crs_and_geometry.md</w:t>
      </w:r>
      <w:r>
        <w:t xml:space="preserve"> </w:t>
      </w:r>
      <w:r>
        <w:t xml:space="preserve">and its JSON equivalent.</w:t>
      </w:r>
    </w:p>
    <w:bookmarkEnd w:id="50"/>
    <w:bookmarkEnd w:id="51"/>
    <w:bookmarkStart w:id="60" w:name="data-overview"/>
    <w:p>
      <w:pPr>
        <w:pStyle w:val="Heading1"/>
      </w:pPr>
      <w:r>
        <w:t xml:space="preserve">Data Overview</w:t>
      </w:r>
    </w:p>
    <w:p>
      <w:pPr>
        <w:pStyle w:val="FirstParagraph"/>
      </w:pPr>
      <w:r>
        <w:t xml:space="preserve">For the selected setting, the release accounts for all 1,342 reconstructed circuit candidates: 358 are retained as inter-facility candidate branches and 984 remain in the ledger with downgrade or rejection dispositions. Figure </w:t>
      </w:r>
      <w:hyperlink w:anchor="fig:funnel">
        <w:r>
          <w:rPr>
            <w:rStyle w:val="Hyperlink"/>
          </w:rPr>
          <w:t xml:space="preserve">2</w:t>
        </w:r>
      </w:hyperlink>
      <w:r>
        <w:t xml:space="preserve"> </w:t>
      </w:r>
      <w:r>
        <w:t xml:space="preserve">reports the complete disposition, and Fig. </w:t>
      </w:r>
      <w:hyperlink w:anchor="fig:topology-quality">
        <w:r>
          <w:rPr>
            <w:rStyle w:val="Hyperlink"/>
          </w:rPr>
          <w:t xml:space="preserve">3</w:t>
        </w:r>
      </w:hyperlink>
      <w:r>
        <w:t xml:space="preserve"> </w:t>
      </w:r>
      <w:r>
        <w:t xml:space="preserve">shows geographic coverage and component structure. These figures describe deposited records rather than physical-network accuracy or completeness.</w:t>
      </w:r>
    </w:p>
    <w:bookmarkStart w:id="55" w:name="fig:funnel"/>
    <w:p>
      <w:pPr>
        <w:pStyle w:val="CaptionedFigure"/>
      </w:pPr>
      <w:r>
        <w:drawing>
          <wp:inline>
            <wp:extent cx="5334000" cy="2398353"/>
            <wp:effectExtent b="0" l="0" r="0" t="0"/>
            <wp:docPr descr="" title="" id="53" name="Picture"/>
            <a:graphic>
              <a:graphicData uri="http://schemas.openxmlformats.org/drawingml/2006/picture">
                <pic:pic>
                  <pic:nvPicPr>
                    <pic:cNvPr descr="fig2_reconstruction_funnel.png" id="54" name="Picture"/>
                    <pic:cNvPicPr>
                      <a:picLocks noChangeArrowheads="1" noChangeAspect="1"/>
                    </pic:cNvPicPr>
                  </pic:nvPicPr>
                  <pic:blipFill>
                    <a:blip r:embed="rId52"/>
                    <a:stretch>
                      <a:fillRect/>
                    </a:stretch>
                  </pic:blipFill>
                  <pic:spPr bwMode="auto">
                    <a:xfrm>
                      <a:off x="0" y="0"/>
                      <a:ext cx="5334000" cy="2398353"/>
                    </a:xfrm>
                    <a:prstGeom prst="rect">
                      <a:avLst/>
                    </a:prstGeom>
                    <a:noFill/>
                    <a:ln w="9525">
                      <a:noFill/>
                      <a:headEnd/>
                      <a:tailEnd/>
                    </a:ln>
                  </pic:spPr>
                </pic:pic>
              </a:graphicData>
            </a:graphic>
          </wp:inline>
        </w:drawing>
      </w:r>
    </w:p>
    <w:p>
      <w:pPr>
        <w:pStyle w:val="ImageCaption"/>
      </w:pPr>
      <w:r>
        <w:t xml:space="preserve">Record disposition for the selected reconstruction setting. The workflow processes 5,334 source line features into 1,342 circuit candidates, retains 358 inter-facility candidate branches, and preserves downgraded classes in the ledger. Retention denotes rule satisfaction under the documented workflow, not operator confirmation.</w:t>
      </w:r>
    </w:p>
    <w:bookmarkEnd w:id="55"/>
    <w:bookmarkStart w:id="59" w:name="fig:topology-quality"/>
    <w:p>
      <w:pPr>
        <w:pStyle w:val="CaptionedFigure"/>
      </w:pPr>
      <w:r>
        <w:drawing>
          <wp:inline>
            <wp:extent cx="5116358" cy="3033728"/>
            <wp:effectExtent b="0" l="0" r="0" t="0"/>
            <wp:docPr descr="" title="" id="57" name="Picture"/>
            <a:graphic>
              <a:graphicData uri="http://schemas.openxmlformats.org/drawingml/2006/picture">
                <pic:pic>
                  <pic:nvPicPr>
                    <pic:cNvPr descr="fig3_topology_quality.png" id="58" name="Picture"/>
                    <pic:cNvPicPr>
                      <a:picLocks noChangeArrowheads="1" noChangeAspect="1"/>
                    </pic:cNvPicPr>
                  </pic:nvPicPr>
                  <pic:blipFill>
                    <a:blip r:embed="rId56"/>
                    <a:stretch>
                      <a:fillRect/>
                    </a:stretch>
                  </pic:blipFill>
                  <pic:spPr bwMode="auto">
                    <a:xfrm>
                      <a:off x="0" y="0"/>
                      <a:ext cx="5116358" cy="3033728"/>
                    </a:xfrm>
                    <a:prstGeom prst="rect">
                      <a:avLst/>
                    </a:prstGeom>
                    <a:noFill/>
                    <a:ln w="9525">
                      <a:noFill/>
                      <a:headEnd/>
                      <a:tailEnd/>
                    </a:ln>
                  </pic:spPr>
                </pic:pic>
              </a:graphicData>
            </a:graphic>
          </wp:inline>
        </w:drawing>
      </w:r>
    </w:p>
    <w:p>
      <w:pPr>
        <w:pStyle w:val="ImageCaption"/>
      </w:pPr>
      <w:r>
        <w:t xml:space="preserve">Geographic distribution and component structure of the selected candidate graph. Panel a uses released EPSG:4326 coordinates without a basemap or facility labels; blue branches belong to the 53-facility largest component, gray branches to other components, green points are connected facilities, and orange crosses are isolates. Panel b ranks all 170 components on a logarithmic scale. The graph contains 484 facilities, 358 candidate branches, and 109 isolates; these are inferred records, not an operator-validated network.</w:t>
      </w:r>
    </w:p>
    <w:bookmarkEnd w:id="59"/>
    <w:bookmarkEnd w:id="60"/>
    <w:bookmarkStart w:id="76" w:name="technical-validation"/>
    <w:p>
      <w:pPr>
        <w:pStyle w:val="Heading1"/>
      </w:pPr>
      <w:r>
        <w:t xml:space="preserve">Technical Validation</w:t>
      </w:r>
    </w:p>
    <w:bookmarkStart w:id="61" w:name="internal-validation"/>
    <w:p>
      <w:pPr>
        <w:pStyle w:val="Heading2"/>
      </w:pPr>
      <w:r>
        <w:t xml:space="preserve">Internal validation</w:t>
      </w:r>
    </w:p>
    <w:p>
      <w:pPr>
        <w:pStyle w:val="FirstParagraph"/>
      </w:pPr>
      <w:r>
        <w:t xml:space="preserve">The workflow applies fail-closed checks throughout acquisition, reconstruction, validation, and packaging. These checks include geometry-type and geometry-validity screening, coordinate-reference handling, endpoint completeness, facility-membership ambiguity, endpoint-cluster composition, mixed voltage or status conflicts, terminal-count classification, branch-key uniqueness, graph/table parity, schema coverage, manifest coverage, and checksum reconciliation.</w:t>
      </w:r>
    </w:p>
    <w:p>
      <w:pPr>
        <w:pStyle w:val="BodyText"/>
      </w:pPr>
      <w:r>
        <w:t xml:space="preserve">Archive-level validation additionally checks that all 63 released files are documented, all manifest and checksum paths resolve, all 54 machine-readable paths have dictionary coverage, and the frozen headline counts agree with the core records. These results support internal usability of the deposited records, but they do not constitute external topology or electrical validation.</w:t>
      </w:r>
    </w:p>
    <w:bookmarkEnd w:id="61"/>
    <w:bookmarkStart w:id="62" w:name="structural-validation"/>
    <w:p>
      <w:pPr>
        <w:pStyle w:val="Heading2"/>
      </w:pPr>
      <w:r>
        <w:t xml:space="preserve">Structural validation</w:t>
      </w:r>
    </w:p>
    <w:p>
      <w:pPr>
        <w:pStyle w:val="FirstParagraph"/>
      </w:pPr>
      <w:r>
        <w:t xml:space="preserve">Structural validation focuses on whether the reconstructed records satisfy the declared topology-building rules. Under the selected setting, the workflow converts 5,334 line features into 1,342 merged circuit candidates, of which 358 are retained and 984 are downgraded. The downgraded outcomes comprise 496 single-facility records, 215 isolated records, 106 tap or multi-terminal records, 101 self-loops, 61 ambiguous records, and five loop records for the current snapshot. Preservation of these downgraded classes is itself a validation feature because it prevents silent loss of evidence about reconstruction uncertainty.</w:t>
      </w:r>
    </w:p>
    <w:bookmarkEnd w:id="62"/>
    <w:bookmarkStart w:id="63" w:name="schema-validation"/>
    <w:p>
      <w:pPr>
        <w:pStyle w:val="Heading2"/>
      </w:pPr>
      <w:r>
        <w:t xml:space="preserve">Schema validation</w:t>
      </w:r>
    </w:p>
    <w:p>
      <w:pPr>
        <w:pStyle w:val="FirstParagraph"/>
      </w:pPr>
      <w:r>
        <w:t xml:space="preserve">The release validates that required files, columns, and machine-readable summaries exist and remain aligned across the retained branch table, full ledger, GraphML, provenance, validation, and archive-control surfaces. The schema package distinguishes identifiers, observed and derived values, provenance metadata, validation variables, and explicit missing electrical fields.</w:t>
      </w:r>
    </w:p>
    <w:p>
      <w:pPr>
        <w:pStyle w:val="BodyText"/>
      </w:pPr>
      <w:r>
        <w:t xml:space="preserve">For the frozen public-validation route, the internal validation export records 25 machine-readable checks across source geometry parsing, retained-branch completeness, ledger accounting, endpoint summaries, facility footprints, GraphML/table parity, sensitivity rows, and artifact hashes. The deposited export records 24 passes and one release-review warning rather than a data-consistency failure; that warning concerned clean-room equality before the v1.0.1 source tag existed. It was subsequently closed by rebuilding the archive twice from a detached clean worktree of the annotated</w:t>
      </w:r>
      <w:r>
        <w:t xml:space="preserve"> </w:t>
      </w:r>
      <w:r>
        <w:rPr>
          <w:rStyle w:val="VerbatimChar"/>
        </w:rPr>
        <w:t xml:space="preserve">pt60-candidate-v1.0.1</w:t>
      </w:r>
      <w:r>
        <w:t xml:space="preserve"> </w:t>
      </w:r>
      <w:r>
        <w:t xml:space="preserve">tag with the frozen derived inputs: both stabilized builds produced SHA-256</w:t>
      </w:r>
      <w:r>
        <w:t xml:space="preserve"> </w:t>
      </w:r>
      <w:r>
        <w:rPr>
          <w:rStyle w:val="VerbatimChar"/>
        </w:rPr>
        <w:t xml:space="preserve">3240cd741e6af985c2d7e631856cc3482443ab56d0e4a687cdb3b63c6c957271</w:t>
      </w:r>
      <w:r>
        <w:t xml:space="preserve">. Clean-room extraction validation reports no manifest, checksum, dictionary-coverage, or headline-count failures. Raw/API reacquisition remains subject to the limitation stated in Usage Notes. The same export records 5,334 valid source geometries and zero invalid/dropped geometries; zero missing required retained-branch fields; zero missing required ledger fields; 358 retained branches; 984 downgraded or rejected records; 1,342 ledger rows; 64,008 endpoint-index rows across six snap thresholds; and 216 sensitivity rows.</w:t>
      </w:r>
    </w:p>
    <w:bookmarkEnd w:id="63"/>
    <w:bookmarkStart w:id="64" w:name="referential-integrity"/>
    <w:p>
      <w:pPr>
        <w:pStyle w:val="Heading2"/>
      </w:pPr>
      <w:r>
        <w:t xml:space="preserve">Referential integrity</w:t>
      </w:r>
    </w:p>
    <w:p>
      <w:pPr>
        <w:pStyle w:val="FirstParagraph"/>
      </w:pPr>
      <w:r>
        <w:t xml:space="preserve">Referential checks confirm that endpoint facility references, GraphML node and edge identifiers, branch-level validation records, source manifests, and manifest-linked artifact relationships resolve to valid upstream records. Graph and table views are checked for parity so that the GraphML, retained branch table, and selected facility set remain consistent with the documented isolate policy.</w:t>
      </w:r>
    </w:p>
    <w:bookmarkEnd w:id="64"/>
    <w:bookmarkStart w:id="65" w:name="graph-consistency"/>
    <w:p>
      <w:pPr>
        <w:pStyle w:val="Heading2"/>
      </w:pPr>
      <w:r>
        <w:t xml:space="preserve">Graph consistency</w:t>
      </w:r>
    </w:p>
    <w:p>
      <w:pPr>
        <w:pStyle w:val="FirstParagraph"/>
      </w:pPr>
      <w:r>
        <w:t xml:space="preserve">The selected all-facility graph contains 484 facilities, 358 multiedges, 170 connected components, a largest component of size 53, 109 isolates, and 28 parallel edges. The edge-induced graph contains 375 incident facilities, while the all-facility GraphML additionally preserves selected isolates. This accounting distinction is stored explicitly because graph artifacts with different isolate policies can otherwise appear inconsistent. Graph-level summaries therefore validate the released artifact against its own declared representation rather than against an external ground-truth network.</w:t>
      </w:r>
    </w:p>
    <w:p>
      <w:pPr>
        <w:pStyle w:val="BodyText"/>
      </w:pPr>
      <w:r>
        <w:t xml:space="preserve">The GraphML/table parity check confirms that all 358 retained branch identifiers appear as GraphML edge identifiers, that no extra GraphML branch identifiers are present, and that every retained branch endpoint facility resolves to a GraphML node. The GraphML has 27 parallel facility pairs, 55 edge records participating in parallel pairs, and 28 extra parallel-edge records beyond one edge per facility pair. The missingness export also confirms that all retained-branch electrical fields</w:t>
      </w:r>
      <w:r>
        <w:t xml:space="preserve"> </w:t>
      </w:r>
      <w:r>
        <w:rPr>
          <w:rStyle w:val="VerbatimChar"/>
        </w:rPr>
        <w:t xml:space="preserve">r</w:t>
      </w:r>
      <w:r>
        <w:t xml:space="preserve">,</w:t>
      </w:r>
      <w:r>
        <w:t xml:space="preserve"> </w:t>
      </w:r>
      <w:r>
        <w:rPr>
          <w:rStyle w:val="VerbatimChar"/>
        </w:rPr>
        <w:t xml:space="preserve">x</w:t>
      </w:r>
      <w:r>
        <w:t xml:space="preserve">,</w:t>
      </w:r>
      <w:r>
        <w:t xml:space="preserve"> </w:t>
      </w:r>
      <w:r>
        <w:rPr>
          <w:rStyle w:val="VerbatimChar"/>
        </w:rPr>
        <w:t xml:space="preserve">b</w:t>
      </w:r>
      <w:r>
        <w:t xml:space="preserve">, thermal limits, transformer impedance, and tap settings remain explicitly marked as</w:t>
      </w:r>
      <w:r>
        <w:t xml:space="preserve"> </w:t>
      </w:r>
      <w:r>
        <w:rPr>
          <w:smallCaps/>
        </w:rPr>
        <w:t xml:space="preserve">MISSING_NOT_ESTIMATED</w:t>
      </w:r>
      <w:r>
        <w:t xml:space="preserve">; these missing values are part of the release semantics rather than silent nulls.</w:t>
      </w:r>
    </w:p>
    <w:bookmarkEnd w:id="65"/>
    <w:bookmarkStart w:id="70" w:name="sensitivity-analysis"/>
    <w:p>
      <w:pPr>
        <w:pStyle w:val="Heading2"/>
      </w:pPr>
      <w:r>
        <w:t xml:space="preserve">Sensitivity analysis</w:t>
      </w:r>
    </w:p>
    <w:p>
      <w:pPr>
        <w:pStyle w:val="FirstParagraph"/>
      </w:pPr>
      <w:r>
        <w:t xml:space="preserve">Sensitivity analysis addresses whether the selected release point is stable under the declared reconstruction design space. The direct endpoint-to-substation baseline yields 51 merged edges and a six-node largest component, whereas the selected reconstruction yields 358 retained edges and a 53-node largest component for the current snapshot. These values describe yield and connectivity under two workflows; they are not treated as external accuracy improvements.</w:t>
      </w:r>
    </w:p>
    <w:p>
      <w:pPr>
        <w:pStyle w:val="BodyText"/>
      </w:pPr>
      <w:r>
        <w:t xml:space="preserve">Across the 216-setting sweep, increasing the facility buffer from 100 m to 500 m at a 0.5 m endpoint snap threshold raises retained branches from 358 to 369 but also increases ambiguity from 61 to 89 and reduces the largest component from 53 to 27. At 50 m endpoint snapping, only three inter-facility circuits remain for each tested buffer. Figure </w:t>
      </w:r>
      <w:hyperlink w:anchor="fig:sensitivity">
        <w:r>
          <w:rPr>
            <w:rStyle w:val="Hyperlink"/>
          </w:rPr>
          <w:t xml:space="preserve">4</w:t>
        </w:r>
      </w:hyperlink>
      <w:r>
        <w:t xml:space="preserve"> </w:t>
      </w:r>
      <w:r>
        <w:t xml:space="preserve">shows these trade-offs and the selected operating point. These results support the claim that reconstruction outputs are sensitive to plausible preprocessing settings rather than identifying a uniquely correct solution.</w:t>
      </w:r>
    </w:p>
    <w:bookmarkStart w:id="69" w:name="fig:sensitivity"/>
    <w:p>
      <w:pPr>
        <w:pStyle w:val="CaptionedFigure"/>
      </w:pPr>
      <w:r>
        <w:drawing>
          <wp:inline>
            <wp:extent cx="5334000" cy="4585018"/>
            <wp:effectExtent b="0" l="0" r="0" t="0"/>
            <wp:docPr descr="" title="" id="67" name="Picture"/>
            <a:graphic>
              <a:graphicData uri="http://schemas.openxmlformats.org/drawingml/2006/picture">
                <pic:pic>
                  <pic:nvPicPr>
                    <pic:cNvPr descr="fig4_sensitivity_analysis.png" id="68" name="Picture"/>
                    <pic:cNvPicPr>
                      <a:picLocks noChangeArrowheads="1" noChangeAspect="1"/>
                    </pic:cNvPicPr>
                  </pic:nvPicPr>
                  <pic:blipFill>
                    <a:blip r:embed="rId66"/>
                    <a:stretch>
                      <a:fillRect/>
                    </a:stretch>
                  </pic:blipFill>
                  <pic:spPr bwMode="auto">
                    <a:xfrm>
                      <a:off x="0" y="0"/>
                      <a:ext cx="5334000" cy="4585018"/>
                    </a:xfrm>
                    <a:prstGeom prst="rect">
                      <a:avLst/>
                    </a:prstGeom>
                    <a:noFill/>
                    <a:ln w="9525">
                      <a:noFill/>
                      <a:headEnd/>
                      <a:tailEnd/>
                    </a:ln>
                  </pic:spPr>
                </pic:pic>
              </a:graphicData>
            </a:graphic>
          </wp:inline>
        </w:drawing>
      </w:r>
    </w:p>
    <w:p>
      <w:pPr>
        <w:pStyle w:val="ImageCaption"/>
      </w:pPr>
      <w:r>
        <w:t xml:space="preserve">Sensitivity of retained-branch counts, ambiguity, and graph connectivity to facility buffers and endpoint snap thresholds. The marked operating point indicates the documented selected setting for the release; it is not an externally calibrated optimum.</w:t>
      </w:r>
    </w:p>
    <w:bookmarkEnd w:id="69"/>
    <w:bookmarkEnd w:id="70"/>
    <w:bookmarkStart w:id="72" w:name="external-triangulation"/>
    <w:p>
      <w:pPr>
        <w:pStyle w:val="Heading2"/>
      </w:pPr>
      <w:r>
        <w:t xml:space="preserve">External triangulation</w:t>
      </w:r>
    </w:p>
    <w:p>
      <w:pPr>
        <w:pStyle w:val="FirstParagraph"/>
      </w:pPr>
      <w:r>
        <w:t xml:space="preserve">The external triangulation workflow searches for OSM-derived branch-level evidence outside the selected reconstruction rule. OpenInfraMap is used only to visualize OSM infrastructure data where applicable; it is not treated as an independent second topology source</w:t>
      </w:r>
      <w:r>
        <w:rPr>
          <w:vertAlign w:val="superscript"/>
        </w:rPr>
        <w:t xml:space="preserve">12,13</w:t>
      </w:r>
      <w:r>
        <w:t xml:space="preserve">. The matcher parses 60 kV OSM</w:t>
      </w:r>
      <w:r>
        <w:t xml:space="preserve"> </w:t>
      </w:r>
      <w:r>
        <w:rPr>
          <w:rStyle w:val="VerbatimChar"/>
        </w:rPr>
        <w:t xml:space="preserve">power=line</w:t>
      </w:r>
      <w:r>
        <w:t xml:space="preserve"> </w:t>
      </w:r>
      <w:r>
        <w:t xml:space="preserve">and</w:t>
      </w:r>
      <w:r>
        <w:t xml:space="preserve"> </w:t>
      </w:r>
      <w:r>
        <w:rPr>
          <w:rStyle w:val="VerbatimChar"/>
        </w:rPr>
        <w:t xml:space="preserve">power=cable</w:t>
      </w:r>
      <w:r>
        <w:t xml:space="preserve"> </w:t>
      </w:r>
      <w:r>
        <w:t xml:space="preserve">voltage, operator, name, reference, circuit, and geometry fields. A name score must be at least 0.8. Strong spatial evidence requires minimum distance no greater than 250 m, median branch-to-OSM distance no greater than 500 m, and branch or OSM coverage of at least 0.5 within 500 m; weak proximity is limited to 1,000 m. An operator-tag condition requires normalized text containing</w:t>
      </w:r>
      <w:r>
        <w:t xml:space="preserve"> </w:t>
      </w:r>
      <w:r>
        <w:rPr>
          <w:rStyle w:val="VerbatimChar"/>
        </w:rPr>
        <w:t xml:space="preserve">e redes</w:t>
      </w:r>
      <w:r>
        <w:t xml:space="preserve">, but that user-contributed tag is not operator confirmation.</w:t>
      </w:r>
    </w:p>
    <w:bookmarkStart w:id="71" w:name="tab:osm-triangulation"/>
    <w:p>
      <w:pPr>
        <w:pStyle w:val="TableCaption"/>
      </w:pPr>
      <w:r>
        <w:t xml:space="preserve">OSM-derived public-evidence categories for the 358 retained candidate branches. OpenInfraMap visualizes the same underlying OSM data where used; categories are review-prioritization evidence, not truth labels. Machine category codes remain in the deposited validation table.</w:t>
      </w:r>
    </w:p>
    <w:tbl>
      <w:tblPr>
        <w:tblStyle w:val="Table"/>
        <w:tblW w:type="auto" w:w="0"/>
        <w:tblLook w:firstRow="1" w:lastRow="0" w:firstColumn="0" w:lastColumn="0" w:noHBand="0" w:noVBand="0" w:val="0020"/>
        <w:tblCaption w:val="OSM-derived public-evidence categories for the 358 retained candidate branches. OpenInfraMap visualizes the same underlying OSM data where used; categories are review-prioritization evidence, not truth labels. Machine category codes remain in the deposited validation table."/>
      </w:tblPr>
      <w:tblGrid>
        <w:gridCol w:w="2640"/>
        <w:gridCol w:w="2640"/>
        <w:gridCol w:w="2640"/>
      </w:tblGrid>
      <w:tr>
        <w:trPr>
          <w:tblHeader w:val="on"/>
        </w:trPr>
        <w:tc>
          <w:tcPr/>
          <w:p>
            <w:pPr>
              <w:pStyle w:val="Compact"/>
              <w:jc w:val="left"/>
            </w:pPr>
            <w:r>
              <w:t xml:space="preserve">Evidence category</w:t>
            </w:r>
          </w:p>
        </w:tc>
        <w:tc>
          <w:tcPr/>
          <w:p>
            <w:pPr>
              <w:pStyle w:val="Compact"/>
              <w:jc w:val="right"/>
            </w:pPr>
            <w:r>
              <w:t xml:space="preserve">Branches</w:t>
            </w:r>
          </w:p>
        </w:tc>
        <w:tc>
          <w:tcPr/>
          <w:p>
            <w:pPr>
              <w:pStyle w:val="Compact"/>
              <w:jc w:val="left"/>
            </w:pPr>
            <w:r>
              <w:t xml:space="preserve">Interpretation</w:t>
            </w:r>
          </w:p>
        </w:tc>
      </w:tr>
      <w:tr>
        <w:tc>
          <w:tcPr/>
          <w:p>
            <w:pPr>
              <w:pStyle w:val="Compact"/>
              <w:jc w:val="left"/>
            </w:pPr>
            <w:r>
              <w:t xml:space="preserve">Strong endpoint-name and operator-tag evidence</w:t>
            </w:r>
          </w:p>
        </w:tc>
        <w:tc>
          <w:tcPr/>
          <w:p>
            <w:pPr>
              <w:pStyle w:val="Compact"/>
              <w:jc w:val="right"/>
            </w:pPr>
            <w:r>
              <w:t xml:space="preserve">183</w:t>
            </w:r>
          </w:p>
        </w:tc>
        <w:tc>
          <w:tcPr/>
          <w:p>
            <w:pPr>
              <w:pStyle w:val="Compact"/>
              <w:jc w:val="left"/>
            </w:pPr>
            <w:r>
              <w:t xml:space="preserve">Both endpoint names appear in an E-REDES-tagged OSM record.</w:t>
            </w:r>
          </w:p>
        </w:tc>
      </w:tr>
      <w:tr>
        <w:tc>
          <w:tcPr/>
          <w:p>
            <w:pPr>
              <w:pStyle w:val="Compact"/>
              <w:jc w:val="left"/>
            </w:pPr>
            <w:r>
              <w:t xml:space="preserve">Strong corridor and operator-tag evidence</w:t>
            </w:r>
          </w:p>
        </w:tc>
        <w:tc>
          <w:tcPr/>
          <w:p>
            <w:pPr>
              <w:pStyle w:val="Compact"/>
              <w:jc w:val="right"/>
            </w:pPr>
            <w:r>
              <w:t xml:space="preserve">64</w:t>
            </w:r>
          </w:p>
        </w:tc>
        <w:tc>
          <w:tcPr/>
          <w:p>
            <w:pPr>
              <w:pStyle w:val="Compact"/>
              <w:jc w:val="left"/>
            </w:pPr>
            <w:r>
              <w:t xml:space="preserve">Candidate corridor is close to an E-REDES-tagged OSM corridor.</w:t>
            </w:r>
          </w:p>
        </w:tc>
      </w:tr>
      <w:tr>
        <w:tc>
          <w:tcPr/>
          <w:p>
            <w:pPr>
              <w:pStyle w:val="Compact"/>
              <w:jc w:val="left"/>
            </w:pPr>
            <w:r>
              <w:t xml:space="preserve">Partial endpoint name with nearby corridor</w:t>
            </w:r>
          </w:p>
        </w:tc>
        <w:tc>
          <w:tcPr/>
          <w:p>
            <w:pPr>
              <w:pStyle w:val="Compact"/>
              <w:jc w:val="right"/>
            </w:pPr>
            <w:r>
              <w:t xml:space="preserve">56</w:t>
            </w:r>
          </w:p>
        </w:tc>
        <w:tc>
          <w:tcPr/>
          <w:p>
            <w:pPr>
              <w:pStyle w:val="Compact"/>
              <w:jc w:val="left"/>
            </w:pPr>
            <w:r>
              <w:t xml:space="preserve">One endpoint name appears and a nearby 60 kV corridor is present.</w:t>
            </w:r>
          </w:p>
        </w:tc>
      </w:tr>
      <w:tr>
        <w:tc>
          <w:tcPr/>
          <w:p>
            <w:pPr>
              <w:pStyle w:val="Compact"/>
              <w:jc w:val="left"/>
            </w:pPr>
            <w:r>
              <w:t xml:space="preserve">Medium corridor-overlap evidence</w:t>
            </w:r>
          </w:p>
        </w:tc>
        <w:tc>
          <w:tcPr/>
          <w:p>
            <w:pPr>
              <w:pStyle w:val="Compact"/>
              <w:jc w:val="right"/>
            </w:pPr>
            <w:r>
              <w:t xml:space="preserve">48</w:t>
            </w:r>
          </w:p>
        </w:tc>
        <w:tc>
          <w:tcPr/>
          <w:p>
            <w:pPr>
              <w:pStyle w:val="Compact"/>
              <w:jc w:val="left"/>
            </w:pPr>
            <w:r>
              <w:t xml:space="preserve">Candidate overlaps a 60 kV OSM corridor without strong name evidence.</w:t>
            </w:r>
          </w:p>
        </w:tc>
      </w:tr>
      <w:tr>
        <w:tc>
          <w:tcPr/>
          <w:p>
            <w:pPr>
              <w:pStyle w:val="Compact"/>
              <w:jc w:val="left"/>
            </w:pPr>
            <w:r>
              <w:t xml:space="preserve">Weak nearby-feature evidence</w:t>
            </w:r>
          </w:p>
        </w:tc>
        <w:tc>
          <w:tcPr/>
          <w:p>
            <w:pPr>
              <w:pStyle w:val="Compact"/>
              <w:jc w:val="right"/>
            </w:pPr>
            <w:r>
              <w:t xml:space="preserve">7</w:t>
            </w:r>
          </w:p>
        </w:tc>
        <w:tc>
          <w:tcPr/>
          <w:p>
            <w:pPr>
              <w:pStyle w:val="Compact"/>
              <w:jc w:val="left"/>
            </w:pPr>
            <w:r>
              <w:t xml:space="preserve">A nearby 60 kV OSM feature is present, but evidence is incomplete.</w:t>
            </w:r>
          </w:p>
        </w:tc>
      </w:tr>
      <w:tr>
        <w:tc>
          <w:tcPr/>
          <w:p>
            <w:pPr>
              <w:pStyle w:val="Compact"/>
              <w:jc w:val="left"/>
            </w:pPr>
            <w:r>
              <w:t xml:space="preserve">No matched OSM-derived evidence</w:t>
            </w:r>
          </w:p>
        </w:tc>
        <w:tc>
          <w:tcPr/>
          <w:p>
            <w:pPr>
              <w:pStyle w:val="Compact"/>
              <w:jc w:val="right"/>
            </w:pPr>
            <w:r>
              <w:t xml:space="preserve">0</w:t>
            </w:r>
          </w:p>
        </w:tc>
        <w:tc>
          <w:tcPr/>
          <w:p>
            <w:pPr>
              <w:pStyle w:val="Compact"/>
              <w:jc w:val="left"/>
            </w:pPr>
            <w:r>
              <w:t xml:space="preserve">No retained branch falls in this class for the documented snapshot.</w:t>
            </w:r>
          </w:p>
        </w:tc>
      </w:tr>
    </w:tbl>
    <w:bookmarkEnd w:id="71"/>
    <w:p>
      <w:pPr>
        <w:pStyle w:val="BodyText"/>
      </w:pPr>
      <w:r>
        <w:t xml:space="preserve">Table </w:t>
      </w:r>
      <w:hyperlink w:anchor="tab:osm-triangulation">
        <w:r>
          <w:rPr>
            <w:rStyle w:val="Hyperlink"/>
          </w:rPr>
          <w:t xml:space="preserve">5</w:t>
        </w:r>
      </w:hyperlink>
      <w:r>
        <w:t xml:space="preserve"> </w:t>
      </w:r>
      <w:r>
        <w:t xml:space="preserve">gives the category counts. Among 5,551 Portuguese 60 kV OSM ways, all 358 retained branches receive a non-empty evidence category: 247 strong, 104 medium, and seven weak. Complete category coverage is a matcher output, not independent external validation. The audit inspected 2,326 historical versions of 271 matched OSM ways and classifies 266 branches as lower provenance risk, 87 as unknown independence, and five as possibly same-source. OSM and E-REDES source independence cannot be established from these histories; the audit assesses risk rather than proving independence. The archive includes sanitized evidence tables but excludes raw caches, user identifiers, changesets, and history dumps.</w:t>
      </w:r>
    </w:p>
    <w:bookmarkEnd w:id="72"/>
    <w:bookmarkStart w:id="74" w:name="claim-bounded-validation-strategy"/>
    <w:p>
      <w:pPr>
        <w:pStyle w:val="Heading2"/>
      </w:pPr>
      <w:r>
        <w:t xml:space="preserve">Claim-bounded validation strategy</w:t>
      </w:r>
    </w:p>
    <w:p>
      <w:pPr>
        <w:pStyle w:val="FirstParagraph"/>
      </w:pPr>
      <w:r>
        <w:t xml:space="preserve">The release has no human-adjudicated truth labels and reports no accuracy metric. Internal tests establish declared schema, classification, provenance, and graph contracts; the 216-setting sweep quantifies design sensitivity; and the OSM-derived comparison records public concordance with source caveats. Together these tests support internal consistency, sensitivity transparency, and reuse from frozen derived inputs, not correspondence with the operator’s true network.</w:t>
      </w:r>
    </w:p>
    <w:p>
      <w:pPr>
        <w:pStyle w:val="BodyText"/>
      </w:pPr>
      <w:r>
        <w:t xml:space="preserve">The public-source comparison is evaluated at branch level but is not converted into binary ground truth. Consequently, the manuscript reports category counts and matching variables rather than precision, recall,</w:t>
      </w:r>
      <w:r>
        <w:t xml:space="preserve"> </w:t>
      </w:r>
      <m:oMath>
        <m:sSub>
          <m:e>
            <m:r>
              <m:t>F</m:t>
            </m:r>
          </m:e>
          <m:sub>
            <m:r>
              <m:t>1</m:t>
            </m:r>
          </m:sub>
        </m:sSub>
      </m:oMath>
      <w:r>
        <w:t xml:space="preserve">, or confidence intervals. Precision is not independently estimated, and national or real-network recall is not estimable because neither an authoritative branch census nor a probability sample of true Portuguese 60 kV connections is available. Table </w:t>
      </w:r>
      <w:hyperlink w:anchor="tab:claim-bounded-validation">
        <w:r>
          <w:rPr>
            <w:rStyle w:val="Hyperlink"/>
          </w:rPr>
          <w:t xml:space="preserve">6</w:t>
        </w:r>
      </w:hyperlink>
      <w:r>
        <w:t xml:space="preserve"> </w:t>
      </w:r>
      <w:r>
        <w:t xml:space="preserve">states the supported and excluded interpretation for each validation layer.</w:t>
      </w:r>
    </w:p>
    <w:bookmarkStart w:id="73" w:name="tab:claim-bounded-validation"/>
    <w:p>
      <w:pPr>
        <w:pStyle w:val="TableCaption"/>
      </w:pPr>
      <w:r>
        <w:t xml:space="preserve">Claim-bounded validation used in the public-source validation route.</w:t>
      </w:r>
      <w:r>
        <w:t xml:space="preserve"> </w:t>
      </w:r>
      <w:r>
        <w:t xml:space="preserve">“Supported”</w:t>
      </w:r>
      <w:r>
        <w:t xml:space="preserve"> </w:t>
      </w:r>
      <w:r>
        <w:t xml:space="preserve">refers to the stated dataset property, not to physical topology truth.</w:t>
      </w:r>
    </w:p>
    <w:tbl>
      <w:tblPr>
        <w:tblStyle w:val="Table"/>
        <w:tblW w:type="auto" w:w="0"/>
        <w:tblLook w:firstRow="1" w:lastRow="0" w:firstColumn="0" w:lastColumn="0" w:noHBand="0" w:noVBand="0" w:val="0020"/>
        <w:tblCaption w:val="Claim-bounded validation used in the public-source validation route. “Supported” refers to the stated dataset property, not to physical topology truth."/>
      </w:tblPr>
      <w:tblGrid>
        <w:gridCol w:w="2640"/>
        <w:gridCol w:w="2640"/>
        <w:gridCol w:w="2640"/>
      </w:tblGrid>
      <w:tr>
        <w:trPr>
          <w:tblHeader w:val="on"/>
        </w:trPr>
        <w:tc>
          <w:tcPr/>
          <w:p>
            <w:pPr>
              <w:pStyle w:val="Compact"/>
              <w:jc w:val="left"/>
            </w:pPr>
            <w:r>
              <w:t xml:space="preserve">Validation layer</w:t>
            </w:r>
          </w:p>
        </w:tc>
        <w:tc>
          <w:tcPr/>
          <w:p>
            <w:pPr>
              <w:pStyle w:val="Compact"/>
              <w:jc w:val="left"/>
            </w:pPr>
            <w:r>
              <w:t xml:space="preserve">Supported interpretation</w:t>
            </w:r>
          </w:p>
        </w:tc>
        <w:tc>
          <w:tcPr/>
          <w:p>
            <w:pPr>
              <w:pStyle w:val="Compact"/>
              <w:jc w:val="left"/>
            </w:pPr>
            <w:r>
              <w:t xml:space="preserve">Interpretation explicitly excluded</w:t>
            </w:r>
          </w:p>
        </w:tc>
      </w:tr>
      <w:tr>
        <w:tc>
          <w:tcPr/>
          <w:p>
            <w:pPr>
              <w:pStyle w:val="Compact"/>
              <w:jc w:val="left"/>
            </w:pPr>
            <w:r>
              <w:t xml:space="preserve">Geometry, CRS, schema, and key checks</w:t>
            </w:r>
          </w:p>
        </w:tc>
        <w:tc>
          <w:tcPr/>
          <w:p>
            <w:pPr>
              <w:pStyle w:val="Compact"/>
              <w:jc w:val="left"/>
            </w:pPr>
            <w:r>
              <w:t xml:space="preserve">Machine-readable and internally coherent release</w:t>
            </w:r>
          </w:p>
        </w:tc>
        <w:tc>
          <w:tcPr/>
          <w:p>
            <w:pPr>
              <w:pStyle w:val="Compact"/>
              <w:jc w:val="left"/>
            </w:pPr>
            <w:r>
              <w:t xml:space="preserve">Correct physical connectivity</w:t>
            </w:r>
          </w:p>
        </w:tc>
      </w:tr>
      <w:tr>
        <w:tc>
          <w:tcPr/>
          <w:p>
            <w:pPr>
              <w:pStyle w:val="Compact"/>
              <w:jc w:val="left"/>
            </w:pPr>
            <w:r>
              <w:t xml:space="preserve">Ledger and graph/table parity</w:t>
            </w:r>
          </w:p>
        </w:tc>
        <w:tc>
          <w:tcPr/>
          <w:p>
            <w:pPr>
              <w:pStyle w:val="Compact"/>
              <w:jc w:val="left"/>
            </w:pPr>
            <w:r>
              <w:t xml:space="preserve">Complete accounting under declared rules</w:t>
            </w:r>
          </w:p>
        </w:tc>
        <w:tc>
          <w:tcPr/>
          <w:p>
            <w:pPr>
              <w:pStyle w:val="Compact"/>
              <w:jc w:val="left"/>
            </w:pPr>
            <w:r>
              <w:t xml:space="preserve">Completeness of the real grid</w:t>
            </w:r>
          </w:p>
        </w:tc>
      </w:tr>
      <w:tr>
        <w:tc>
          <w:tcPr/>
          <w:p>
            <w:pPr>
              <w:pStyle w:val="Compact"/>
              <w:jc w:val="left"/>
            </w:pPr>
            <w:r>
              <w:t xml:space="preserve">216-setting sensitivity sweep</w:t>
            </w:r>
          </w:p>
        </w:tc>
        <w:tc>
          <w:tcPr/>
          <w:p>
            <w:pPr>
              <w:pStyle w:val="Compact"/>
              <w:jc w:val="left"/>
            </w:pPr>
            <w:r>
              <w:t xml:space="preserve">Dependence on documented reconstruction choices</w:t>
            </w:r>
          </w:p>
        </w:tc>
        <w:tc>
          <w:tcPr/>
          <w:p>
            <w:pPr>
              <w:pStyle w:val="Compact"/>
              <w:jc w:val="left"/>
            </w:pPr>
            <w:r>
              <w:t xml:space="preserve">Externally optimal parameter setting</w:t>
            </w:r>
          </w:p>
        </w:tc>
      </w:tr>
      <w:tr>
        <w:tc>
          <w:tcPr/>
          <w:p>
            <w:pPr>
              <w:pStyle w:val="Compact"/>
              <w:jc w:val="left"/>
            </w:pPr>
            <w:r>
              <w:t xml:space="preserve">OSM-derived public evidence</w:t>
            </w:r>
          </w:p>
        </w:tc>
        <w:tc>
          <w:tcPr/>
          <w:p>
            <w:pPr>
              <w:pStyle w:val="Compact"/>
              <w:jc w:val="left"/>
            </w:pPr>
            <w:r>
              <w:t xml:space="preserve">Public name and corridor concordance</w:t>
            </w:r>
          </w:p>
        </w:tc>
        <w:tc>
          <w:tcPr/>
          <w:p>
            <w:pPr>
              <w:pStyle w:val="Compact"/>
              <w:jc w:val="left"/>
            </w:pPr>
            <w:r>
              <w:t xml:space="preserve">Independent validation or statistical accuracy</w:t>
            </w:r>
          </w:p>
        </w:tc>
      </w:tr>
      <w:tr>
        <w:tc>
          <w:tcPr/>
          <w:p>
            <w:pPr>
              <w:pStyle w:val="Compact"/>
              <w:jc w:val="left"/>
            </w:pPr>
            <w:r>
              <w:t xml:space="preserve">Electrical-readiness gates</w:t>
            </w:r>
          </w:p>
        </w:tc>
        <w:tc>
          <w:tcPr/>
          <w:p>
            <w:pPr>
              <w:pStyle w:val="Compact"/>
              <w:jc w:val="left"/>
            </w:pPr>
            <w:r>
              <w:t xml:space="preserve">Explicit identification of missing or diagnostic fields</w:t>
            </w:r>
          </w:p>
        </w:tc>
        <w:tc>
          <w:tcPr/>
          <w:p>
            <w:pPr>
              <w:pStyle w:val="Compact"/>
              <w:jc w:val="left"/>
            </w:pPr>
            <w:r>
              <w:t xml:space="preserve">AC power-flow or operational readiness</w:t>
            </w:r>
          </w:p>
        </w:tc>
      </w:tr>
    </w:tbl>
    <w:bookmarkEnd w:id="73"/>
    <w:p>
      <w:pPr>
        <w:pStyle w:val="BodyText"/>
      </w:pPr>
      <w:r>
        <w:t xml:space="preserve">Two deterministic controls test matcher selectivity on all 358 branches. With geometry and branch attributes fixed, a length-stratified cyclic shift of endpoint-name pairs (seed 20260714) reduces strong name evidence from 183 to 9 branches (95.1%). With names and attributes fixed, translation by</w:t>
      </w:r>
      <w:r>
        <w:t xml:space="preserve"> </w:t>
      </w:r>
      <m:oMath>
        <m:r>
          <m:rPr>
            <m:sty m:val="p"/>
          </m:rPr>
          <m:t>+</m:t>
        </m:r>
        <m:sSup>
          <m:e>
            <m:r>
              <m:t>1.75</m:t>
            </m:r>
          </m:e>
          <m:sup>
            <m:r>
              <m:rPr>
                <m:sty m:val="p"/>
              </m:rPr>
              <m:t>∘</m:t>
            </m:r>
          </m:sup>
        </m:sSup>
      </m:oMath>
      <w:r>
        <w:t xml:space="preserve"> </w:t>
      </w:r>
      <w:r>
        <w:t xml:space="preserve">longitude and</w:t>
      </w:r>
      <w:r>
        <w:t xml:space="preserve"> </w:t>
      </w:r>
      <m:oMath>
        <m:r>
          <m:rPr>
            <m:sty m:val="p"/>
          </m:rPr>
          <m:t>+</m:t>
        </m:r>
        <m:sSup>
          <m:e>
            <m:r>
              <m:t>0.85</m:t>
            </m:r>
          </m:e>
          <m:sup>
            <m:r>
              <m:rPr>
                <m:sty m:val="p"/>
              </m:rPr>
              <m:t>∘</m:t>
            </m:r>
          </m:sup>
        </m:sSup>
      </m:oMath>
      <w:r>
        <w:t xml:space="preserve"> </w:t>
      </w:r>
      <w:r>
        <w:t xml:space="preserve">latitude leaves all geometries valid but reduces corridor evidence from 290 to 1 branch (99.7%). These controls test the name and corridor channels; they do not estimate topology accuracy.</w:t>
      </w:r>
    </w:p>
    <w:bookmarkEnd w:id="74"/>
    <w:bookmarkStart w:id="75" w:name="validation-boundaries"/>
    <w:p>
      <w:pPr>
        <w:pStyle w:val="Heading2"/>
      </w:pPr>
      <w:r>
        <w:t xml:space="preserve">Validation boundaries</w:t>
      </w:r>
    </w:p>
    <w:p>
      <w:pPr>
        <w:pStyle w:val="FirstParagraph"/>
      </w:pPr>
      <w:r>
        <w:t xml:space="preserve">Optional electrical-readiness artifacts remain diagnostic because branch parameters, transformer details, controls, measured injections, and verified boundaries are incomplete or scenario-derived. The AC power-flow extension remains outside the validated core dataset.</w:t>
      </w:r>
    </w:p>
    <w:bookmarkEnd w:id="75"/>
    <w:bookmarkEnd w:id="76"/>
    <w:bookmarkStart w:id="83" w:name="usage-notes"/>
    <w:p>
      <w:pPr>
        <w:pStyle w:val="Heading1"/>
      </w:pPr>
      <w:r>
        <w:t xml:space="preserve">Usage Notes</w:t>
      </w:r>
    </w:p>
    <w:bookmarkStart w:id="77" w:name="intended-uses"/>
    <w:p>
      <w:pPr>
        <w:pStyle w:val="Heading2"/>
      </w:pPr>
      <w:r>
        <w:t xml:space="preserve">Intended uses</w:t>
      </w:r>
    </w:p>
    <w:p>
      <w:pPr>
        <w:pStyle w:val="FirstParagraph"/>
      </w:pPr>
      <w:r>
        <w:t xml:space="preserve">The core release is intended for topology-reconstruction studies, geospatial data integration, provenance-aware network analysis, uncertainty analysis, dataset-engineering experiments, and development of downstream graph or tabular interfaces that preserve release semantics. The retained branch table and circuit-classification ledger should be used together whenever a study depends on understanding what was retained, what was downgraded, and why.</w:t>
      </w:r>
    </w:p>
    <w:bookmarkEnd w:id="77"/>
    <w:bookmarkStart w:id="78" w:name="non-intended-uses"/>
    <w:p>
      <w:pPr>
        <w:pStyle w:val="Heading2"/>
      </w:pPr>
      <w:r>
        <w:t xml:space="preserve">Non-intended uses</w:t>
      </w:r>
    </w:p>
    <w:p>
      <w:pPr>
        <w:pStyle w:val="FirstParagraph"/>
      </w:pPr>
      <w:r>
        <w:t xml:space="preserve">The release is not intended for operational switching studies, protection analysis, security assessment, contingency analysis, congestion forecasting, infrastructure-targeting applications, emergency operations, asset-condition assessment, commercial network-capacity claims, regulatory network-capacity claims, or claims about the actual Portuguese grid. The candidate topology should not be described as operator-validated, and the optional diagnostic electrical and learning layers should not be described as measured system behavior.</w:t>
      </w:r>
    </w:p>
    <w:bookmarkEnd w:id="78"/>
    <w:bookmarkStart w:id="79" w:name="Xe8ef5dbe3d475aa708068de72ee1876c29669b6"/>
    <w:p>
      <w:pPr>
        <w:pStyle w:val="Heading2"/>
      </w:pPr>
      <w:r>
        <w:t xml:space="preserve">Reading provenance and semantic status fields</w:t>
      </w:r>
    </w:p>
    <w:p>
      <w:pPr>
        <w:pStyle w:val="FirstParagraph"/>
      </w:pPr>
      <w:r>
        <w:t xml:space="preserve">Users should read semantic status fields before aggregating or modeling the records. Observed, derived, inferred, source-backed, scenario-assumed, benchmark-only, proxy, and missing fields represent distinct evidence types. Studies that require source-backed physical parameters or operator-confirmed connectivity should filter the release accordingly and should not treat inferred or scenario-derived fields as interchangeable with observations.</w:t>
      </w:r>
    </w:p>
    <w:bookmarkEnd w:id="79"/>
    <w:bookmarkStart w:id="80" w:name="how-to-use-graphml"/>
    <w:p>
      <w:pPr>
        <w:pStyle w:val="Heading2"/>
      </w:pPr>
      <w:r>
        <w:t xml:space="preserve">How to use GraphML</w:t>
      </w:r>
    </w:p>
    <w:p>
      <w:pPr>
        <w:pStyle w:val="FirstParagraph"/>
      </w:pPr>
      <w:r>
        <w:t xml:space="preserve">The GraphML is the most direct representation of the released candidate multigraph for graph analysis. It preserves the selected all-facility node set, including isolates, and therefore aligns with the documented component and degree summaries. Users comparing the GraphML with edge-induced views should account for the explicit isolate policy. Parallel edges are part of the released graph structure and should not be collapsed without documenting the transformation.</w:t>
      </w:r>
    </w:p>
    <w:bookmarkEnd w:id="80"/>
    <w:bookmarkStart w:id="81" w:name="how-to-use-csv-records"/>
    <w:p>
      <w:pPr>
        <w:pStyle w:val="Heading2"/>
      </w:pPr>
      <w:r>
        <w:t xml:space="preserve">How to use CSV records</w:t>
      </w:r>
    </w:p>
    <w:p>
      <w:pPr>
        <w:pStyle w:val="FirstParagraph"/>
      </w:pPr>
      <w:r>
        <w:t xml:space="preserve">The retained candidate branch CSV is the preferred branch-level topology table. The circuit-classification ledger should be consulted whenever a downstream workflow depends on failure modes, ambiguity, or alternative selection rules. Validation CSV and JSON records document evidence categories, matcher controls, independence-risk categories, missingness, and archive-validation relationships. The six recommended joins in</w:t>
      </w:r>
      <w:r>
        <w:t xml:space="preserve"> </w:t>
      </w:r>
      <w:r>
        <w:rPr>
          <w:rStyle w:val="VerbatimChar"/>
        </w:rPr>
        <w:t xml:space="preserve">schema/join_relationships.csv</w:t>
      </w:r>
      <w:r>
        <w:t xml:space="preserve"> </w:t>
      </w:r>
      <w:r>
        <w:t xml:space="preserve">should be used in preference to name-based joins.</w:t>
      </w:r>
    </w:p>
    <w:bookmarkEnd w:id="81"/>
    <w:bookmarkStart w:id="82" w:name="limitations"/>
    <w:p>
      <w:pPr>
        <w:pStyle w:val="Heading2"/>
      </w:pPr>
      <w:r>
        <w:t xml:space="preserve">Limitations</w:t>
      </w:r>
    </w:p>
    <w:p>
      <w:pPr>
        <w:pStyle w:val="FirstParagraph"/>
      </w:pPr>
      <w:r>
        <w:t xml:space="preserve">The release has four main limitations. First, it is a candidate topology derived from public E-REDES records rather than an operator-confirmed network model. Second, external triangulation provides public-source concordance categories rather than truth labels: precision is not independently estimated, and national or real-network recall cannot be estimated from the available records. Third, electrical parameters, transformer details, operating controls, and injections are incomplete or absent, so the release is not AC power-flow or OPF ready. Fourth, the DOI archive preserves the versioned derived dataset but not the raw E-REDES snapshots. Source identifiers, URLs, access timestamps, roles, and attribution are recorded, but the three topology-critical v2.1 export URLs returned HTTP 404 during the final clean-room reacquisition audit; raw/API-to-release byte reproduction is therefore not claimed.</w:t>
      </w:r>
    </w:p>
    <w:bookmarkEnd w:id="82"/>
    <w:bookmarkEnd w:id="83"/>
    <w:bookmarkStart w:id="84" w:name="data-availability"/>
    <w:p>
      <w:pPr>
        <w:pStyle w:val="Heading1"/>
      </w:pPr>
      <w:r>
        <w:t xml:space="preserve">Data Availability</w:t>
      </w:r>
    </w:p>
    <w:p>
      <w:pPr>
        <w:pStyle w:val="FirstParagraph"/>
      </w:pPr>
      <w:r>
        <w:rPr>
          <w:smallCaps/>
        </w:rPr>
        <w:t xml:space="preserve">PT60-Candidate</w:t>
      </w:r>
      <w:r>
        <w:t xml:space="preserve"> </w:t>
      </w:r>
      <w:r>
        <w:t xml:space="preserve">version 1.0.1 is deposited under the reserved figshare DOI</w:t>
      </w:r>
      <w:r>
        <w:t xml:space="preserve"> </w:t>
      </w:r>
      <w:hyperlink r:id="rId38">
        <w:r>
          <w:rPr>
            <w:rStyle w:val="Hyperlink"/>
          </w:rPr>
          <w:t xml:space="preserve">https://doi.org/10.6084/m9.figshare.32984021</w:t>
        </w:r>
      </w:hyperlink>
      <w:r>
        <w:t xml:space="preserve">. The final tagged-build file</w:t>
      </w:r>
      <w:r>
        <w:t xml:space="preserve"> </w:t>
      </w:r>
      <w:r>
        <w:rPr>
          <w:rStyle w:val="VerbatimChar"/>
        </w:rPr>
        <w:t xml:space="preserve">PT60-Candidate-v1.0.1.tar.gz</w:t>
      </w:r>
      <w:r>
        <w:t xml:space="preserve"> </w:t>
      </w:r>
      <w:r>
        <w:t xml:space="preserve">has SHA-256</w:t>
      </w:r>
      <w:r>
        <w:t xml:space="preserve"> </w:t>
      </w:r>
      <w:r>
        <w:rPr>
          <w:rStyle w:val="VerbatimChar"/>
        </w:rPr>
        <w:t xml:space="preserve">3240cd741e6af985c2d7e631856cc3482443ab56d0e4a687cdb3b63c6c957271</w:t>
      </w:r>
      <w:r>
        <w:t xml:space="preserve">. It contains the core topology, full circuit ledger, GraphML, sensitivity sweep, provenance, validation, machine-readable schemas, a field-level data dictionary, licensing, attribution, manifest, and checksum records described in the Data Record. Raw source downloads and optional diagnostic/interface artifacts are excluded as documented in</w:t>
      </w:r>
      <w:r>
        <w:t xml:space="preserve"> </w:t>
      </w:r>
      <w:r>
        <w:rPr>
          <w:rStyle w:val="VerbatimChar"/>
        </w:rPr>
        <w:t xml:space="preserve">excluded</w:t>
      </w:r>
      <w:r>
        <w:br/>
      </w:r>
      <w:r>
        <w:rPr>
          <w:rStyle w:val="VerbatimChar"/>
        </w:rPr>
        <w:t xml:space="preserve">_artifacts.json</w:t>
      </w:r>
      <w:r>
        <w:t xml:space="preserve">. E-REDES-derived records remain subject to the attribution and indication-of-modification terms documented in</w:t>
      </w:r>
      <w:r>
        <w:t xml:space="preserve"> </w:t>
      </w:r>
      <w:r>
        <w:rPr>
          <w:rStyle w:val="VerbatimChar"/>
        </w:rPr>
        <w:t xml:space="preserve">DATA</w:t>
      </w:r>
      <w:r>
        <w:br/>
      </w:r>
      <w:r>
        <w:rPr>
          <w:rStyle w:val="VerbatimChar"/>
        </w:rPr>
        <w:t xml:space="preserve">_LICENSE.md</w:t>
      </w:r>
      <w:r>
        <w:t xml:space="preserve"> </w:t>
      </w:r>
      <w:r>
        <w:t xml:space="preserve">and</w:t>
      </w:r>
      <w:r>
        <w:t xml:space="preserve"> </w:t>
      </w:r>
      <w:r>
        <w:rPr>
          <w:rStyle w:val="VerbatimChar"/>
        </w:rPr>
        <w:t xml:space="preserve">ATTRIBUTION.md</w:t>
      </w:r>
      <w:r>
        <w:t xml:space="preserve">; the software licence does not replace those data terms.</w:t>
      </w:r>
    </w:p>
    <w:bookmarkEnd w:id="84"/>
    <w:bookmarkStart w:id="86" w:name="code-availability"/>
    <w:p>
      <w:pPr>
        <w:pStyle w:val="Heading1"/>
      </w:pPr>
      <w:r>
        <w:t xml:space="preserve">Code Availability</w:t>
      </w:r>
    </w:p>
    <w:p>
      <w:pPr>
        <w:pStyle w:val="FirstParagraph"/>
      </w:pPr>
      <w:r>
        <w:t xml:space="preserve">The source code is publicly available at</w:t>
      </w:r>
      <w:r>
        <w:t xml:space="preserve"> </w:t>
      </w:r>
      <w:hyperlink r:id="rId85">
        <w:r>
          <w:rPr>
            <w:rStyle w:val="Hyperlink"/>
          </w:rPr>
          <w:t xml:space="preserve">https://github.com/MingLeiZhou/PortugueseOPD</w:t>
        </w:r>
      </w:hyperlink>
      <w:r>
        <w:t xml:space="preserve">. The v1.0.1 release source is preserved by the annotated tag</w:t>
      </w:r>
      <w:r>
        <w:t xml:space="preserve"> </w:t>
      </w:r>
      <w:r>
        <w:rPr>
          <w:rStyle w:val="VerbatimChar"/>
        </w:rPr>
        <w:t xml:space="preserve">pt60-candidate-v1.0.1</w:t>
      </w:r>
      <w:r>
        <w:t xml:space="preserve"> </w:t>
      </w:r>
      <w:r>
        <w:t xml:space="preserve">at commit</w:t>
      </w:r>
      <w:r>
        <w:t xml:space="preserve"> </w:t>
      </w:r>
      <w:r>
        <w:rPr>
          <w:rStyle w:val="VerbatimChar"/>
        </w:rPr>
        <w:t xml:space="preserve">ab6cf36</w:t>
      </w:r>
      <w:r>
        <w:t xml:space="preserve">; a detached clean worktree of this tag produced the final archive reproducibly from the frozen derived inputs. The reference environment uses Python 3.12.9 and the versioned</w:t>
      </w:r>
      <w:r>
        <w:t xml:space="preserve"> </w:t>
      </w:r>
      <w:r>
        <w:rPr>
          <w:rStyle w:val="VerbatimChar"/>
        </w:rPr>
        <w:t xml:space="preserve">requirements.txt</w:t>
      </w:r>
      <w:r>
        <w:t xml:space="preserve">; the software is MIT licensed. No separate software DOI is claimed. The dataset archive is independently usable without installing the generation pipeline, but full regeneration from raw E-REDES/API responses is subject to the source-reacquisition limitation described in Usage Notes.</w:t>
      </w:r>
    </w:p>
    <w:bookmarkEnd w:id="86"/>
    <w:bookmarkStart w:id="87" w:name="author-contributions"/>
    <w:p>
      <w:pPr>
        <w:pStyle w:val="Heading1"/>
      </w:pPr>
      <w:r>
        <w:t xml:space="preserve">Author Contributions</w:t>
      </w:r>
    </w:p>
    <w:p>
      <w:pPr>
        <w:pStyle w:val="FirstParagraph"/>
      </w:pPr>
      <w:r>
        <w:t xml:space="preserve">The author-responsibility statement will be completed when the final author list is supplied and before submission.</w:t>
      </w:r>
    </w:p>
    <w:bookmarkEnd w:id="87"/>
    <w:bookmarkStart w:id="88" w:name="competing-interests"/>
    <w:p>
      <w:pPr>
        <w:pStyle w:val="Heading1"/>
      </w:pPr>
      <w:r>
        <w:t xml:space="preserve">Competing Interests</w:t>
      </w:r>
    </w:p>
    <w:p>
      <w:pPr>
        <w:pStyle w:val="FirstParagraph"/>
      </w:pPr>
      <w:r>
        <w:t xml:space="preserve">The final competing-interests declaration will be supplied before submission.</w:t>
      </w:r>
    </w:p>
    <w:bookmarkEnd w:id="88"/>
    <w:bookmarkStart w:id="89" w:name="acknowledgements"/>
    <w:p>
      <w:pPr>
        <w:pStyle w:val="Heading1"/>
      </w:pPr>
      <w:r>
        <w:t xml:space="preserve">Acknowledgements</w:t>
      </w:r>
    </w:p>
    <w:p>
      <w:pPr>
        <w:pStyle w:val="FirstParagraph"/>
      </w:pPr>
      <w:r>
        <w:t xml:space="preserve">Acknowledgements, if applicable, will be finalized before submission.</w:t>
      </w:r>
    </w:p>
    <w:bookmarkEnd w:id="89"/>
    <w:bookmarkStart w:id="90" w:name="funding"/>
    <w:p>
      <w:pPr>
        <w:pStyle w:val="Heading1"/>
      </w:pPr>
      <w:r>
        <w:t xml:space="preserve">Funding</w:t>
      </w:r>
    </w:p>
    <w:p>
      <w:pPr>
        <w:pStyle w:val="FirstParagraph"/>
      </w:pPr>
      <w:r>
        <w:t xml:space="preserve">The funding statement will be finalized before submission.</w:t>
      </w:r>
    </w:p>
    <w:bookmarkEnd w:id="90"/>
    <w:bookmarkStart w:id="117" w:name="bibliography"/>
    <w:p>
      <w:pPr>
        <w:pStyle w:val="Heading1"/>
      </w:pPr>
      <w:r>
        <w:t xml:space="preserve">References</w:t>
      </w:r>
    </w:p>
    <w:bookmarkStart w:id="116" w:name="refs"/>
    <w:bookmarkStart w:id="92" w:name="ref-Medjroubi2017"/>
    <w:p>
      <w:pPr>
        <w:pStyle w:val="Bibliography"/>
      </w:pPr>
      <w:r>
        <w:t xml:space="preserve">1.</w:t>
      </w:r>
      <w:r>
        <w:t xml:space="preserve"> </w:t>
      </w:r>
      <w:r>
        <w:t xml:space="preserve">	</w:t>
      </w:r>
      <w:r>
        <w:t xml:space="preserve">W. Medjroubi, U. P. Müller, M. Scharf, C. Matke, &amp; D. Kleinhans. Open data in power grid modelling: New approaches towards transparent grid models.</w:t>
      </w:r>
      <w:r>
        <w:t xml:space="preserve"> </w:t>
      </w:r>
      <w:r>
        <w:rPr>
          <w:i/>
          <w:iCs/>
        </w:rPr>
        <w:t xml:space="preserve">Energy Reports</w:t>
      </w:r>
      <w:r>
        <w:t xml:space="preserve"> </w:t>
      </w:r>
      <w:r>
        <w:rPr>
          <w:b/>
          <w:bCs/>
        </w:rPr>
        <w:t xml:space="preserve">3</w:t>
      </w:r>
      <w:r>
        <w:t xml:space="preserve"> </w:t>
      </w:r>
      <w:r>
        <w:t xml:space="preserve">14–21 (2017) https://doi.org/</w:t>
      </w:r>
      <w:hyperlink r:id="rId91">
        <w:r>
          <w:rPr>
            <w:rStyle w:val="Hyperlink"/>
          </w:rPr>
          <w:t xml:space="preserve">10.1016/j.egyr.2016.12.001</w:t>
        </w:r>
      </w:hyperlink>
      <w:r>
        <w:t xml:space="preserve">.</w:t>
      </w:r>
    </w:p>
    <w:bookmarkEnd w:id="92"/>
    <w:bookmarkStart w:id="94" w:name="ref-Horsch2018"/>
    <w:p>
      <w:pPr>
        <w:pStyle w:val="Bibliography"/>
      </w:pPr>
      <w:r>
        <w:t xml:space="preserve">2.</w:t>
      </w:r>
      <w:r>
        <w:t xml:space="preserve"> </w:t>
      </w:r>
      <w:r>
        <w:t xml:space="preserve">	</w:t>
      </w:r>
      <w:r>
        <w:t xml:space="preserve">J. Hörsch, F. Hofmann, D. Schlachtberger, &amp; T. Brown.</w:t>
      </w:r>
      <w:r>
        <w:t xml:space="preserve"> </w:t>
      </w:r>
      <w:r>
        <w:t xml:space="preserve">PyPSA-Eur</w:t>
      </w:r>
      <w:r>
        <w:t xml:space="preserve">: An open optimisation model of the european transmission system.</w:t>
      </w:r>
      <w:r>
        <w:t xml:space="preserve"> </w:t>
      </w:r>
      <w:r>
        <w:rPr>
          <w:i/>
          <w:iCs/>
        </w:rPr>
        <w:t xml:space="preserve">Energy Strategy Reviews</w:t>
      </w:r>
      <w:r>
        <w:t xml:space="preserve"> </w:t>
      </w:r>
      <w:r>
        <w:rPr>
          <w:b/>
          <w:bCs/>
        </w:rPr>
        <w:t xml:space="preserve">22</w:t>
      </w:r>
      <w:r>
        <w:t xml:space="preserve"> </w:t>
      </w:r>
      <w:r>
        <w:t xml:space="preserve">207–215 (2018) https://doi.org/</w:t>
      </w:r>
      <w:hyperlink r:id="rId93">
        <w:r>
          <w:rPr>
            <w:rStyle w:val="Hyperlink"/>
          </w:rPr>
          <w:t xml:space="preserve">10.1016/j.esr.2018.08.012</w:t>
        </w:r>
      </w:hyperlink>
      <w:r>
        <w:t xml:space="preserve">.</w:t>
      </w:r>
    </w:p>
    <w:bookmarkEnd w:id="94"/>
    <w:bookmarkStart w:id="96" w:name="ref-Wiese2019"/>
    <w:p>
      <w:pPr>
        <w:pStyle w:val="Bibliography"/>
      </w:pPr>
      <w:r>
        <w:t xml:space="preserve">3.</w:t>
      </w:r>
      <w:r>
        <w:t xml:space="preserve"> </w:t>
      </w:r>
      <w:r>
        <w:t xml:space="preserve">	</w:t>
      </w:r>
      <w:r>
        <w:t xml:space="preserve">F. Wiese et al. Open power system data – frictionless data for electricity system modelling.</w:t>
      </w:r>
      <w:r>
        <w:t xml:space="preserve"> </w:t>
      </w:r>
      <w:r>
        <w:rPr>
          <w:i/>
          <w:iCs/>
        </w:rPr>
        <w:t xml:space="preserve">Applied Energy</w:t>
      </w:r>
      <w:r>
        <w:t xml:space="preserve"> </w:t>
      </w:r>
      <w:r>
        <w:rPr>
          <w:b/>
          <w:bCs/>
        </w:rPr>
        <w:t xml:space="preserve">236</w:t>
      </w:r>
      <w:r>
        <w:t xml:space="preserve"> </w:t>
      </w:r>
      <w:r>
        <w:t xml:space="preserve">401–409 (2019) https://doi.org/</w:t>
      </w:r>
      <w:hyperlink r:id="rId95">
        <w:r>
          <w:rPr>
            <w:rStyle w:val="Hyperlink"/>
          </w:rPr>
          <w:t xml:space="preserve">10.1016/j.apenergy.2018.11.097</w:t>
        </w:r>
      </w:hyperlink>
      <w:r>
        <w:t xml:space="preserve">.</w:t>
      </w:r>
    </w:p>
    <w:bookmarkEnd w:id="96"/>
    <w:bookmarkStart w:id="98" w:name="ref-Xiong2025"/>
    <w:p>
      <w:pPr>
        <w:pStyle w:val="Bibliography"/>
      </w:pPr>
      <w:r>
        <w:t xml:space="preserve">4.</w:t>
      </w:r>
      <w:r>
        <w:t xml:space="preserve"> </w:t>
      </w:r>
      <w:r>
        <w:t xml:space="preserve">	</w:t>
      </w:r>
      <w:r>
        <w:t xml:space="preserve">B. Xiong, D. Fioriti, F. Neumann, I. Riepin, &amp; T. Brown. Modelling the high-voltage grid using open data for europe and beyond.</w:t>
      </w:r>
      <w:r>
        <w:t xml:space="preserve"> </w:t>
      </w:r>
      <w:r>
        <w:rPr>
          <w:i/>
          <w:iCs/>
        </w:rPr>
        <w:t xml:space="preserve">Scientific Data</w:t>
      </w:r>
      <w:r>
        <w:t xml:space="preserve"> </w:t>
      </w:r>
      <w:r>
        <w:rPr>
          <w:b/>
          <w:bCs/>
        </w:rPr>
        <w:t xml:space="preserve">12</w:t>
      </w:r>
      <w:r>
        <w:t xml:space="preserve"> </w:t>
      </w:r>
      <w:r>
        <w:t xml:space="preserve">277 (2025) https://doi.org/</w:t>
      </w:r>
      <w:hyperlink r:id="rId97">
        <w:r>
          <w:rPr>
            <w:rStyle w:val="Hyperlink"/>
          </w:rPr>
          <w:t xml:space="preserve">10.1038/s41597-025-04550-7</w:t>
        </w:r>
      </w:hyperlink>
      <w:r>
        <w:t xml:space="preserve">.</w:t>
      </w:r>
    </w:p>
    <w:bookmarkEnd w:id="98"/>
    <w:bookmarkStart w:id="100" w:name="ref-Rivera2019"/>
    <w:p>
      <w:pPr>
        <w:pStyle w:val="Bibliography"/>
      </w:pPr>
      <w:r>
        <w:t xml:space="preserve">5.</w:t>
      </w:r>
      <w:r>
        <w:t xml:space="preserve"> </w:t>
      </w:r>
      <w:r>
        <w:t xml:space="preserve">	</w:t>
      </w:r>
      <w:r>
        <w:t xml:space="preserve">J. Rivera, P. Nasirifard, J. Leimhofer, &amp; H.-A. Jacobsen. Automatic generation of real power transmission grid models from crowdsourced data.</w:t>
      </w:r>
      <w:r>
        <w:t xml:space="preserve"> </w:t>
      </w:r>
      <w:r>
        <w:rPr>
          <w:i/>
          <w:iCs/>
        </w:rPr>
        <w:t xml:space="preserve">IEEE Transactions on Smart Grid</w:t>
      </w:r>
      <w:r>
        <w:t xml:space="preserve"> </w:t>
      </w:r>
      <w:r>
        <w:rPr>
          <w:b/>
          <w:bCs/>
        </w:rPr>
        <w:t xml:space="preserve">10</w:t>
      </w:r>
      <w:r>
        <w:t xml:space="preserve"> </w:t>
      </w:r>
      <w:r>
        <w:t xml:space="preserve">5436–5448 (2019) https://doi.org/</w:t>
      </w:r>
      <w:hyperlink r:id="rId99">
        <w:r>
          <w:rPr>
            <w:rStyle w:val="Hyperlink"/>
          </w:rPr>
          <w:t xml:space="preserve">10.1109/TSG.2018.2882840</w:t>
        </w:r>
      </w:hyperlink>
      <w:r>
        <w:t xml:space="preserve">.</w:t>
      </w:r>
    </w:p>
    <w:bookmarkEnd w:id="100"/>
    <w:bookmarkStart w:id="102" w:name="ref-Haklay2008"/>
    <w:p>
      <w:pPr>
        <w:pStyle w:val="Bibliography"/>
      </w:pPr>
      <w:r>
        <w:t xml:space="preserve">6.</w:t>
      </w:r>
      <w:r>
        <w:t xml:space="preserve"> </w:t>
      </w:r>
      <w:r>
        <w:t xml:space="preserve">	</w:t>
      </w:r>
      <w:r>
        <w:t xml:space="preserve">M. Haklay &amp; P. Weber.</w:t>
      </w:r>
      <w:r>
        <w:t xml:space="preserve"> </w:t>
      </w:r>
      <w:r>
        <w:t xml:space="preserve">OpenStreetMap</w:t>
      </w:r>
      <w:r>
        <w:t xml:space="preserve">: User-generated street maps.</w:t>
      </w:r>
      <w:r>
        <w:t xml:space="preserve"> </w:t>
      </w:r>
      <w:r>
        <w:rPr>
          <w:i/>
          <w:iCs/>
        </w:rPr>
        <w:t xml:space="preserve">IEEE Pervasive Computing</w:t>
      </w:r>
      <w:r>
        <w:t xml:space="preserve"> </w:t>
      </w:r>
      <w:r>
        <w:rPr>
          <w:b/>
          <w:bCs/>
        </w:rPr>
        <w:t xml:space="preserve">7</w:t>
      </w:r>
      <w:r>
        <w:t xml:space="preserve"> </w:t>
      </w:r>
      <w:r>
        <w:t xml:space="preserve">12–18 (2008) https://doi.org/</w:t>
      </w:r>
      <w:hyperlink r:id="rId101">
        <w:r>
          <w:rPr>
            <w:rStyle w:val="Hyperlink"/>
          </w:rPr>
          <w:t xml:space="preserve">10.1109/MPRV.2008.80</w:t>
        </w:r>
      </w:hyperlink>
      <w:r>
        <w:t xml:space="preserve">.</w:t>
      </w:r>
    </w:p>
    <w:bookmarkEnd w:id="102"/>
    <w:bookmarkStart w:id="104" w:name="ref-Wilkinson2016"/>
    <w:p>
      <w:pPr>
        <w:pStyle w:val="Bibliography"/>
      </w:pPr>
      <w:r>
        <w:t xml:space="preserve">7.</w:t>
      </w:r>
      <w:r>
        <w:t xml:space="preserve"> </w:t>
      </w:r>
      <w:r>
        <w:t xml:space="preserve">	</w:t>
      </w:r>
      <w:r>
        <w:t xml:space="preserve">M. D. Wilkinson, M. Dumontier, Ij. J. Aalbersberg, et al.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rPr>
          <w:b/>
          <w:bCs/>
        </w:rPr>
        <w:t xml:space="preserve">3</w:t>
      </w:r>
      <w:r>
        <w:t xml:space="preserve"> </w:t>
      </w:r>
      <w:r>
        <w:t xml:space="preserve">160018 (2016) https://doi.org/</w:t>
      </w:r>
      <w:hyperlink r:id="rId103">
        <w:r>
          <w:rPr>
            <w:rStyle w:val="Hyperlink"/>
          </w:rPr>
          <w:t xml:space="preserve">10.1038/sdata.2016.18</w:t>
        </w:r>
      </w:hyperlink>
      <w:r>
        <w:t xml:space="preserve">.</w:t>
      </w:r>
    </w:p>
    <w:bookmarkEnd w:id="104"/>
    <w:bookmarkStart w:id="106" w:name="ref-Gebru2021"/>
    <w:p>
      <w:pPr>
        <w:pStyle w:val="Bibliography"/>
      </w:pPr>
      <w:r>
        <w:t xml:space="preserve">8.</w:t>
      </w:r>
      <w:r>
        <w:t xml:space="preserve"> </w:t>
      </w:r>
      <w:r>
        <w:t xml:space="preserve">	</w:t>
      </w:r>
      <w:r>
        <w:t xml:space="preserve">T. Gebru et al. Datasheets for datasets.</w:t>
      </w:r>
      <w:r>
        <w:t xml:space="preserve"> </w:t>
      </w:r>
      <w:r>
        <w:rPr>
          <w:i/>
          <w:iCs/>
        </w:rPr>
        <w:t xml:space="preserve">Communications of the ACM</w:t>
      </w:r>
      <w:r>
        <w:t xml:space="preserve"> </w:t>
      </w:r>
      <w:r>
        <w:rPr>
          <w:b/>
          <w:bCs/>
        </w:rPr>
        <w:t xml:space="preserve">64</w:t>
      </w:r>
      <w:r>
        <w:t xml:space="preserve"> </w:t>
      </w:r>
      <w:r>
        <w:t xml:space="preserve">86–92 (2021) https://doi.org/</w:t>
      </w:r>
      <w:hyperlink r:id="rId105">
        <w:r>
          <w:rPr>
            <w:rStyle w:val="Hyperlink"/>
          </w:rPr>
          <w:t xml:space="preserve">10.1145/3458723</w:t>
        </w:r>
      </w:hyperlink>
      <w:r>
        <w:t xml:space="preserve">.</w:t>
      </w:r>
    </w:p>
    <w:bookmarkEnd w:id="106"/>
    <w:bookmarkStart w:id="108" w:name="ref-EREDESOpenData2026"/>
    <w:p>
      <w:pPr>
        <w:pStyle w:val="Bibliography"/>
      </w:pPr>
      <w:r>
        <w:t xml:space="preserve">9.</w:t>
      </w:r>
      <w:r>
        <w:t xml:space="preserve"> </w:t>
      </w:r>
      <w:r>
        <w:t xml:space="preserve">	</w:t>
      </w:r>
      <w:r>
        <w:t xml:space="preserve">E-REDES.</w:t>
      </w:r>
      <w:r>
        <w:t xml:space="preserve"> </w:t>
      </w:r>
      <w:r>
        <w:t xml:space="preserve">E-REDES Open Data Portal</w:t>
      </w:r>
      <w:r>
        <w:t xml:space="preserve">. (2026)</w:t>
      </w:r>
      <w:r>
        <w:t xml:space="preserve"> </w:t>
      </w:r>
      <w:hyperlink r:id="rId107">
        <w:r>
          <w:rPr>
            <w:rStyle w:val="Hyperlink"/>
          </w:rPr>
          <w:t xml:space="preserve">https://e-redes.opendatasoft.com/pages/homepage/</w:t>
        </w:r>
      </w:hyperlink>
      <w:r>
        <w:t xml:space="preserve">.</w:t>
      </w:r>
    </w:p>
    <w:bookmarkEnd w:id="108"/>
    <w:bookmarkStart w:id="109" w:name="ref-PT60Candidate2026"/>
    <w:p>
      <w:pPr>
        <w:pStyle w:val="Bibliography"/>
      </w:pPr>
      <w:r>
        <w:t xml:space="preserve">10.</w:t>
      </w:r>
      <w:r>
        <w:t xml:space="preserve"> </w:t>
      </w:r>
      <w:r>
        <w:t xml:space="preserve">	</w:t>
      </w:r>
      <w:r>
        <w:t xml:space="preserve">PortugueseOPD contributors.</w:t>
      </w:r>
      <w:r>
        <w:t xml:space="preserve"> </w:t>
      </w:r>
      <w:r>
        <w:t xml:space="preserve">PT60-Candidate: A Provenance-Tracked Candidate Dataset for Portuguese 60 kV Topology Reconstruction</w:t>
      </w:r>
      <w:r>
        <w:t xml:space="preserve">. (2026) https://doi.org/</w:t>
      </w:r>
      <w:hyperlink r:id="rId38">
        <w:r>
          <w:rPr>
            <w:rStyle w:val="Hyperlink"/>
          </w:rPr>
          <w:t xml:space="preserve">10.6084/m9.figshare.32984021</w:t>
        </w:r>
      </w:hyperlink>
      <w:r>
        <w:t xml:space="preserve">.</w:t>
      </w:r>
    </w:p>
    <w:bookmarkEnd w:id="109"/>
    <w:bookmarkStart w:id="111" w:name="ref-OpendatasoftExploreAPI2026"/>
    <w:p>
      <w:pPr>
        <w:pStyle w:val="Bibliography"/>
      </w:pPr>
      <w:r>
        <w:t xml:space="preserve">11.</w:t>
      </w:r>
      <w:r>
        <w:t xml:space="preserve"> </w:t>
      </w:r>
      <w:r>
        <w:t xml:space="preserve">	</w:t>
      </w:r>
      <w:r>
        <w:t xml:space="preserve">Opendatasoft.</w:t>
      </w:r>
      <w:r>
        <w:t xml:space="preserve"> </w:t>
      </w:r>
      <w:r>
        <w:t xml:space="preserve">Explore API v2.1 Reference: Geometry Export EPSG Parameter</w:t>
      </w:r>
      <w:r>
        <w:t xml:space="preserve">. (2026)</w:t>
      </w:r>
      <w:r>
        <w:t xml:space="preserve"> </w:t>
      </w:r>
      <w:hyperlink r:id="rId110">
        <w:r>
          <w:rPr>
            <w:rStyle w:val="Hyperlink"/>
          </w:rPr>
          <w:t xml:space="preserve">https://help.opendatasoft.com/apis/ods-explore-v2/</w:t>
        </w:r>
      </w:hyperlink>
      <w:r>
        <w:t xml:space="preserve">.</w:t>
      </w:r>
    </w:p>
    <w:bookmarkEnd w:id="111"/>
    <w:bookmarkStart w:id="113" w:name="ref-OSM2026"/>
    <w:p>
      <w:pPr>
        <w:pStyle w:val="Bibliography"/>
      </w:pPr>
      <w:r>
        <w:t xml:space="preserve">12.</w:t>
      </w:r>
      <w:r>
        <w:t xml:space="preserve"> </w:t>
      </w:r>
      <w:r>
        <w:t xml:space="preserve">	</w:t>
      </w:r>
      <w:r>
        <w:t xml:space="preserve">OpenStreetMap contributors.</w:t>
      </w:r>
      <w:r>
        <w:t xml:space="preserve"> </w:t>
      </w:r>
      <w:r>
        <w:t xml:space="preserve">OpenStreetMap</w:t>
      </w:r>
      <w:r>
        <w:t xml:space="preserve">. (2026)</w:t>
      </w:r>
      <w:r>
        <w:t xml:space="preserve"> </w:t>
      </w:r>
      <w:hyperlink r:id="rId112">
        <w:r>
          <w:rPr>
            <w:rStyle w:val="Hyperlink"/>
          </w:rPr>
          <w:t xml:space="preserve">https://www.openstreetmap.org/</w:t>
        </w:r>
      </w:hyperlink>
      <w:r>
        <w:t xml:space="preserve">.</w:t>
      </w:r>
    </w:p>
    <w:bookmarkEnd w:id="113"/>
    <w:bookmarkStart w:id="115" w:name="ref-OpenInfraMap2026"/>
    <w:p>
      <w:pPr>
        <w:pStyle w:val="Bibliography"/>
      </w:pPr>
      <w:r>
        <w:t xml:space="preserve">13.</w:t>
      </w:r>
      <w:r>
        <w:t xml:space="preserve"> </w:t>
      </w:r>
      <w:r>
        <w:t xml:space="preserve">	</w:t>
      </w:r>
      <w:r>
        <w:t xml:space="preserve">OpenInfraMap contributors.</w:t>
      </w:r>
      <w:r>
        <w:t xml:space="preserve"> </w:t>
      </w:r>
      <w:r>
        <w:t xml:space="preserve">OpenInfraMap</w:t>
      </w:r>
      <w:r>
        <w:t xml:space="preserve">. (2026)</w:t>
      </w:r>
      <w:r>
        <w:t xml:space="preserve"> </w:t>
      </w:r>
      <w:hyperlink r:id="rId114">
        <w:r>
          <w:rPr>
            <w:rStyle w:val="Hyperlink"/>
          </w:rPr>
          <w:t xml:space="preserve">https://www.openinframap.org/</w:t>
        </w:r>
      </w:hyperlink>
      <w:r>
        <w:t xml:space="preserve">.</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hyperlink" Id="rId95" Target="https://doi.org/10.1016/j.apenergy.2018.11.097" TargetMode="External" /><Relationship Type="http://schemas.openxmlformats.org/officeDocument/2006/relationships/hyperlink" Id="rId91" Target="https://doi.org/10.1016/j.egyr.2016.12.001" TargetMode="External" /><Relationship Type="http://schemas.openxmlformats.org/officeDocument/2006/relationships/hyperlink" Id="rId93" Target="https://doi.org/10.1016/j.esr.2018.08.012" TargetMode="External" /><Relationship Type="http://schemas.openxmlformats.org/officeDocument/2006/relationships/hyperlink" Id="rId97" Target="https://doi.org/10.1038/s41597-025-04550-7" TargetMode="External" /><Relationship Type="http://schemas.openxmlformats.org/officeDocument/2006/relationships/hyperlink" Id="rId103" Target="https://doi.org/10.1038/sdata.2016.18" TargetMode="External" /><Relationship Type="http://schemas.openxmlformats.org/officeDocument/2006/relationships/hyperlink" Id="rId101" Target="https://doi.org/10.1109/MPRV.2008.80" TargetMode="External" /><Relationship Type="http://schemas.openxmlformats.org/officeDocument/2006/relationships/hyperlink" Id="rId99" Target="https://doi.org/10.1109/TSG.2018.2882840" TargetMode="External" /><Relationship Type="http://schemas.openxmlformats.org/officeDocument/2006/relationships/hyperlink" Id="rId105" Target="https://doi.org/10.1145/3458723" TargetMode="External" /><Relationship Type="http://schemas.openxmlformats.org/officeDocument/2006/relationships/hyperlink" Id="rId38" Target="https://doi.org/10.6084/m9.figshare.32984021" TargetMode="External" /><Relationship Type="http://schemas.openxmlformats.org/officeDocument/2006/relationships/hyperlink" Id="rId21" Target="https://e-redes.opendatasoft.com/api/explore/v2.1/catalog/datasets/rede-at-teste" TargetMode="External" /><Relationship Type="http://schemas.openxmlformats.org/officeDocument/2006/relationships/hyperlink" Id="rId107" Target="https://e-redes.opendatasoft.com/pages/homepage/" TargetMode="External" /><Relationship Type="http://schemas.openxmlformats.org/officeDocument/2006/relationships/hyperlink" Id="rId85" Target="https://github.com/MingLeiZhou/PortugueseOPD" TargetMode="External" /><Relationship Type="http://schemas.openxmlformats.org/officeDocument/2006/relationships/hyperlink" Id="rId110" Target="https://help.opendatasoft.com/apis/ods-explore-v2/" TargetMode="External" /><Relationship Type="http://schemas.openxmlformats.org/officeDocument/2006/relationships/hyperlink" Id="rId114" Target="https://www.openinframap.org/" TargetMode="External" /><Relationship Type="http://schemas.openxmlformats.org/officeDocument/2006/relationships/hyperlink" Id="rId112" Target="https://www.openstreetmap.org/"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16/j.apenergy.2018.11.097" TargetMode="External" /><Relationship Type="http://schemas.openxmlformats.org/officeDocument/2006/relationships/hyperlink" Id="rId91" Target="https://doi.org/10.1016/j.egyr.2016.12.001" TargetMode="External" /><Relationship Type="http://schemas.openxmlformats.org/officeDocument/2006/relationships/hyperlink" Id="rId93" Target="https://doi.org/10.1016/j.esr.2018.08.012" TargetMode="External" /><Relationship Type="http://schemas.openxmlformats.org/officeDocument/2006/relationships/hyperlink" Id="rId97" Target="https://doi.org/10.1038/s41597-025-04550-7" TargetMode="External" /><Relationship Type="http://schemas.openxmlformats.org/officeDocument/2006/relationships/hyperlink" Id="rId103" Target="https://doi.org/10.1038/sdata.2016.18" TargetMode="External" /><Relationship Type="http://schemas.openxmlformats.org/officeDocument/2006/relationships/hyperlink" Id="rId101" Target="https://doi.org/10.1109/MPRV.2008.80" TargetMode="External" /><Relationship Type="http://schemas.openxmlformats.org/officeDocument/2006/relationships/hyperlink" Id="rId99" Target="https://doi.org/10.1109/TSG.2018.2882840" TargetMode="External" /><Relationship Type="http://schemas.openxmlformats.org/officeDocument/2006/relationships/hyperlink" Id="rId105" Target="https://doi.org/10.1145/3458723" TargetMode="External" /><Relationship Type="http://schemas.openxmlformats.org/officeDocument/2006/relationships/hyperlink" Id="rId38" Target="https://doi.org/10.6084/m9.figshare.32984021" TargetMode="External" /><Relationship Type="http://schemas.openxmlformats.org/officeDocument/2006/relationships/hyperlink" Id="rId21" Target="https://e-redes.opendatasoft.com/api/explore/v2.1/catalog/datasets/rede-at-teste" TargetMode="External" /><Relationship Type="http://schemas.openxmlformats.org/officeDocument/2006/relationships/hyperlink" Id="rId107" Target="https://e-redes.opendatasoft.com/pages/homepage/" TargetMode="External" /><Relationship Type="http://schemas.openxmlformats.org/officeDocument/2006/relationships/hyperlink" Id="rId85" Target="https://github.com/MingLeiZhou/PortugueseOPD" TargetMode="External" /><Relationship Type="http://schemas.openxmlformats.org/officeDocument/2006/relationships/hyperlink" Id="rId110" Target="https://help.opendatasoft.com/apis/ods-explore-v2/" TargetMode="External" /><Relationship Type="http://schemas.openxmlformats.org/officeDocument/2006/relationships/hyperlink" Id="rId114" Target="https://www.openinframap.org/" TargetMode="External" /><Relationship Type="http://schemas.openxmlformats.org/officeDocument/2006/relationships/hyperlink" Id="rId112" Target="https://www.openstreetm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provenance-tracked candidate dataset for Portuguese 60 kV topology reconstruction</dc:title>
  <dc:creator>Author details to be finalized before submission</dc:creator>
  <cp:keywords/>
  <dcterms:created xsi:type="dcterms:W3CDTF">2026-07-15T13:50:23Z</dcterms:created>
  <dcterms:modified xsi:type="dcterms:W3CDTF">2026-07-15T13:50:23Z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 distribution-network records rarely provide explicit bus–branch topology. We present PT60-Candidate, a provenance-tracked candidate dataset for the Portuguese E-REDES 60 kV layer and its fail-closed construction pipeline. From 5,334 line features and 586 facility records, the selected configuration yields 1,342 classified circuit candidates: 358 retained inter-facility branches and 984 downgraded or rejected records with reasons. Version 1.0.1 includes a 484-node multigraph, 216-configuration sensitivity sweep, source manifests, machine-readable schemas, a field-level data dictionary, checksums, and branch-level public evidence derived from OpenStreetMap (OSM). Internal validation tests geometry, identifiers, graph–table parity, schema coverage, missingness, and archive integrity. Endpoint-name permutation and displaced-geometry controls reduce corresponding OSM-evidence rates by 95.1% and 99.7%, testing matcher selectivity rather than topology accuracy. The dataset is not operator validated, precision and recall are unavailable, and electrical parameters remain incomplete. It supports topology-reconstruction, provenance, geospatial-integration, and interface research, not operational grid studies. Versioned data and code are provided separately.</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July 2026</vt:lpwstr>
  </property>
  <property fmtid="{D5CDD505-2E9C-101B-9397-08002B2CF9AE}" pid="6" name="reference-section-title">
    <vt:lpwstr>References</vt:lpwstr>
  </property>
</Properties>
</file>