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  <w:spacing w:before="160" w:after="120"/>
      </w:pPr>
      <w:r>
        <w:rPr>
          <w:rFonts w:ascii="Calibri" w:hAnsi="Calibri" w:eastAsia="Microsoft YaHei"/>
          <w:b/>
          <w:color w:val="2E74B5"/>
          <w:sz w:val="19"/>
        </w:rPr>
        <w:t>STRATEGY DESIGN &amp; PRODUCTION ROADMAP</w:t>
      </w:r>
    </w:p>
    <w:p>
      <w:pPr>
        <w:pStyle w:val="DocTitle"/>
      </w:pPr>
      <w:r>
        <w:rPr>
          <w:rFonts w:ascii="Calibri" w:hAnsi="Calibri" w:eastAsia="Microsoft YaHei"/>
          <w:b/>
          <w:color w:val="0B2545"/>
          <w:sz w:val="48"/>
        </w:rPr>
        <w:t>ProBigA 生产选股策略与优化实施方案</w:t>
      </w:r>
    </w:p>
    <w:p>
      <w:pPr>
        <w:pStyle w:val="DocSubtitle"/>
      </w:pPr>
      <w:r>
        <w:rPr>
          <w:rFonts w:ascii="Calibri" w:hAnsi="Calibri" w:eastAsia="Microsoft YaHei"/>
          <w:color w:val="5B6573"/>
          <w:sz w:val="25"/>
        </w:rPr>
        <w:t>基于 V3/V4/V5/V6 生产融合选股的现状基线、缺陷清单与分阶段演进路线</w:t>
      </w:r>
    </w:p>
    <w:p>
      <w:pPr>
        <w:pStyle w:val="DocMetadata"/>
      </w:pPr>
      <w:r>
        <w:rPr>
          <w:rFonts w:ascii="Calibri" w:hAnsi="Calibri" w:eastAsia="Microsoft YaHei"/>
          <w:b/>
          <w:color w:val="0B2545"/>
          <w:sz w:val="19"/>
        </w:rPr>
        <w:t>文档日期：</w:t>
      </w:r>
      <w:r>
        <w:rPr>
          <w:rFonts w:ascii="Calibri" w:hAnsi="Calibri" w:eastAsia="Microsoft YaHei"/>
          <w:color w:val="5B6573"/>
          <w:sz w:val="19"/>
        </w:rPr>
        <w:t>2026-08-10</w:t>
      </w:r>
    </w:p>
    <w:p>
      <w:pPr>
        <w:pStyle w:val="DocMetadata"/>
      </w:pPr>
      <w:r>
        <w:rPr>
          <w:rFonts w:ascii="Calibri" w:hAnsi="Calibri" w:eastAsia="Microsoft YaHei"/>
          <w:b/>
          <w:color w:val="0B2545"/>
          <w:sz w:val="19"/>
        </w:rPr>
        <w:t>生产基线：</w:t>
      </w:r>
      <w:r>
        <w:rPr>
          <w:rFonts w:ascii="Calibri" w:hAnsi="Calibri" w:eastAsia="Microsoft YaHei"/>
          <w:color w:val="5B6573"/>
          <w:sz w:val="19"/>
        </w:rPr>
        <w:t>production-selector.v1 / V3_V4_V5_V6_BOUNDED_ENSEMBLE</w:t>
      </w:r>
    </w:p>
    <w:p>
      <w:pPr>
        <w:pStyle w:val="DocMetadata"/>
      </w:pPr>
      <w:r>
        <w:rPr>
          <w:rFonts w:ascii="Calibri" w:hAnsi="Calibri" w:eastAsia="Microsoft YaHei"/>
          <w:b/>
          <w:color w:val="0B2545"/>
          <w:sz w:val="19"/>
        </w:rPr>
        <w:t>生产代码：</w:t>
      </w:r>
      <w:r>
        <w:rPr>
          <w:rFonts w:ascii="Calibri" w:hAnsi="Calibri" w:eastAsia="Microsoft YaHei"/>
          <w:color w:val="5B6573"/>
          <w:sz w:val="19"/>
        </w:rPr>
        <w:t>6127a98</w:t>
      </w:r>
    </w:p>
    <w:p>
      <w:pPr>
        <w:pStyle w:val="DocMetadata"/>
      </w:pPr>
      <w:r>
        <w:rPr>
          <w:rFonts w:ascii="Calibri" w:hAnsi="Calibri" w:eastAsia="Microsoft YaHei"/>
          <w:b/>
          <w:color w:val="0B2545"/>
          <w:sz w:val="19"/>
        </w:rPr>
        <w:t>文档状态：</w:t>
      </w:r>
      <w:r>
        <w:rPr>
          <w:rFonts w:ascii="Calibri" w:hAnsi="Calibri" w:eastAsia="Microsoft YaHei"/>
          <w:color w:val="5B6573"/>
          <w:sz w:val="19"/>
        </w:rPr>
        <w:t>内部评审稿；用于策略确认、开发拆分和生产验收</w:t>
      </w:r>
    </w:p>
    <w:p>
      <w:pPr>
        <w:pStyle w:val="Callout"/>
        <w:shd w:fill="F4F6F9"/>
        <w:pBdr>
          <w:left w:val="single" w:sz="18" w:space="8" w:color="2E74B5"/>
        </w:pBdr>
        <w:ind w:left="180" w:right="120"/>
      </w:pPr>
      <w:r>
        <w:rPr>
          <w:rFonts w:ascii="Calibri" w:hAnsi="Calibri" w:eastAsia="Microsoft YaHei"/>
          <w:b/>
          <w:color w:val="2E74B5"/>
          <w:sz w:val="21"/>
        </w:rPr>
        <w:t xml:space="preserve">核心结论  </w:t>
      </w:r>
      <w:r>
        <w:rPr>
          <w:rFonts w:ascii="Calibri" w:hAnsi="Calibri" w:eastAsia="Microsoft YaHei"/>
          <w:color w:val="1D2733"/>
          <w:sz w:val="21"/>
        </w:rPr>
        <w:t>当前生产不是单一 V3，也不是把 V4/V5/V6 只显示在页面上；实际链路是七套规则生成候选，V3 给出基础分，V4/V5/V6 以受限权重重排。下一阶段首先修正候选生成和风险门禁，再做多周期、组合与执行层优化。</w:t>
      </w:r>
    </w:p>
    <w:p>
      <w:pPr>
        <w:pStyle w:val="Callout"/>
        <w:shd w:fill="FFF9E8"/>
        <w:pBdr>
          <w:left w:val="single" w:sz="18" w:space="8" w:color="7A5A00"/>
        </w:pBdr>
        <w:ind w:left="180" w:right="120"/>
      </w:pPr>
      <w:r>
        <w:rPr>
          <w:rFonts w:ascii="Calibri" w:hAnsi="Calibri" w:eastAsia="Microsoft YaHei"/>
          <w:b/>
          <w:color w:val="7A5A00"/>
          <w:sz w:val="21"/>
        </w:rPr>
        <w:t xml:space="preserve">边界声明  </w:t>
      </w:r>
      <w:r>
        <w:rPr>
          <w:rFonts w:ascii="Calibri" w:hAnsi="Calibri" w:eastAsia="Microsoft YaHei"/>
          <w:color w:val="1D2733"/>
          <w:sz w:val="21"/>
        </w:rPr>
        <w:t>本文描述选股与生产排序，不构成收益承诺。当前真实自动下单保持关闭；任何研究模型在样本外、成本、成交和风险门未通过前，不得获得订单权威。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文档目的与决策范围</w:t>
      </w:r>
    </w:p>
    <w:p>
      <w:pPr/>
      <w:r>
        <w:rPr>
          <w:rFonts w:ascii="Calibri" w:hAnsi="Calibri" w:eastAsia="Microsoft YaHei"/>
          <w:color w:val="1D2733"/>
          <w:sz w:val="22"/>
        </w:rPr>
        <w:t>本文件用于冻结 2026-08-10 生产选股的真实策略基线，并把后续优化拆成可以开发、测试、验收和回滚的阶段。它取代“只讲目标架构、不区分是否上线”的描述方式。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现状基线：说明生产今天实际执行什么，而不是未来计划。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优化边界：优先修正确性、数据时间点和可成交性，再追求收益指标。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上线原则：新公式、阈值、特征或数据源发生变化后，旧样本外成绩不得自动继承。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权限边界：选股排序、观察池、内部模拟与真实订单必须保持四种不同身份。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当前生产选股链路</w:t>
      </w:r>
    </w:p>
    <w:p>
      <w:pPr/>
      <w:r>
        <w:rPr>
          <w:rFonts w:ascii="Calibri" w:hAnsi="Calibri" w:eastAsia="Microsoft YaHei"/>
          <w:color w:val="1D2733"/>
          <w:sz w:val="22"/>
        </w:rPr>
        <w:t>生产链路按下列顺序运行。前一步没有通过时，后一步不能把缺失事实补成乐观假设。</w:t>
      </w:r>
    </w:p>
    <w:p>
      <w:pPr>
        <w:pStyle w:val="StrategyNumber"/>
        <w:numPr>
          <w:ilvl w:val="0"/>
          <w:numId w:val="12"/>
        </w:numPr>
      </w:pPr>
      <w:r>
        <w:rPr>
          <w:rFonts w:ascii="Calibri" w:hAnsi="Calibri" w:eastAsia="Microsoft YaHei"/>
          <w:color w:val="1D2733"/>
          <w:sz w:val="22"/>
        </w:rPr>
        <w:t>确认目标交易日、上市状态和可用数据日期。</w:t>
      </w:r>
    </w:p>
    <w:p>
      <w:pPr>
        <w:pStyle w:val="StrategyNumber"/>
        <w:numPr>
          <w:ilvl w:val="0"/>
          <w:numId w:val="12"/>
        </w:numPr>
      </w:pPr>
      <w:r>
        <w:rPr>
          <w:rFonts w:ascii="Calibri" w:hAnsi="Calibri" w:eastAsia="Microsoft YaHei"/>
          <w:color w:val="1D2733"/>
          <w:sz w:val="22"/>
        </w:rPr>
        <w:t>由七套预设分别生成候选股，形成多来源候选池。</w:t>
      </w:r>
    </w:p>
    <w:p>
      <w:pPr>
        <w:pStyle w:val="StrategyNumber"/>
        <w:numPr>
          <w:ilvl w:val="0"/>
          <w:numId w:val="12"/>
        </w:numPr>
      </w:pPr>
      <w:r>
        <w:rPr>
          <w:rFonts w:ascii="Calibri" w:hAnsi="Calibri" w:eastAsia="Microsoft YaHei"/>
          <w:color w:val="1D2733"/>
          <w:sz w:val="22"/>
        </w:rPr>
        <w:t>补充同日股票分析、推荐快照和市场情绪证据。</w:t>
      </w:r>
    </w:p>
    <w:p>
      <w:pPr>
        <w:pStyle w:val="StrategyNumber"/>
        <w:numPr>
          <w:ilvl w:val="0"/>
          <w:numId w:val="12"/>
        </w:numPr>
      </w:pPr>
      <w:r>
        <w:rPr>
          <w:rFonts w:ascii="Calibri" w:hAnsi="Calibri" w:eastAsia="Microsoft YaHei"/>
          <w:color w:val="1D2733"/>
          <w:sz w:val="22"/>
        </w:rPr>
        <w:t>V3 从 final_trade_score、ai_score 或规则分中选择基础分。</w:t>
      </w:r>
    </w:p>
    <w:p>
      <w:pPr>
        <w:pStyle w:val="StrategyNumber"/>
        <w:numPr>
          <w:ilvl w:val="0"/>
          <w:numId w:val="12"/>
        </w:numPr>
      </w:pPr>
      <w:r>
        <w:rPr>
          <w:rFonts w:ascii="Calibri" w:hAnsi="Calibri" w:eastAsia="Microsoft YaHei"/>
          <w:color w:val="1D2733"/>
          <w:sz w:val="22"/>
        </w:rPr>
        <w:t>V4 评估入场与追高风险，V5 评估市场状态适配，V6 评估基本面和质量。</w:t>
      </w:r>
    </w:p>
    <w:p>
      <w:pPr>
        <w:pStyle w:val="StrategyNumber"/>
        <w:numPr>
          <w:ilvl w:val="0"/>
          <w:numId w:val="12"/>
        </w:numPr>
      </w:pPr>
      <w:r>
        <w:rPr>
          <w:rFonts w:ascii="Calibri" w:hAnsi="Calibri" w:eastAsia="Microsoft YaHei"/>
          <w:color w:val="1D2733"/>
          <w:sz w:val="22"/>
        </w:rPr>
        <w:t>计算融合分并按融合分、V3基础分、股票代码稳定排序。</w:t>
      </w:r>
    </w:p>
    <w:p>
      <w:pPr>
        <w:pStyle w:val="StrategyNumber"/>
        <w:numPr>
          <w:ilvl w:val="0"/>
          <w:numId w:val="12"/>
        </w:numPr>
      </w:pPr>
      <w:r>
        <w:rPr>
          <w:rFonts w:ascii="Calibri" w:hAnsi="Calibri" w:eastAsia="Microsoft YaHei"/>
          <w:color w:val="1D2733"/>
          <w:sz w:val="22"/>
        </w:rPr>
        <w:t>输出生产选股观察结果；不自动提交真实订单。</w:t>
      </w:r>
    </w:p>
    <w:p>
      <w:pPr>
        <w:pStyle w:val="Callout"/>
        <w:shd w:fill="F4F6F9"/>
        <w:pBdr>
          <w:left w:val="single" w:sz="18" w:space="8" w:color="2E74B5"/>
        </w:pBdr>
        <w:ind w:left="180" w:right="120"/>
      </w:pPr>
      <w:r>
        <w:rPr>
          <w:rFonts w:ascii="Calibri" w:hAnsi="Calibri" w:eastAsia="Microsoft YaHei"/>
          <w:b/>
          <w:color w:val="2E74B5"/>
          <w:sz w:val="21"/>
        </w:rPr>
        <w:t xml:space="preserve">融合公式  </w:t>
      </w:r>
      <w:r>
        <w:rPr>
          <w:rFonts w:ascii="Calibri" w:hAnsi="Calibri" w:eastAsia="Microsoft YaHei"/>
          <w:color w:val="1D2733"/>
          <w:sz w:val="21"/>
        </w:rPr>
        <w:t>证据完整时：最终分 = 70%×V3 + 12%×V4 + 10%×V5 + 8%×V6。某个版本证据不足时，该版本权重自动回到 V3，而不是填入中性分。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4200"/>
        <w:gridCol w:w="1100"/>
        <w:gridCol w:w="3210"/>
      </w:tblGrid>
      <w:tr>
        <w:trPr>
          <w:tblHeader w:val="true"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生产职责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最大权重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当前状态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V3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基础分与主要排序权威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70%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ACTIVE_BASE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V4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入场、追高、事件与可执行风险修正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12%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ACTIVE_BOUNDED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V5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市场状态与策略适配修正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10%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ACTIVE_BOUNDED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V6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基本面、估值与长期质量修正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8%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ACTIVE_BOUNDED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公共股票范围与基础过滤</w:t>
      </w:r>
    </w:p>
    <w:p>
      <w:pPr/>
      <w:r>
        <w:rPr>
          <w:rFonts w:ascii="Calibri" w:hAnsi="Calibri" w:eastAsia="Microsoft YaHei"/>
          <w:color w:val="1D2733"/>
          <w:sz w:val="22"/>
        </w:rPr>
        <w:t>统一选股入口识别 00、30、60、68、92 开头的 A 股代码，并要求股票在目标日期已经上市。公共过滤默认排除名称含 ST 或“退”的股票，同时支持涨跌幅、换手率、成交额、主力净流入和最低分等附加条件。</w:t>
      </w:r>
    </w:p>
    <w:p>
      <w:pPr>
        <w:pStyle w:val="Callout"/>
        <w:shd w:fill="FCEEEE"/>
        <w:pBdr>
          <w:left w:val="single" w:sz="18" w:space="8" w:color="9B1C1C"/>
        </w:pBdr>
        <w:ind w:left="180" w:right="120"/>
      </w:pPr>
      <w:r>
        <w:rPr>
          <w:rFonts w:ascii="Calibri" w:hAnsi="Calibri" w:eastAsia="Microsoft YaHei"/>
          <w:b/>
          <w:color w:val="9B1C1C"/>
          <w:sz w:val="21"/>
        </w:rPr>
        <w:t xml:space="preserve">现状提醒  </w:t>
      </w:r>
      <w:r>
        <w:rPr>
          <w:rFonts w:ascii="Calibri" w:hAnsi="Calibri" w:eastAsia="Microsoft YaHei"/>
          <w:color w:val="1D2733"/>
          <w:sz w:val="21"/>
        </w:rPr>
        <w:t>公共入口虽然接受创业板、科创板和北交所代码，但部分旧预设的底层 SQL 仍只扫描 0 或 60 开头的股票。这是当前需要优先修正的覆盖不一致。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七套生产候选策略</w:t>
      </w:r>
    </w:p>
    <w:p>
      <w:pPr/>
      <w:r>
        <w:rPr>
          <w:rFonts w:ascii="Calibri" w:hAnsi="Calibri" w:eastAsia="Microsoft YaHei"/>
          <w:color w:val="1D2733"/>
          <w:sz w:val="22"/>
        </w:rPr>
        <w:t>七套策略负责“找候选”，不是七套独立下单模型。候选进入统一证据补全与融合评分后，才产生最终排名。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940"/>
        <w:gridCol w:w="197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策略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当前实际条件</w:t>
            </w:r>
          </w:p>
        </w:tc>
        <w:tc>
          <w:tcPr>
            <w:tcW w:type="dxa" w:w="1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主要用途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趋势突破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MA5&gt;MA10&gt;MA20&gt;MA60；收盘价&gt;MA5；连续站上MA5≥5天；MA20斜率≥0.2%；接近60日高点（≥90%）；5日/20日量能比0.5～3；60日涨幅&gt;0且≤200%。</w:t>
            </w:r>
          </w:p>
        </w:tc>
        <w:tc>
          <w:tcPr>
            <w:tcW w:type="dxa" w:w="1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顺势研究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启动突破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收盘价站上MA20且低于MA20的120%；成交量大于整理期均量1.3倍；突破前期高点；整理区间振幅&lt;18%；按资金和量能排序。</w:t>
            </w:r>
          </w:p>
        </w:tc>
        <w:tc>
          <w:tcPr>
            <w:tcW w:type="dxa" w:w="1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盘整后启动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低位反转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距近20日低点≤5%；当日涨幅3%～20%；成交量≥近20日均量1.5倍。</w:t>
            </w:r>
          </w:p>
        </w:tc>
        <w:tc>
          <w:tcPr>
            <w:tcW w:type="dxa" w:w="1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低位放量止跌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资金承接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当日主力净流入≥500万元，按净流入从高到低初筛。</w:t>
            </w:r>
          </w:p>
        </w:tc>
        <w:tc>
          <w:tcPr>
            <w:tcW w:type="dxa" w:w="1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资金驱动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情绪连板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当日涨幅≥9.5%，并向前计算连续满足同一阈值的天数；保留2～5板。</w:t>
            </w:r>
          </w:p>
        </w:tc>
        <w:tc>
          <w:tcPr>
            <w:tcW w:type="dxa" w:w="1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短线情绪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龙虎榜事件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读取目标日龙虎榜股票，按涨跌幅绝对值初排；龙虎榜仅作为事件和资金证据。</w:t>
            </w:r>
          </w:p>
        </w:tc>
        <w:tc>
          <w:tcPr>
            <w:tcW w:type="dxa" w:w="1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事件研究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MACD金叉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使用真实EMA/MACD/KDJ；前一日DIF&lt;DEA且当日DIF&gt;DEA；按MACD柱和涨幅排序。</w:t>
            </w:r>
          </w:p>
        </w:tc>
        <w:tc>
          <w:tcPr>
            <w:tcW w:type="dxa" w:w="1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技术转强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V3 基础分</w:t>
      </w:r>
    </w:p>
    <w:p>
      <w:pPr/>
      <w:r>
        <w:rPr>
          <w:rFonts w:ascii="Calibri" w:hAnsi="Calibri" w:eastAsia="Microsoft YaHei"/>
          <w:color w:val="1D2733"/>
          <w:sz w:val="22"/>
        </w:rPr>
        <w:t>V3按 final_trade_score、ai_score、score 的顺序取第一个有效值。三者都缺失时，从50分开始按市场行数据构造回退分。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涨跌幅贡献：涨跌幅×1.2，向上最多+15，向下最多-10。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主力净流入为正：+8。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量能比≥1.2：+4。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连续站上MA5：按天数加分，最多+12。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连板数：每板+3，最多+15。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最终分限制在0～100。</w:t>
      </w:r>
    </w:p>
    <w:p>
      <w:pPr>
        <w:pStyle w:val="Callout"/>
        <w:shd w:fill="F4F6F9"/>
        <w:pBdr>
          <w:left w:val="single" w:sz="18" w:space="8" w:color="2E74B5"/>
        </w:pBdr>
        <w:ind w:left="180" w:right="120"/>
      </w:pPr>
      <w:r>
        <w:rPr>
          <w:rFonts w:ascii="Calibri" w:hAnsi="Calibri" w:eastAsia="Microsoft YaHei"/>
          <w:b/>
          <w:color w:val="2E74B5"/>
          <w:sz w:val="21"/>
        </w:rPr>
        <w:t xml:space="preserve">解释  </w:t>
      </w:r>
      <w:r>
        <w:rPr>
          <w:rFonts w:ascii="Calibri" w:hAnsi="Calibri" w:eastAsia="Microsoft YaHei"/>
          <w:color w:val="1D2733"/>
          <w:sz w:val="21"/>
        </w:rPr>
        <w:t>正常生产候选通常已有 final_trade_score 或 ai_score；回退公式主要用于证据不完整的旧预设行。回退分本身仍偏动量和资金，不应被误解成已校准的盈利概率。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V4/V5/V6 的生产职责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V4：入场与追高风险</w:t>
      </w:r>
    </w:p>
    <w:p>
      <w:pPr/>
      <w:r>
        <w:rPr>
          <w:rFonts w:ascii="Calibri" w:hAnsi="Calibri" w:eastAsia="Microsoft YaHei"/>
          <w:color w:val="1D2733"/>
          <w:sz w:val="22"/>
        </w:rPr>
        <w:t>V4至少需要两项有效证据才激活，使用入场质量、数据质量、盈亏比、热度过载、历史失败惩罚、事件风险和追高门禁。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当前换算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盈亏比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盈亏比×25，限制在0～100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事件风险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LOW=85；MEDIUM=55；HIGH=20；CRITICAL=0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追高门禁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ALLOW=85；WATCH=55；RISK=25；BLOCK/EXECUTION_BLOCKED=0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热度/失败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使用100减去过载分或失败惩罚分</w:t>
            </w:r>
          </w:p>
        </w:tc>
      </w:tr>
    </w:tbl>
    <w:p>
      <w:pPr>
        <w:spacing w:before="40" w:after="40"/>
      </w:pPr>
    </w:p>
    <w:p>
      <w:pPr/>
      <w:r>
        <w:rPr>
          <w:rFonts w:ascii="Calibri" w:hAnsi="Calibri" w:eastAsia="Microsoft YaHei"/>
          <w:color w:val="1D2733"/>
          <w:sz w:val="22"/>
        </w:rPr>
        <w:t>V4当前是受限修正，不是完整硬门禁；严重风险仍可能表现为降分而不是直接剔除，这是下一阶段要改变的地方。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V5：市场状态适配</w:t>
      </w:r>
    </w:p>
    <w:p>
      <w:pPr/>
      <w:r>
        <w:rPr>
          <w:rFonts w:ascii="Calibri" w:hAnsi="Calibri" w:eastAsia="Microsoft YaHei"/>
          <w:color w:val="1D2733"/>
          <w:sz w:val="22"/>
        </w:rPr>
        <w:t>V5用市场情绪分与个股情绪分的平均值判断状态：≥60为风险偏好，≤40为防御，40～60为中性。然后选择对应的超短、主升、资金、波段、质量或板块轮动证据。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风险偏好：超短、主升、资金、板块轮动。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防御环境：长期质量、质量防御、资金防御、波段。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中性环境：波段、短线、质量、板块轮动。</w:t>
      </w:r>
    </w:p>
    <w:p>
      <w:pPr/>
      <w:r>
        <w:rPr>
          <w:rFonts w:ascii="Calibri" w:hAnsi="Calibri" w:eastAsia="Microsoft YaHei"/>
          <w:color w:val="1D2733"/>
          <w:sz w:val="22"/>
        </w:rPr>
        <w:t>当前市场状态混入了个股情绪，导致不同股票可能得到不同的“市场状态”；目标版本应把全局市场状态与个股适配度分离。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V6：基本面与质量</w:t>
      </w:r>
    </w:p>
    <w:p>
      <w:pPr/>
      <w:r>
        <w:rPr>
          <w:rFonts w:ascii="Calibri" w:hAnsi="Calibri" w:eastAsia="Microsoft YaHei"/>
          <w:color w:val="1D2733"/>
          <w:sz w:val="22"/>
        </w:rPr>
        <w:t>V6使用基本面、成长质量、估值、长期质量、证据质量和预期收益，至少两项有效才激活。当前来源是当日推荐快照，明确标记 pit_verified=false。</w:t>
      </w:r>
    </w:p>
    <w:p>
      <w:pPr>
        <w:pStyle w:val="Callout"/>
        <w:shd w:fill="FFF9E8"/>
        <w:pBdr>
          <w:left w:val="single" w:sz="18" w:space="8" w:color="7A5A00"/>
        </w:pBdr>
        <w:ind w:left="180" w:right="120"/>
      </w:pPr>
      <w:r>
        <w:rPr>
          <w:rFonts w:ascii="Calibri" w:hAnsi="Calibri" w:eastAsia="Microsoft YaHei"/>
          <w:b/>
          <w:color w:val="7A5A00"/>
          <w:sz w:val="21"/>
        </w:rPr>
        <w:t xml:space="preserve">时间点风险  </w:t>
      </w:r>
      <w:r>
        <w:rPr>
          <w:rFonts w:ascii="Calibri" w:hAnsi="Calibri" w:eastAsia="Microsoft YaHei"/>
          <w:color w:val="1D2733"/>
          <w:sz w:val="21"/>
        </w:rPr>
        <w:t>V6不能把数据库里“现在能看到”的财务结果直接用于更早时点的回测。目标版本必须保存公告时间、系统首次可见时间和决策截止时间，才能获得样本外生产资格。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当前已知问题与影响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060"/>
        <w:gridCol w:w="110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实际影响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候选生成受旧逻辑限制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V4/V5/V6只能重排已经入池的股票，无法救回初筛漏掉的候选。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P0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市场覆盖不一致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趋势、启动、MACD的旧SQL只扫0或60开头，创业板、科创板、北交所覆盖不完整。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P0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启动参数未完全生效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页面默认涨幅2%～12%没有在底层SQL真正执行，放量阈值写死为1.3。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P0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涨停规则不分板块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统一9.5%无法准确区分主板、双创、北交所及特殊证券。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P0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MACD不是全市场扫描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先按当日涨幅截取一批股票再计算，可能遗漏低涨幅但刚发生金叉的股票。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P0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龙虎榜没有资金方向分类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没有先区分机构净买入、机构净卖出和游资接力。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P1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指标重复计权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质量、资金、情绪在多个版本出现，可能被重复奖励或惩罚。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P1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分值尺度不统一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不同来源的80分不一定含义一致，简单平均会放大不可比性。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P1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风险多为软扣分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一字板、极端追高、重大事件等应形成硬门禁，而不是仅降低少量分数。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P1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缺少组合与执行层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单股排名尚未系统控制行业集中度、相关性、容量、滑点和下一时点可成交性。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P2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目标生产架构</w:t>
      </w:r>
    </w:p>
    <w:p>
      <w:pPr>
        <w:pStyle w:val="Callout"/>
        <w:shd w:fill="F4F6F9"/>
        <w:pBdr>
          <w:left w:val="single" w:sz="18" w:space="8" w:color="2E74B5"/>
        </w:pBdr>
        <w:ind w:left="180" w:right="120"/>
      </w:pPr>
      <w:r>
        <w:rPr>
          <w:rFonts w:ascii="Calibri" w:hAnsi="Calibri" w:eastAsia="Microsoft YaHei"/>
          <w:b/>
          <w:color w:val="2E74B5"/>
          <w:sz w:val="21"/>
        </w:rPr>
        <w:t xml:space="preserve">目标链路  </w:t>
      </w:r>
      <w:r>
        <w:rPr>
          <w:rFonts w:ascii="Calibri" w:hAnsi="Calibri" w:eastAsia="Microsoft YaHei"/>
          <w:color w:val="1D2733"/>
          <w:sz w:val="21"/>
        </w:rPr>
        <w:t>全市场时点数据 → 七套候选生成 → 多周期评分 → V4风险门禁 → V5环境适配 → V6质量过滤 → 组合约束 → 成交校验 → A/B/C/拒绝池分级输出。</w:t>
      </w:r>
    </w:p>
    <w:p>
      <w:pPr/>
      <w:r>
        <w:rPr>
          <w:rFonts w:ascii="Calibri" w:hAnsi="Calibri" w:eastAsia="Microsoft YaHei"/>
          <w:color w:val="1D2733"/>
          <w:sz w:val="22"/>
        </w:rPr>
        <w:t>目标架构不是继续叠加版本号，而是让每一层只负责一类决策，避免重复指标、权限混乱和回测不可复现。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候选生成层只负责召回，优先保证覆盖与可解释性。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评分层按隔日、3～5日、20日分别建模，不把短线和长期目标混在同一标签中。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风险层拥有否决权；严重风险不允许被其他高分覆盖。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组合层控制行业、主题、相关性和单股暴露。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执行层用下一可交易时点、真实费用和滑点判断是否可实现。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输出层展示入选原因、被扣分原因、否决原因和失效条件。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分阶段优化实施方案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1600"/>
        <w:gridCol w:w="4500"/>
        <w:gridCol w:w="2500"/>
      </w:tblGrid>
      <w:tr>
        <w:trPr>
          <w:tblHeader w:val="true"/>
        </w:trP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目标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主要改造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阶段出口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7"/>
              </w:rPr>
              <w:t>P0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7"/>
              </w:rPr>
              <w:t>修正确性与覆盖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7"/>
              </w:rPr>
              <w:t>统一全市场股票范围；板块化涨跌停规则；启动参数真正生效；MACD全市场扫描；数据日期与上市状态一致。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7"/>
              </w:rPr>
              <w:t>所有预设在同一时点、同一可交易股票池上可重复运行。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7"/>
              </w:rPr>
              <w:t>P1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7"/>
              </w:rPr>
              <w:t>重构评分与门禁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7"/>
              </w:rPr>
              <w:t>指标归属去重；截尾和横截面百分位；V4硬否决；V5全局状态与个股适配分离；V6财务PIT。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7"/>
              </w:rPr>
              <w:t>分数可比较、风险不可被高分覆盖、每项数据可追溯。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7"/>
              </w:rPr>
              <w:t>P2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7"/>
              </w:rPr>
              <w:t>多周期与组合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7"/>
              </w:rPr>
              <w:t>隔日/5日/20日评分；市场状态动态策略权重；A/B/C分级；行业、主题、相关性和容量约束。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7"/>
              </w:rPr>
              <w:t>输出从单股排行榜升级为可执行候选组合。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7"/>
              </w:rPr>
              <w:t>P3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7"/>
              </w:rPr>
              <w:t>验证与持续监控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7"/>
              </w:rPr>
              <w:t>滚动样本外、真实成本、下一时点成交、冠军-挑战者、漂移监控、失败反馈。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7"/>
              </w:rPr>
              <w:t>达到发布门才允许替换生产冠军；否则保持影子或模拟。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P0：修正确性与覆盖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建立唯一股票范围服务，按目标日期返回可上市、可交易、非退市的全市场清单。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按证券板块、ST状态和上市阶段计算真实涨跌停阈值，不再统一写死9.5%。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把每套预设默认参数与用户覆盖参数统一合并后，再交给底层查询和公共过滤。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MACD、趋势和启动均从统一股票范围出发，避免先按涨幅截断。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每条候选记录保存requested_date、data_date、freshness和evidence_as_of。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P1：重构评分和硬门禁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V3只保留价格趋势、成交、相对强度和资金基础分。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V4独占入场、追高、事件、流动性和成交门；BLOCK类结果直接进入拒绝池。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V5只使用全市场状态，个股情绪作为适配特征，不再参与定义全局状态。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V6只使用时间点正确的基本面、成长、估值、现金流与质量。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所有连续数值先截尾，再转为同日全市场百分位，最后校准到可比较分值。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9.3 P2：多周期、组合与执行</w:t>
      </w:r>
    </w:p>
    <w:p>
      <w:pPr/>
      <w:r>
        <w:rPr>
          <w:rFonts w:ascii="Calibri" w:hAnsi="Calibri" w:eastAsia="Microsoft YaHei"/>
          <w:color w:val="1D2733"/>
          <w:sz w:val="22"/>
        </w:rPr>
        <w:t>建议同时维护三个互不混用的目标：隔日确认、3～5日波段、20日趋势。每个周期有独立标签、特征、阈值、回测和发布版本。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2860"/>
        <w:gridCol w:w="280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周期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主要目标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适用策略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关键风险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隔日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次日可成交后的短期确认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启动、情绪、龙虎榜、MACD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涨跌停、隔夜跳空、成交容量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3～5日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波段延续与反转确认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资金承接、低位反转、启动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冲高回落、题材退潮、换手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20日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趋势和质量持续性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趋势突破、V6质量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行业集中、基本面时点、回撤</w:t>
            </w:r>
          </w:p>
        </w:tc>
      </w:tr>
    </w:tbl>
    <w:p>
      <w:pPr>
        <w:spacing w:before="40" w:after="40"/>
      </w:pP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组合约束：限制单一行业、主题和高相关股票在前排候选中的比例。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成交约束：使用信号之后的下一可交易价格，计入佣金、税费、滑点和冲击成本。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分级输出：A级为证据完整且门禁通过；B级等待确认；C级风险较高；拒绝池保留明确原因。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样本外验证与发布门</w:t>
      </w:r>
    </w:p>
    <w:p>
      <w:pPr/>
      <w:r>
        <w:rPr>
          <w:rFonts w:ascii="Calibri" w:hAnsi="Calibri" w:eastAsia="Microsoft YaHei"/>
          <w:color w:val="1D2733"/>
          <w:sz w:val="22"/>
        </w:rPr>
        <w:t>任何新公式、特征、阈值和数据口径都必须生成新的模型指纹。只有同一指纹在滚动样本外、交易成本和可成交约束下达到门槛，才有资格替换生产冠军。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6060"/>
        <w:gridCol w:w="150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验收项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建议标准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门类型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时间点正确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所有行情、财务、公告、新闻均满足as-of约束；未来数据使用数=0。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硬门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覆盖与一致性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目标股票范围覆盖率≥95%；七套预设使用同一范围和数据日期。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硬门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成熟样本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每个拟发布策略/周期的有效样本数≥80，并覆盖不同市场状态。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硬门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成本后期望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扣除佣金、税费、滑点后样本外预期收益&gt;0。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硬门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收益质量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样本外盈利因子≥1.3，平均盈利/平均亏损≥1.0。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硬门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回撤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最大回撤不得劣于当前生产冠军或批准的策略风险预算。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硬门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可成交性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至少95%的有效信号具备可验证下一时点价格和容量证据。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硬门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稳定性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分市场状态、板块和年份检查，不允许收益只来自单一阶段或单一题材。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审查门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前向观察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通过样本外后先运行不少于20个交易日的影子/模拟观察。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5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733"/>
                <w:sz w:val="18"/>
              </w:rPr>
              <w:t>发布门</w:t>
            </w:r>
          </w:p>
        </w:tc>
      </w:tr>
    </w:tbl>
    <w:p>
      <w:pPr>
        <w:spacing w:before="40" w:after="40"/>
      </w:pPr>
    </w:p>
    <w:p>
      <w:pPr>
        <w:pStyle w:val="Callout"/>
        <w:shd w:fill="FCEEEE"/>
        <w:pBdr>
          <w:left w:val="single" w:sz="18" w:space="8" w:color="9B1C1C"/>
        </w:pBdr>
        <w:ind w:left="180" w:right="120"/>
      </w:pPr>
      <w:r>
        <w:rPr>
          <w:rFonts w:ascii="Calibri" w:hAnsi="Calibri" w:eastAsia="Microsoft YaHei"/>
          <w:b/>
          <w:color w:val="9B1C1C"/>
          <w:sz w:val="21"/>
        </w:rPr>
        <w:t xml:space="preserve">失败关闭  </w:t>
      </w:r>
      <w:r>
        <w:rPr>
          <w:rFonts w:ascii="Calibri" w:hAnsi="Calibri" w:eastAsia="Microsoft YaHei"/>
          <w:color w:val="1D2733"/>
          <w:sz w:val="21"/>
        </w:rPr>
        <w:t>任何硬门不通过时，只允许 RESEARCH_ONLY、WATCH 或 PAPER_DISCOVERY；不得把高分、短期胜率或单次成功描述为已验证生产模型。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生产监控与回滚</w:t>
      </w:r>
    </w:p>
    <w:p>
      <w:pPr/>
      <w:r>
        <w:rPr>
          <w:rFonts w:ascii="Calibri" w:hAnsi="Calibri" w:eastAsia="Microsoft YaHei"/>
          <w:color w:val="1D2733"/>
          <w:sz w:val="22"/>
        </w:rPr>
        <w:t>上线后的策略不是永久有效。生产每天应记录并监控以下指标，异常时自动降级到V3或只输出观察结果。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数据：数据日期、缺失率、覆盖率、延迟和来源身份。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评分：V3/V4/V5/V6分布、激活率、回退率、贡献值和排名变化。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策略：每套预设候选数、重复率、拒绝率、A级转化率和失效原因。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组合：行业/主题集中度、相关性、容量和候选换手。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结果：不同周期的命中率、盈亏比、盈利因子、回撤和成本后收益。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漂移：特征分布、市场状态分布、评分校准和冠军-挑战者差异。</w:t>
      </w:r>
    </w:p>
    <w:p>
      <w:pPr/>
      <w:r>
        <w:rPr>
          <w:rFonts w:ascii="Calibri" w:hAnsi="Calibri" w:eastAsia="Microsoft YaHei"/>
          <w:color w:val="1D2733"/>
          <w:sz w:val="22"/>
        </w:rPr>
        <w:t>回滚必须保留上一版代码、配置、模型指纹、数据口径和生产结果快照。出现数据源错误、评分漂移、候选异常集中或发布门失效时，应能够恢复上一生产冠军，而不是在线修改阈值掩盖问题。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推荐决策</w:t>
      </w:r>
    </w:p>
    <w:p>
      <w:pPr>
        <w:pStyle w:val="Callout"/>
        <w:shd w:fill="EEF7F1"/>
        <w:pBdr>
          <w:left w:val="single" w:sz="18" w:space="8" w:color="1F5E3B"/>
        </w:pBdr>
        <w:ind w:left="180" w:right="120"/>
      </w:pPr>
      <w:r>
        <w:rPr>
          <w:rFonts w:ascii="Calibri" w:hAnsi="Calibri" w:eastAsia="Microsoft YaHei"/>
          <w:b/>
          <w:color w:val="1F5E3B"/>
          <w:sz w:val="21"/>
        </w:rPr>
        <w:t xml:space="preserve">建议批准  </w:t>
      </w:r>
      <w:r>
        <w:rPr>
          <w:rFonts w:ascii="Calibri" w:hAnsi="Calibri" w:eastAsia="Microsoft YaHei"/>
          <w:color w:val="1D2733"/>
          <w:sz w:val="21"/>
        </w:rPr>
        <w:t>先实施P0和P1，不立即开放真实订单。P0解决漏选、参数失效和板块规则错误；P1解决重复计权、分数不可比和风险只能软扣分。两阶段完成并重新验收后，再进入多周期、组合和执行层。</w:t>
      </w:r>
    </w:p>
    <w:p>
      <w:pPr>
        <w:pStyle w:val="StrategyNumber"/>
        <w:numPr>
          <w:ilvl w:val="0"/>
          <w:numId w:val="13"/>
        </w:numPr>
      </w:pPr>
      <w:r>
        <w:rPr>
          <w:rFonts w:ascii="Calibri" w:hAnsi="Calibri" w:eastAsia="Microsoft YaHei"/>
          <w:color w:val="1D2733"/>
          <w:sz w:val="22"/>
        </w:rPr>
        <w:t>第一批交付：统一股票范围、真实涨跌停函数、默认参数一致性、MACD全市场扫描。</w:t>
      </w:r>
    </w:p>
    <w:p>
      <w:pPr>
        <w:pStyle w:val="StrategyNumber"/>
        <w:numPr>
          <w:ilvl w:val="0"/>
          <w:numId w:val="13"/>
        </w:numPr>
      </w:pPr>
      <w:r>
        <w:rPr>
          <w:rFonts w:ascii="Calibri" w:hAnsi="Calibri" w:eastAsia="Microsoft YaHei"/>
          <w:color w:val="1D2733"/>
          <w:sz w:val="22"/>
        </w:rPr>
        <w:t>第二批交付：指标归属表、横截面标准化、V4硬门禁、V5状态分离、V6财务PIT。</w:t>
      </w:r>
    </w:p>
    <w:p>
      <w:pPr>
        <w:pStyle w:val="StrategyNumber"/>
        <w:numPr>
          <w:ilvl w:val="0"/>
          <w:numId w:val="13"/>
        </w:numPr>
      </w:pPr>
      <w:r>
        <w:rPr>
          <w:rFonts w:ascii="Calibri" w:hAnsi="Calibri" w:eastAsia="Microsoft YaHei"/>
          <w:color w:val="1D2733"/>
          <w:sz w:val="22"/>
        </w:rPr>
        <w:t>第三批交付：多周期评分、组合约束、执行成本和候选分级。</w:t>
      </w:r>
    </w:p>
    <w:p>
      <w:pPr>
        <w:pStyle w:val="StrategyNumber"/>
        <w:numPr>
          <w:ilvl w:val="0"/>
          <w:numId w:val="13"/>
        </w:numPr>
      </w:pPr>
      <w:r>
        <w:rPr>
          <w:rFonts w:ascii="Calibri" w:hAnsi="Calibri" w:eastAsia="Microsoft YaHei"/>
          <w:color w:val="1D2733"/>
          <w:sz w:val="22"/>
        </w:rPr>
        <w:t>最终交付：滚动样本外报告、前向影子报告、发布/回滚清单与生产监控面板。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附录A：融合评分示例</w:t>
      </w:r>
    </w:p>
    <w:p>
      <w:pPr/>
      <w:r>
        <w:rPr>
          <w:rFonts w:ascii="Calibri" w:hAnsi="Calibri" w:eastAsia="Microsoft YaHei"/>
          <w:color w:val="1D2733"/>
          <w:sz w:val="22"/>
        </w:rPr>
        <w:t>假设某股票V3=80，V4=60，V5=70，V6=90，则最终分为：</w:t>
      </w:r>
    </w:p>
    <w:p>
      <w:pPr>
        <w:pStyle w:val="Callout"/>
        <w:shd w:fill="F4F6F9"/>
        <w:pBdr>
          <w:left w:val="single" w:sz="18" w:space="8" w:color="2E74B5"/>
        </w:pBdr>
        <w:ind w:left="180" w:right="120"/>
      </w:pPr>
      <w:r>
        <w:rPr>
          <w:rFonts w:ascii="Calibri" w:hAnsi="Calibri" w:eastAsia="Microsoft YaHei"/>
          <w:b/>
          <w:color w:val="2E74B5"/>
          <w:sz w:val="21"/>
        </w:rPr>
        <w:t xml:space="preserve">计算  </w:t>
      </w:r>
      <w:r>
        <w:rPr>
          <w:rFonts w:ascii="Calibri" w:hAnsi="Calibri" w:eastAsia="Microsoft YaHei"/>
          <w:color w:val="1D2733"/>
          <w:sz w:val="21"/>
        </w:rPr>
        <w:t>80 + 12%×(60-80) + 10%×(70-80) + 8%×(90-80) = 77.4。</w:t>
      </w:r>
    </w:p>
    <w:p>
      <w:pPr/>
      <w:r>
        <w:rPr>
          <w:rFonts w:ascii="Calibri" w:hAnsi="Calibri" w:eastAsia="Microsoft YaHei"/>
          <w:color w:val="1D2733"/>
          <w:sz w:val="22"/>
        </w:rPr>
        <w:t>这表示V4和V5认为入场及环境弱于V3，因此拉低排名；V6认为质量更好，提供少量补偿。任何单一顾问版本都不能压过V3主体。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附录B：生产实现基线</w:t>
      </w:r>
    </w:p>
    <w:p>
      <w:pPr/>
      <w:r>
        <w:rPr>
          <w:rFonts w:ascii="Calibri" w:hAnsi="Calibri" w:eastAsia="Microsoft YaHei"/>
          <w:color w:val="1D2733"/>
          <w:sz w:val="22"/>
        </w:rPr>
        <w:t>本文以以下实现作为2026-08-10生产基线：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server/engine/production_selector.py：V3/V4/V5/V6融合公式、证据要求、回退政策和稳定排序。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server/api/routers/screener.py：七套预设、公共过滤、同日证据补全和生产API合同。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server/api/routers/hot_data.py：七套预设的底层查询与指标计算。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server/static/js/app.js：选股工作台与候选中心的版本分数、回退状态和解释展示。</w:t>
      </w:r>
    </w:p>
    <w:p>
      <w:pPr>
        <w:pStyle w:val="StrategyBullet"/>
      </w:pPr>
      <w:r>
        <w:rPr>
          <w:rFonts w:ascii="Calibri" w:hAnsi="Calibri" w:eastAsia="Microsoft YaHei"/>
          <w:color w:val="1D2733"/>
          <w:sz w:val="22"/>
        </w:rPr>
        <w:t>生产提交：6127a98；生产数据源：MySQL 8.4；选股输出范围：PRODUCTION_SELECTION_ADVISORY。</w:t>
      </w:r>
    </w:p>
    <w:p>
      <w:pPr/>
      <w:r>
        <w:rPr>
          <w:rFonts w:ascii="Calibri" w:hAnsi="Calibri" w:eastAsia="Microsoft YaHei"/>
          <w:color w:val="1D2733"/>
          <w:sz w:val="22"/>
        </w:rPr>
        <w:t>2026-08-07的旧版“小白说明书”描述的是当时V3.6/V4失败关闭状态。自2026-08-10起，统一选股工作台已启用V3/V4/V5/V6受限融合排序，因此后续评审应以本文和当前生产代码为准。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t xml:space="preserve">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 w:eastAsia="Microsoft YaHei"/>
        <w:b/>
        <w:color w:val="5B6573"/>
        <w:sz w:val="17"/>
      </w:rPr>
      <w:t>ProBigA 生产选股策略</w:t>
    </w:r>
    <w:r>
      <w:rPr>
        <w:rFonts w:ascii="Calibri" w:hAnsi="Calibri" w:eastAsia="Microsoft YaHei"/>
        <w:color w:val="5B6573"/>
        <w:sz w:val="17"/>
      </w:rPr>
      <w:tab/>
      <w:t>内部评审稿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nsid w:val="0000000B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num w:numId="12">
    <w:abstractNumId w:val="11"/>
  </w:num>
  <w:abstractNum w:abstractNumId="12">
    <w:nsid w:val="0000000C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264" w:lineRule="auto"/>
    </w:pPr>
    <w:rPr>
      <w:rFonts w:ascii="Calibri" w:hAnsi="Calibri" w:eastAsia="Microsoft YaHei"/>
      <w:b w:val="0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keepNext/>
      <w:spacing w:before="0" w:after="100" w:line="240" w:lineRule="auto"/>
    </w:pPr>
    <w:rPr>
      <w:rFonts w:ascii="Calibri" w:hAnsi="Calibri" w:eastAsia="Microsoft YaHei"/>
      <w:b/>
      <w:color w:val="0B2545"/>
      <w:sz w:val="48"/>
    </w:rPr>
  </w:style>
  <w:style w:type="paragraph" w:customStyle="1" w:styleId="DocSubtitle">
    <w:name w:val="Doc Subtitle"/>
    <w:pPr>
      <w:keepNext/>
      <w:spacing w:before="0" w:after="320" w:line="264" w:lineRule="auto"/>
    </w:pPr>
    <w:rPr>
      <w:rFonts w:ascii="Calibri" w:hAnsi="Calibri" w:eastAsia="Microsoft YaHei"/>
      <w:b w:val="0"/>
      <w:color w:val="5B6573"/>
      <w:sz w:val="25"/>
    </w:rPr>
  </w:style>
  <w:style w:type="paragraph" w:customStyle="1" w:styleId="DocMetadata">
    <w:name w:val="Doc Metadata"/>
    <w:pPr>
      <w:keepNext w:val="0"/>
      <w:spacing w:before="0" w:after="40" w:line="240" w:lineRule="auto"/>
    </w:pPr>
    <w:rPr>
      <w:rFonts w:ascii="Calibri" w:hAnsi="Calibri" w:eastAsia="Microsoft YaHei"/>
      <w:b w:val="0"/>
      <w:color w:val="5B6573"/>
      <w:sz w:val="19"/>
    </w:rPr>
  </w:style>
  <w:style w:type="paragraph" w:customStyle="1" w:styleId="Callout">
    <w:name w:val="Callout"/>
    <w:pPr>
      <w:keepNext w:val="0"/>
      <w:spacing w:before="100" w:after="160" w:line="276" w:lineRule="auto"/>
    </w:pPr>
    <w:rPr>
      <w:rFonts w:ascii="Calibri" w:hAnsi="Calibri" w:eastAsia="Microsoft YaHei"/>
      <w:b w:val="0"/>
      <w:color w:val="1D2733"/>
      <w:sz w:val="21"/>
    </w:rPr>
  </w:style>
  <w:style w:type="paragraph" w:customStyle="1" w:styleId="SmallNote">
    <w:name w:val="Small Note"/>
    <w:pPr>
      <w:keepNext w:val="0"/>
      <w:spacing w:before="40" w:after="100" w:line="252" w:lineRule="auto"/>
    </w:pPr>
    <w:rPr>
      <w:rFonts w:ascii="Calibri" w:hAnsi="Calibri" w:eastAsia="Microsoft YaHei"/>
      <w:b w:val="0"/>
      <w:color w:val="5B6573"/>
      <w:sz w:val="18"/>
    </w:rPr>
  </w:style>
  <w:style w:type="paragraph" w:customStyle="1" w:styleId="StrategyBullet">
    <w:name w:val="Strategy Bullet"/>
    <w:pPr>
      <w:keepNext w:val="0"/>
      <w:spacing w:before="0" w:after="160" w:line="280" w:lineRule="auto"/>
      <w:numPr>
        <w:ilvl w:val="0"/>
        <w:numId w:val="10"/>
      </w:numPr>
    </w:pPr>
    <w:rPr>
      <w:rFonts w:ascii="Calibri" w:hAnsi="Calibri" w:eastAsia="Microsoft YaHei"/>
      <w:b w:val="0"/>
      <w:color w:val="1D2733"/>
      <w:sz w:val="22"/>
    </w:rPr>
  </w:style>
  <w:style w:type="paragraph" w:customStyle="1" w:styleId="StrategyNumber">
    <w:name w:val="Strategy Number"/>
    <w:pPr>
      <w:keepNext w:val="0"/>
      <w:spacing w:before="0" w:after="160" w:line="280" w:lineRule="auto"/>
      <w:numPr>
        <w:ilvl w:val="0"/>
        <w:numId w:val="11"/>
      </w:numPr>
    </w:pPr>
    <w:rPr>
      <w:rFonts w:ascii="Calibri" w:hAnsi="Calibri" w:eastAsia="Microsoft YaHei"/>
      <w:b w:val="0"/>
      <w:color w:val="1D273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ProBigA 生产选股策略与优化实施方案</dc:title>
  <dc:subject>V3/V4/V5/V6 生产融合选股现状、缺陷与路线图</dc:subject>
  <dc:creator>ProBigA Engineering</dc:creator>
  <cp:keywords>ProBigA, 选股, V3, V4, V5, V6, 生产策略, 样本外</cp:keywords>
  <dc:description>Internal strategy review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