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6A0AFC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儿童摄影馆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E11AA0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E73B59">
        <w:rPr>
          <w:rFonts w:ascii="微软雅黑" w:eastAsia="微软雅黑" w:hAnsi="微软雅黑" w:cs="阿里巴巴普惠体" w:hint="eastAsia"/>
        </w:rPr>
        <w:t>随着时代的个性化潮流</w:t>
      </w:r>
      <w:r w:rsidR="00D456AF">
        <w:rPr>
          <w:rFonts w:ascii="微软雅黑" w:eastAsia="微软雅黑" w:hAnsi="微软雅黑" w:cs="阿里巴巴普惠体" w:hint="eastAsia"/>
        </w:rPr>
        <w:t>蓬勃发展</w:t>
      </w:r>
      <w:r w:rsidR="00E73B59">
        <w:rPr>
          <w:rFonts w:ascii="微软雅黑" w:eastAsia="微软雅黑" w:hAnsi="微软雅黑" w:cs="阿里巴巴普惠体" w:hint="eastAsia"/>
        </w:rPr>
        <w:t>，</w:t>
      </w:r>
      <w:r w:rsidR="00E11AA0" w:rsidRPr="00E11AA0">
        <w:rPr>
          <w:rFonts w:ascii="微软雅黑" w:eastAsia="微软雅黑" w:hAnsi="微软雅黑" w:cs="阿里巴巴普惠体" w:hint="eastAsia"/>
        </w:rPr>
        <w:t>年轻</w:t>
      </w:r>
      <w:r w:rsidR="001266BA">
        <w:rPr>
          <w:rFonts w:ascii="微软雅黑" w:eastAsia="微软雅黑" w:hAnsi="微软雅黑" w:cs="阿里巴巴普惠体" w:hint="eastAsia"/>
        </w:rPr>
        <w:t>宝爸宝妈</w:t>
      </w:r>
      <w:r w:rsidR="00CD2EC7">
        <w:rPr>
          <w:rFonts w:ascii="微软雅黑" w:eastAsia="微软雅黑" w:hAnsi="微软雅黑" w:cs="阿里巴巴普惠体" w:hint="eastAsia"/>
        </w:rPr>
        <w:t>们</w:t>
      </w:r>
      <w:r w:rsidR="00E11AA0" w:rsidRPr="00E11AA0">
        <w:rPr>
          <w:rFonts w:ascii="微软雅黑" w:eastAsia="微软雅黑" w:hAnsi="微软雅黑" w:cs="阿里巴巴普惠体" w:hint="eastAsia"/>
        </w:rPr>
        <w:t>对于</w:t>
      </w:r>
      <w:r w:rsidR="00E8508D">
        <w:rPr>
          <w:rFonts w:ascii="微软雅黑" w:eastAsia="微软雅黑" w:hAnsi="微软雅黑" w:cs="阿里巴巴普惠体" w:hint="eastAsia"/>
        </w:rPr>
        <w:t>宝宝</w:t>
      </w:r>
      <w:r w:rsidR="00460D46">
        <w:rPr>
          <w:rFonts w:ascii="微软雅黑" w:eastAsia="微软雅黑" w:hAnsi="微软雅黑" w:cs="阿里巴巴普惠体" w:hint="eastAsia"/>
        </w:rPr>
        <w:t>摄影方面的需求急速增长，儿童摄影馆</w:t>
      </w:r>
      <w:r w:rsidR="00E11AA0" w:rsidRPr="00E11AA0">
        <w:rPr>
          <w:rFonts w:ascii="微软雅黑" w:eastAsia="微软雅黑" w:hAnsi="微软雅黑" w:cs="阿里巴巴普惠体" w:hint="eastAsia"/>
        </w:rPr>
        <w:t>小程序的出现为</w:t>
      </w:r>
      <w:r w:rsidR="00460D46">
        <w:rPr>
          <w:rFonts w:ascii="微软雅黑" w:eastAsia="微软雅黑" w:hAnsi="微软雅黑" w:cs="阿里巴巴普惠体" w:hint="eastAsia"/>
        </w:rPr>
        <w:t>影楼</w:t>
      </w:r>
      <w:r w:rsidR="00E11AA0" w:rsidRPr="00E11AA0">
        <w:rPr>
          <w:rFonts w:ascii="微软雅黑" w:eastAsia="微软雅黑" w:hAnsi="微软雅黑" w:cs="阿里巴巴普惠体" w:hint="eastAsia"/>
        </w:rPr>
        <w:t>和</w:t>
      </w:r>
      <w:r w:rsidR="00460D46">
        <w:rPr>
          <w:rFonts w:ascii="微软雅黑" w:eastAsia="微软雅黑" w:hAnsi="微软雅黑" w:cs="阿里巴巴普惠体" w:hint="eastAsia"/>
        </w:rPr>
        <w:t>宝爸宝妈</w:t>
      </w:r>
      <w:r w:rsidR="00E11AA0" w:rsidRPr="00E11AA0">
        <w:rPr>
          <w:rFonts w:ascii="微软雅黑" w:eastAsia="微软雅黑" w:hAnsi="微软雅黑" w:cs="阿里巴巴普惠体" w:hint="eastAsia"/>
        </w:rPr>
        <w:t>提供了一个</w:t>
      </w:r>
      <w:r w:rsidR="004F1D73">
        <w:rPr>
          <w:rFonts w:ascii="微软雅黑" w:eastAsia="微软雅黑" w:hAnsi="微软雅黑" w:cs="阿里巴巴普惠体" w:hint="eastAsia"/>
        </w:rPr>
        <w:t>互动的服务</w:t>
      </w:r>
      <w:r w:rsidR="00E11AA0" w:rsidRPr="00E11AA0">
        <w:rPr>
          <w:rFonts w:ascii="微软雅黑" w:eastAsia="微软雅黑" w:hAnsi="微软雅黑" w:cs="阿里巴巴普惠体" w:hint="eastAsia"/>
        </w:rPr>
        <w:t>平台</w:t>
      </w:r>
      <w:r w:rsidR="00B92749">
        <w:rPr>
          <w:rFonts w:ascii="微软雅黑" w:eastAsia="微软雅黑" w:hAnsi="微软雅黑" w:cs="阿里巴巴普惠体" w:hint="eastAsia"/>
        </w:rPr>
        <w:t>。</w:t>
      </w:r>
      <w:r w:rsidR="00215F2A">
        <w:rPr>
          <w:rFonts w:ascii="微软雅黑" w:eastAsia="微软雅黑" w:hAnsi="微软雅黑" w:cs="阿里巴巴普惠体" w:hint="eastAsia"/>
        </w:rPr>
        <w:t>用户只需要打开</w:t>
      </w:r>
      <w:r w:rsidR="00E11AA0" w:rsidRPr="00E11AA0">
        <w:rPr>
          <w:rFonts w:ascii="微软雅黑" w:eastAsia="微软雅黑" w:hAnsi="微软雅黑" w:cs="阿里巴巴普惠体" w:hint="eastAsia"/>
        </w:rPr>
        <w:t>小程序就能够进行</w:t>
      </w:r>
      <w:r w:rsidR="009B26F7">
        <w:rPr>
          <w:rFonts w:ascii="微软雅黑" w:eastAsia="微软雅黑" w:hAnsi="微软雅黑" w:cs="阿里巴巴普惠体" w:hint="eastAsia"/>
        </w:rPr>
        <w:t>了解相关</w:t>
      </w:r>
      <w:r w:rsidR="00E11AA0" w:rsidRPr="00E11AA0">
        <w:rPr>
          <w:rFonts w:ascii="微软雅黑" w:eastAsia="微软雅黑" w:hAnsi="微软雅黑" w:cs="阿里巴巴普惠体" w:hint="eastAsia"/>
        </w:rPr>
        <w:t>拍摄服务</w:t>
      </w:r>
      <w:r w:rsidR="00FB17D7">
        <w:rPr>
          <w:rFonts w:ascii="微软雅黑" w:eastAsia="微软雅黑" w:hAnsi="微软雅黑" w:cs="阿里巴巴普惠体" w:hint="eastAsia"/>
        </w:rPr>
        <w:t>，</w:t>
      </w:r>
      <w:r w:rsidR="0051236E">
        <w:rPr>
          <w:rFonts w:ascii="微软雅黑" w:eastAsia="微软雅黑" w:hAnsi="微软雅黑" w:cs="阿里巴巴普惠体" w:hint="eastAsia"/>
        </w:rPr>
        <w:t>服务标准，套系，样片</w:t>
      </w:r>
      <w:r w:rsidR="00B206ED">
        <w:rPr>
          <w:rFonts w:ascii="微软雅黑" w:eastAsia="微软雅黑" w:hAnsi="微软雅黑" w:cs="阿里巴巴普惠体" w:hint="eastAsia"/>
        </w:rPr>
        <w:t>等</w:t>
      </w:r>
      <w:r w:rsidR="007D555D">
        <w:rPr>
          <w:rFonts w:ascii="微软雅黑" w:eastAsia="微软雅黑" w:hAnsi="微软雅黑" w:cs="阿里巴巴普惠体" w:hint="eastAsia"/>
        </w:rPr>
        <w:t>，还可以</w:t>
      </w:r>
      <w:r w:rsidR="00427C4C">
        <w:rPr>
          <w:rFonts w:ascii="微软雅黑" w:eastAsia="微软雅黑" w:hAnsi="微软雅黑" w:cs="阿里巴巴普惠体" w:hint="eastAsia"/>
        </w:rPr>
        <w:t>根据自己的时间安排</w:t>
      </w:r>
      <w:r w:rsidR="007D555D">
        <w:rPr>
          <w:rFonts w:ascii="微软雅黑" w:eastAsia="微软雅黑" w:hAnsi="微软雅黑" w:cs="阿里巴巴普惠体" w:hint="eastAsia"/>
        </w:rPr>
        <w:t>进行百日照，成长照，周年照</w:t>
      </w:r>
      <w:r w:rsidR="001F0144">
        <w:rPr>
          <w:rFonts w:ascii="微软雅黑" w:eastAsia="微软雅黑" w:hAnsi="微软雅黑" w:cs="阿里巴巴普惠体" w:hint="eastAsia"/>
        </w:rPr>
        <w:t>等</w:t>
      </w:r>
      <w:r w:rsidR="007D555D">
        <w:rPr>
          <w:rFonts w:ascii="微软雅黑" w:eastAsia="微软雅黑" w:hAnsi="微软雅黑" w:cs="阿里巴巴普惠体" w:hint="eastAsia"/>
        </w:rPr>
        <w:t>的</w:t>
      </w:r>
      <w:r w:rsidR="00427C4C">
        <w:rPr>
          <w:rFonts w:ascii="微软雅黑" w:eastAsia="微软雅黑" w:hAnsi="微软雅黑" w:cs="阿里巴巴普惠体" w:hint="eastAsia"/>
        </w:rPr>
        <w:t>线上</w:t>
      </w:r>
      <w:r w:rsidR="007D555D">
        <w:rPr>
          <w:rFonts w:ascii="微软雅黑" w:eastAsia="微软雅黑" w:hAnsi="微软雅黑" w:cs="阿里巴巴普惠体" w:hint="eastAsia"/>
        </w:rPr>
        <w:t>预约</w:t>
      </w:r>
      <w:r w:rsidR="006E3EBE">
        <w:rPr>
          <w:rFonts w:ascii="微软雅黑" w:eastAsia="微软雅黑" w:hAnsi="微软雅黑" w:cs="阿里巴巴普惠体" w:hint="eastAsia"/>
        </w:rPr>
        <w:t>，从而方便影楼和家长合理安排时间，减少等待和资源浪费</w:t>
      </w:r>
      <w:r w:rsidR="00E11AA0" w:rsidRPr="00E11AA0">
        <w:rPr>
          <w:rFonts w:ascii="微软雅黑" w:eastAsia="微软雅黑" w:hAnsi="微软雅黑" w:cs="阿里巴巴普惠体" w:hint="eastAsia"/>
        </w:rPr>
        <w:t>。</w:t>
      </w:r>
      <w:r w:rsidR="000A69A9">
        <w:rPr>
          <w:rFonts w:ascii="微软雅黑" w:eastAsia="微软雅黑" w:hAnsi="微软雅黑" w:cs="阿里巴巴普惠体" w:hint="eastAsia"/>
          <w:kern w:val="0"/>
        </w:rPr>
        <w:t>本项目前后端完整代码包括本店动态，</w:t>
      </w:r>
      <w:r w:rsidR="003B6E38">
        <w:rPr>
          <w:rFonts w:ascii="微软雅黑" w:eastAsia="微软雅黑" w:hAnsi="微软雅黑" w:cs="阿里巴巴普惠体" w:hint="eastAsia"/>
          <w:kern w:val="0"/>
        </w:rPr>
        <w:t>样片欣赏，套系介绍</w:t>
      </w:r>
      <w:r w:rsidR="000A69A9">
        <w:rPr>
          <w:rFonts w:ascii="微软雅黑" w:eastAsia="微软雅黑" w:hAnsi="微软雅黑" w:cs="阿里巴巴普惠体" w:hint="eastAsia"/>
          <w:kern w:val="0"/>
        </w:rPr>
        <w:t>，</w:t>
      </w:r>
      <w:r w:rsidR="003B6E38">
        <w:rPr>
          <w:rFonts w:ascii="微软雅黑" w:eastAsia="微软雅黑" w:hAnsi="微软雅黑" w:cs="阿里巴巴普惠体" w:hint="eastAsia"/>
          <w:kern w:val="0"/>
        </w:rPr>
        <w:t>拍摄</w:t>
      </w:r>
      <w:r w:rsidR="000A69A9">
        <w:rPr>
          <w:rFonts w:ascii="微软雅黑" w:eastAsia="微软雅黑" w:hAnsi="微软雅黑" w:cs="阿里巴巴普惠体" w:hint="eastAsia"/>
          <w:kern w:val="0"/>
        </w:rPr>
        <w:t>预约，个人中心，收藏和历史记录，后台预约管理，预约时段设置，名单管理，名单导出，预约签到核销，用户管理，</w:t>
      </w:r>
      <w:r w:rsidR="00570C88">
        <w:rPr>
          <w:rFonts w:ascii="微软雅黑" w:eastAsia="微软雅黑" w:hAnsi="微软雅黑" w:cs="阿里巴巴普惠体" w:hint="eastAsia"/>
          <w:kern w:val="0"/>
        </w:rPr>
        <w:t>样片和套系内容</w:t>
      </w:r>
      <w:r w:rsidR="000A69A9">
        <w:rPr>
          <w:rFonts w:ascii="微软雅黑" w:eastAsia="微软雅黑" w:hAnsi="微软雅黑" w:cs="阿里巴巴普惠体" w:hint="eastAsia"/>
          <w:kern w:val="0"/>
        </w:rPr>
        <w:t>管</w:t>
      </w:r>
      <w:r w:rsidR="00A85C1E">
        <w:rPr>
          <w:rFonts w:ascii="微软雅黑" w:eastAsia="微软雅黑" w:hAnsi="微软雅黑" w:cs="阿里巴巴普惠体" w:hint="eastAsia"/>
          <w:kern w:val="0"/>
        </w:rPr>
        <w:t>理等模块，采用腾讯提供的小程序云开发解决方案，无须服务器和域名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C86AC9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摄影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B70CC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摄影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34E53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34E53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34E53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34E53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34E53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</w:t>
      </w:r>
      <w:r w:rsidR="00AC4917">
        <w:rPr>
          <w:rFonts w:ascii="微软雅黑" w:eastAsia="微软雅黑" w:hAnsi="微软雅黑" w:hint="eastAsia"/>
        </w:rPr>
        <w:t>．云函数环境及管理员</w:t>
      </w:r>
      <w:r w:rsidR="00693AFC">
        <w:rPr>
          <w:rFonts w:ascii="微软雅黑" w:eastAsia="微软雅黑" w:hAnsi="微软雅黑" w:hint="eastAsia"/>
        </w:rPr>
        <w:t>账号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594643" w:rsidRDefault="00594643" w:rsidP="005946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6A3484" w:rsidRDefault="006A3484" w:rsidP="006A348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6A3484" w:rsidP="006A348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0F068A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82553" cy="23438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53" cy="23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E53" w:rsidRDefault="00434E53" w:rsidP="00742D35">
      <w:r>
        <w:separator/>
      </w:r>
    </w:p>
  </w:endnote>
  <w:endnote w:type="continuationSeparator" w:id="0">
    <w:p w:rsidR="00434E53" w:rsidRDefault="00434E53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E53" w:rsidRDefault="00434E53" w:rsidP="00742D35">
      <w:r>
        <w:separator/>
      </w:r>
    </w:p>
  </w:footnote>
  <w:footnote w:type="continuationSeparator" w:id="0">
    <w:p w:rsidR="00434E53" w:rsidRDefault="00434E53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9A9"/>
    <w:rsid w:val="000A6CBB"/>
    <w:rsid w:val="000A6CD9"/>
    <w:rsid w:val="000B4D3C"/>
    <w:rsid w:val="000C2F92"/>
    <w:rsid w:val="000E29D3"/>
    <w:rsid w:val="000E62FF"/>
    <w:rsid w:val="000E6A59"/>
    <w:rsid w:val="000F068A"/>
    <w:rsid w:val="00111666"/>
    <w:rsid w:val="001126FF"/>
    <w:rsid w:val="001203FB"/>
    <w:rsid w:val="001213E9"/>
    <w:rsid w:val="00121D27"/>
    <w:rsid w:val="00122EB4"/>
    <w:rsid w:val="001252F7"/>
    <w:rsid w:val="001266BA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3EC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1F0144"/>
    <w:rsid w:val="00200730"/>
    <w:rsid w:val="0020267F"/>
    <w:rsid w:val="00214018"/>
    <w:rsid w:val="00214DB9"/>
    <w:rsid w:val="00215F2A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25AE"/>
    <w:rsid w:val="003A63D8"/>
    <w:rsid w:val="003B2062"/>
    <w:rsid w:val="003B6E38"/>
    <w:rsid w:val="003C370A"/>
    <w:rsid w:val="003C38E5"/>
    <w:rsid w:val="003C453F"/>
    <w:rsid w:val="003D21E6"/>
    <w:rsid w:val="003E1A36"/>
    <w:rsid w:val="003E3538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27C4C"/>
    <w:rsid w:val="00434E53"/>
    <w:rsid w:val="00440CEE"/>
    <w:rsid w:val="004479D2"/>
    <w:rsid w:val="00454A7D"/>
    <w:rsid w:val="00460D46"/>
    <w:rsid w:val="00467226"/>
    <w:rsid w:val="00470869"/>
    <w:rsid w:val="00477DC8"/>
    <w:rsid w:val="004A4239"/>
    <w:rsid w:val="004A7796"/>
    <w:rsid w:val="004B3D7A"/>
    <w:rsid w:val="004C4772"/>
    <w:rsid w:val="004C7719"/>
    <w:rsid w:val="004F1D73"/>
    <w:rsid w:val="00507042"/>
    <w:rsid w:val="0051236E"/>
    <w:rsid w:val="0052326D"/>
    <w:rsid w:val="00547B0B"/>
    <w:rsid w:val="00553049"/>
    <w:rsid w:val="0055390B"/>
    <w:rsid w:val="00553D26"/>
    <w:rsid w:val="00570C88"/>
    <w:rsid w:val="00573323"/>
    <w:rsid w:val="005741E3"/>
    <w:rsid w:val="00574895"/>
    <w:rsid w:val="00591BCD"/>
    <w:rsid w:val="00594643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3AFC"/>
    <w:rsid w:val="00694E5D"/>
    <w:rsid w:val="00697C4D"/>
    <w:rsid w:val="006A0AFC"/>
    <w:rsid w:val="006A3484"/>
    <w:rsid w:val="006A7266"/>
    <w:rsid w:val="006B27D8"/>
    <w:rsid w:val="006B7311"/>
    <w:rsid w:val="006C4249"/>
    <w:rsid w:val="006D08D5"/>
    <w:rsid w:val="006E3D34"/>
    <w:rsid w:val="006E3EBE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D555D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20AC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26F7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5C1E"/>
    <w:rsid w:val="00A86945"/>
    <w:rsid w:val="00A90443"/>
    <w:rsid w:val="00AA27ED"/>
    <w:rsid w:val="00AB1146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06ED"/>
    <w:rsid w:val="00B237B5"/>
    <w:rsid w:val="00B30831"/>
    <w:rsid w:val="00B46FAB"/>
    <w:rsid w:val="00B52241"/>
    <w:rsid w:val="00B55468"/>
    <w:rsid w:val="00B61356"/>
    <w:rsid w:val="00B61871"/>
    <w:rsid w:val="00B62CD9"/>
    <w:rsid w:val="00B70CCB"/>
    <w:rsid w:val="00B9274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86AC9"/>
    <w:rsid w:val="00C95A4F"/>
    <w:rsid w:val="00CA02A0"/>
    <w:rsid w:val="00CB56A8"/>
    <w:rsid w:val="00CC7CEA"/>
    <w:rsid w:val="00CD2EC7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456A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1AA0"/>
    <w:rsid w:val="00E12A11"/>
    <w:rsid w:val="00E14437"/>
    <w:rsid w:val="00E2464B"/>
    <w:rsid w:val="00E431A2"/>
    <w:rsid w:val="00E43B6B"/>
    <w:rsid w:val="00E73B59"/>
    <w:rsid w:val="00E777BF"/>
    <w:rsid w:val="00E8508D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1BE7"/>
    <w:rsid w:val="00F73671"/>
    <w:rsid w:val="00F90705"/>
    <w:rsid w:val="00F913DD"/>
    <w:rsid w:val="00F967C9"/>
    <w:rsid w:val="00FA1940"/>
    <w:rsid w:val="00FA4AA3"/>
    <w:rsid w:val="00FB17D7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F807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3BED2B-744E-434D-B065-DE9CE91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13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386</cp:revision>
  <dcterms:created xsi:type="dcterms:W3CDTF">2022-02-19T02:59:00Z</dcterms:created>
  <dcterms:modified xsi:type="dcterms:W3CDTF">2023-02-18T12:52:00Z</dcterms:modified>
</cp:coreProperties>
</file>