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微软雅黑" w:hAnsi="微软雅黑" w:eastAsia="微软雅黑" w:cs="微软雅黑"/>
          <w:kern w:val="2"/>
          <w:sz w:val="40"/>
          <w:szCs w:val="48"/>
          <w:lang w:val="en-US" w:eastAsia="zh-CN" w:bidi="ar-SA"/>
        </w:rPr>
        <w:id w:val="147461847"/>
        <w15:color w:val="DBDBDB"/>
        <w:docPartObj>
          <w:docPartGallery w:val="Table of Contents"/>
          <w:docPartUnique/>
        </w:docPartObj>
      </w:sdtPr>
      <w:sdtContent>
        <w:p w14:paraId="2D3BB3A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sz w:val="40"/>
              <w:szCs w:val="48"/>
            </w:rPr>
          </w:pPr>
          <w:r>
            <w:rPr>
              <w:rFonts w:hint="eastAsia" w:ascii="微软雅黑" w:hAnsi="微软雅黑" w:eastAsia="微软雅黑" w:cs="微软雅黑"/>
              <w:sz w:val="40"/>
              <w:szCs w:val="48"/>
            </w:rPr>
            <w:t>目录</w:t>
          </w:r>
        </w:p>
        <w:p w14:paraId="6731823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_Toc15485 </w:instrText>
          </w:r>
          <w:r>
            <w:fldChar w:fldCharType="separate"/>
          </w:r>
          <w:r>
            <w:rPr>
              <w:rFonts w:hint="eastAsia"/>
              <w:lang w:eastAsia="zh-CN"/>
            </w:rPr>
            <w:t>一、</w:t>
          </w:r>
          <w:r>
            <w:t>文献共识：当代年轻人婚恋观的核心图景与影响因素</w:t>
          </w:r>
          <w:r>
            <w:tab/>
          </w:r>
          <w:r>
            <w:fldChar w:fldCharType="begin"/>
          </w:r>
          <w:r>
            <w:instrText xml:space="preserve"> PAGEREF _Toc15485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C6601A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_Toc21337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（一）</w:t>
          </w:r>
          <w:r>
            <w:t>婚恋欲望变化的五大核心特征（发生了什么变化？）</w:t>
          </w:r>
          <w:r>
            <w:tab/>
          </w:r>
          <w:r>
            <w:fldChar w:fldCharType="begin"/>
          </w:r>
          <w:r>
            <w:instrText xml:space="preserve"> PAGEREF _Toc21337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884942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_Toc8983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（二）</w:t>
          </w:r>
          <w:r>
            <w:t>影响婚恋观与欲望的六大因素（为什么变化？）</w:t>
          </w:r>
          <w:r>
            <w:tab/>
          </w:r>
          <w:r>
            <w:fldChar w:fldCharType="begin"/>
          </w:r>
          <w:r>
            <w:instrText xml:space="preserve"> PAGEREF _Toc8983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C53795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_Toc16091 </w:instrText>
          </w:r>
          <w:r>
            <w:fldChar w:fldCharType="separate"/>
          </w:r>
          <w:r>
            <w:rPr>
              <w:rFonts w:hint="eastAsia"/>
              <w:lang w:eastAsia="zh-CN"/>
            </w:rPr>
            <w:t>二、</w:t>
          </w:r>
          <w:r>
            <w:t>多篇文献的异同点总结与研究启示</w:t>
          </w:r>
          <w:r>
            <w:tab/>
          </w:r>
          <w:r>
            <w:fldChar w:fldCharType="begin"/>
          </w:r>
          <w:r>
            <w:instrText xml:space="preserve"> PAGEREF _Toc16091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B00856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_Toc13000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（一）</w:t>
          </w:r>
          <w:r>
            <w:t>高度共识（相同点）—— 研究的坚实起点</w:t>
          </w:r>
          <w:r>
            <w:tab/>
          </w:r>
          <w:r>
            <w:fldChar w:fldCharType="begin"/>
          </w:r>
          <w:r>
            <w:instrText xml:space="preserve"> PAGEREF _Toc13000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3EE43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_Toc2242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（二）</w:t>
          </w:r>
          <w:r>
            <w:t>重点差异与争论（不同点）—— 研究的切入空间</w:t>
          </w:r>
          <w:r>
            <w:tab/>
          </w:r>
          <w:r>
            <w:fldChar w:fldCharType="begin"/>
          </w:r>
          <w:r>
            <w:instrText xml:space="preserve"> PAGEREF _Toc2242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90B2A0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_Toc6983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（三）</w:t>
          </w:r>
          <w:r>
            <w:t>对项目的直接启示与行动建议</w:t>
          </w:r>
          <w:r>
            <w:tab/>
          </w:r>
          <w:r>
            <w:fldChar w:fldCharType="begin"/>
          </w:r>
          <w:r>
            <w:instrText xml:space="preserve"> PAGEREF _Toc6983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77109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_Toc26955 </w:instrText>
          </w:r>
          <w:r>
            <w:fldChar w:fldCharType="separate"/>
          </w:r>
          <w:r>
            <w:rPr>
              <w:rFonts w:hint="eastAsia"/>
              <w:lang w:eastAsia="zh-CN"/>
            </w:rPr>
            <w:t>三、</w:t>
          </w:r>
          <w:r>
            <w:t>可参考的核心量表</w:t>
          </w:r>
          <w:r>
            <w:tab/>
          </w:r>
          <w:r>
            <w:fldChar w:fldCharType="begin"/>
          </w:r>
          <w:r>
            <w:instrText xml:space="preserve"> PAGEREF _Toc26955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A6A75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_Toc26035 </w:instrText>
          </w:r>
          <w:r>
            <w:fldChar w:fldCharType="separate"/>
          </w:r>
          <w:r>
            <w:t>四、问卷设计注意事项</w:t>
          </w:r>
          <w:r>
            <w:tab/>
          </w:r>
          <w:r>
            <w:fldChar w:fldCharType="begin"/>
          </w:r>
          <w:r>
            <w:instrText xml:space="preserve"> PAGEREF _Toc26035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4E6CDA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_Toc6032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第一部分：</w:t>
          </w:r>
          <w:r>
            <w:t>合格问卷的核心设计原则</w:t>
          </w:r>
          <w:r>
            <w:tab/>
          </w:r>
          <w:r>
            <w:fldChar w:fldCharType="begin"/>
          </w:r>
          <w:r>
            <w:instrText xml:space="preserve"> PAGEREF _Toc6032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1DA315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_Toc15725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第二部分：</w:t>
          </w:r>
          <w:r>
            <w:t>问卷的“体检报告”——信度与效度</w:t>
          </w:r>
          <w:r>
            <w:tab/>
          </w:r>
          <w:r>
            <w:fldChar w:fldCharType="begin"/>
          </w:r>
          <w:r>
            <w:instrText xml:space="preserve"> PAGEREF _Toc15725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0E14BA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_Toc18284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第三部分：</w:t>
          </w:r>
          <w:r>
            <w:t>从数据到结论——核心数据分析方法</w:t>
          </w:r>
          <w:r>
            <w:tab/>
          </w:r>
          <w:r>
            <w:fldChar w:fldCharType="begin"/>
          </w:r>
          <w:r>
            <w:instrText xml:space="preserve"> PAGEREF _Toc18284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9196A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_Toc27863 </w:instrText>
          </w:r>
          <w:r>
            <w:fldChar w:fldCharType="separate"/>
          </w:r>
          <w:r>
            <w:rPr>
              <w:rFonts w:hint="eastAsia" w:cs="Times New Roman"/>
              <w:szCs w:val="24"/>
              <w:lang w:eastAsia="zh-CN"/>
            </w:rPr>
            <w:t>第一步：</w:t>
          </w:r>
          <w:r>
            <w:rPr>
              <w:rFonts w:ascii="Times New Roman" w:hAnsi="Times New Roman" w:eastAsia="宋体" w:cs="Times New Roman"/>
              <w:szCs w:val="24"/>
            </w:rPr>
            <w:t>数据预处理（至关重要）</w:t>
          </w:r>
          <w:r>
            <w:tab/>
          </w:r>
          <w:r>
            <w:fldChar w:fldCharType="begin"/>
          </w:r>
          <w:r>
            <w:instrText xml:space="preserve"> PAGEREF _Toc27863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5F7C6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_Toc20428 </w:instrText>
          </w:r>
          <w:r>
            <w:fldChar w:fldCharType="separate"/>
          </w:r>
          <w:r>
            <w:rPr>
              <w:rFonts w:hint="eastAsia" w:cs="Times New Roman"/>
              <w:szCs w:val="24"/>
              <w:lang w:eastAsia="zh-CN"/>
            </w:rPr>
            <w:t>第二步：</w:t>
          </w:r>
          <w:r>
            <w:rPr>
              <w:rFonts w:ascii="Times New Roman" w:hAnsi="Times New Roman" w:eastAsia="宋体" w:cs="Times New Roman"/>
              <w:szCs w:val="24"/>
            </w:rPr>
            <w:t>描述性统计分析（描绘样本全貌）</w:t>
          </w:r>
          <w:r>
            <w:tab/>
          </w:r>
          <w:r>
            <w:fldChar w:fldCharType="begin"/>
          </w:r>
          <w:r>
            <w:instrText xml:space="preserve"> PAGEREF _Toc20428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  <w:bookmarkStart w:id="65" w:name="_GoBack"/>
          <w:bookmarkEnd w:id="65"/>
        </w:p>
        <w:p w14:paraId="1326577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_Toc5371 </w:instrText>
          </w:r>
          <w:r>
            <w:fldChar w:fldCharType="separate"/>
          </w:r>
          <w:r>
            <w:rPr>
              <w:rFonts w:hint="eastAsia" w:cs="Times New Roman"/>
              <w:szCs w:val="24"/>
              <w:lang w:eastAsia="zh-CN"/>
            </w:rPr>
            <w:t>第三步：</w:t>
          </w:r>
          <w:r>
            <w:rPr>
              <w:rFonts w:ascii="Times New Roman" w:hAnsi="Times New Roman" w:eastAsia="宋体" w:cs="Times New Roman"/>
              <w:szCs w:val="24"/>
            </w:rPr>
            <w:t>推断性统计分析（探索关系与检验假设）</w:t>
          </w:r>
          <w:r>
            <w:tab/>
          </w:r>
          <w:r>
            <w:fldChar w:fldCharType="begin"/>
          </w:r>
          <w:r>
            <w:instrText xml:space="preserve"> PAGEREF _Toc5371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83A9239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_Toc1078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第四部分：</w:t>
          </w:r>
          <w:r>
            <w:t>实践建议</w:t>
          </w:r>
          <w:r>
            <w:tab/>
          </w:r>
          <w:r>
            <w:fldChar w:fldCharType="begin"/>
          </w:r>
          <w:r>
            <w:instrText xml:space="preserve"> PAGEREF _Toc1078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C7E0C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_Toc8032 </w:instrText>
          </w:r>
          <w: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  <w:szCs w:val="32"/>
              <w:lang w:val="en-US" w:eastAsia="zh-CN" w:bidi="ar-SA"/>
            </w:rPr>
            <w:t>附录1 论文对应列表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BFF2B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_Toc25541 </w:instrText>
          </w:r>
          <w: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  <w:szCs w:val="32"/>
              <w:lang w:val="en-US" w:eastAsia="zh-CN" w:bidi="ar-SA"/>
            </w:rPr>
            <w:t>附录2 名词详解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E30D4A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t>一、核心概念详解</w:t>
          </w:r>
          <w:r>
            <w:tab/>
          </w:r>
          <w:r>
            <w:fldChar w:fldCharType="begin"/>
          </w:r>
          <w:r>
            <w:instrText xml:space="preserve"> PAGEREF _Toc9115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2D7E4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_Toc4347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lang w:bidi="ar-SA"/>
            </w:rPr>
            <w:t>1. 核心量表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E8180B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_Toc1633 </w:instrText>
          </w:r>
          <w:r>
            <w:fldChar w:fldCharType="separate"/>
          </w:r>
          <w:r>
            <w:t>2. Cronbach‘s α系数</w:t>
          </w:r>
          <w:r>
            <w:tab/>
          </w:r>
          <w:r>
            <w:fldChar w:fldCharType="begin"/>
          </w:r>
          <w:r>
            <w:instrText xml:space="preserve"> PAGEREF _Toc1633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3E877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_Toc24845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kern w:val="2"/>
              <w:szCs w:val="24"/>
              <w:lang w:bidi="ar-SA"/>
            </w:rPr>
            <w:t>二、核心分析方法详解</w:t>
          </w:r>
          <w:r>
            <w:tab/>
          </w:r>
          <w:r>
            <w:fldChar w:fldCharType="begin"/>
          </w:r>
          <w:r>
            <w:instrText xml:space="preserve"> PAGEREF _Toc24845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3308E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_Toc1568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lang w:bidi="ar-SA"/>
            </w:rPr>
            <w:t>1. 探索性因子分析 &amp; 验证性因子分析</w:t>
          </w:r>
          <w:r>
            <w:tab/>
          </w:r>
          <w:r>
            <w:fldChar w:fldCharType="begin"/>
          </w:r>
          <w:r>
            <w:instrText xml:space="preserve"> PAGEREF _Toc1568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87570E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_Toc1682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lang w:bidi="ar-SA"/>
            </w:rPr>
            <w:t>2. T检验 &amp; 方差分析</w:t>
          </w:r>
          <w:r>
            <w:tab/>
          </w:r>
          <w:r>
            <w:fldChar w:fldCharType="begin"/>
          </w:r>
          <w:r>
            <w:instrText xml:space="preserve"> PAGEREF _Toc1682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320B1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_Toc18795 </w:instrText>
          </w:r>
          <w:r>
            <w:fldChar w:fldCharType="separate"/>
          </w:r>
          <w:r>
            <w:t>3. 线性回归分析</w:t>
          </w:r>
          <w:r>
            <w:tab/>
          </w:r>
          <w:r>
            <w:fldChar w:fldCharType="begin"/>
          </w:r>
          <w:r>
            <w:instrText xml:space="preserve"> PAGEREF _Toc18795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5EE25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_Toc15045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lang w:bidi="ar-SA"/>
            </w:rPr>
            <w:t>4. 因子分析</w:t>
          </w:r>
          <w:r>
            <w:tab/>
          </w:r>
          <w:r>
            <w:fldChar w:fldCharType="begin"/>
          </w:r>
          <w:r>
            <w:instrText xml:space="preserve"> PAGEREF _Toc15045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73DD63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_Toc26044 </w:instrText>
          </w:r>
          <w:r>
            <w:fldChar w:fldCharType="separate"/>
          </w:r>
          <w:r>
            <w:t>5. 结构方程模型</w:t>
          </w:r>
          <w:r>
            <w:tab/>
          </w:r>
          <w:r>
            <w:fldChar w:fldCharType="begin"/>
          </w:r>
          <w:r>
            <w:instrText xml:space="preserve"> PAGEREF _Toc26044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7809AB0">
          <w:r>
            <w:fldChar w:fldCharType="end"/>
          </w:r>
        </w:p>
      </w:sdtContent>
    </w:sdt>
    <w:p w14:paraId="1FA91313"/>
    <w:p w14:paraId="7B70539A">
      <w:pPr>
        <w:rPr>
          <w:rFonts w:hint="default"/>
          <w:lang w:val="en-US" w:eastAsia="zh-CN"/>
        </w:rPr>
      </w:pPr>
      <w:r>
        <w:br w:type="page"/>
      </w:r>
      <w:bookmarkStart w:id="0" w:name="_Toc19057"/>
    </w:p>
    <w:p w14:paraId="4F55879E">
      <w:pPr>
        <w:pStyle w:val="2"/>
        <w:keepNext/>
        <w:pageBreakBefore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_Toc27119"/>
      <w:bookmarkStart w:id="2" w:name="_Toc17366"/>
      <w:bookmarkStart w:id="3" w:name="_Toc15485"/>
      <w:r>
        <w:rPr>
          <w:rFonts w:hint="eastAsia"/>
          <w:lang w:eastAsia="zh-CN"/>
        </w:rPr>
        <w:t>一、</w:t>
      </w:r>
      <w:r>
        <w:t>文献共识：当代年轻人婚恋观的核心图景与影响因素</w:t>
      </w:r>
      <w:bookmarkEnd w:id="0"/>
      <w:bookmarkEnd w:id="1"/>
      <w:bookmarkEnd w:id="2"/>
      <w:bookmarkEnd w:id="3"/>
      <w:r>
        <w:t xml:space="preserve"> </w:t>
      </w:r>
    </w:p>
    <w:p w14:paraId="582D7F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基于这9篇文献，可以勾勒出一幅学界基本共识的当代年轻人（尤其大学生）婚恋观“全景图”及其动力机制。</w:t>
      </w:r>
    </w:p>
    <w:p w14:paraId="01CD7102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12461"/>
      <w:bookmarkStart w:id="5" w:name="_Toc17182"/>
      <w:bookmarkStart w:id="6" w:name="_Toc24898"/>
      <w:bookmarkStart w:id="7" w:name="_Toc7818"/>
      <w:bookmarkStart w:id="8" w:name="_Toc21337"/>
      <w:r>
        <w:rPr>
          <w:rFonts w:hint="eastAsia"/>
          <w:lang w:eastAsia="zh-CN"/>
        </w:rPr>
        <w:t>（一）</w:t>
      </w:r>
      <w:r>
        <w:t>婚恋欲望变化的五大核心特征（发生了什么变化？）</w:t>
      </w:r>
      <w:bookmarkEnd w:id="4"/>
      <w:bookmarkEnd w:id="5"/>
      <w:bookmarkEnd w:id="6"/>
      <w:bookmarkEnd w:id="7"/>
      <w:bookmarkEnd w:id="8"/>
    </w:p>
    <w:p w14:paraId="37295F7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从“必选项”到“可选项”</w:t>
      </w:r>
      <w:r>
        <w:rPr>
          <w:rFonts w:ascii="Times New Roman" w:hAnsi="Times New Roman" w:eastAsia="宋体" w:cs="Times New Roman"/>
          <w:sz w:val="24"/>
          <w:szCs w:val="24"/>
        </w:rPr>
        <w:t>：婚育不再是人生必然历程，而是基于个人感受和价值的自主选择。</w:t>
      </w:r>
    </w:p>
    <w:p w14:paraId="13B314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从“条件匹配”到“情绪价值”优先</w:t>
      </w:r>
      <w:r>
        <w:rPr>
          <w:rFonts w:ascii="Times New Roman" w:hAnsi="Times New Roman" w:eastAsia="宋体" w:cs="Times New Roman"/>
          <w:sz w:val="24"/>
          <w:szCs w:val="24"/>
        </w:rPr>
        <w:t>：择偶标准中，性格契合、精神共鸣（情绪价值）的重要性已超越经济、家庭等传统条件。</w:t>
      </w:r>
    </w:p>
    <w:p w14:paraId="75BDE4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“婚恋松紧带”模式</w:t>
      </w:r>
      <w:r>
        <w:rPr>
          <w:rFonts w:ascii="Times New Roman" w:hAnsi="Times New Roman" w:eastAsia="宋体" w:cs="Times New Roman"/>
          <w:sz w:val="24"/>
          <w:szCs w:val="24"/>
        </w:rPr>
        <w:t>：恋爱与婚姻的关系被重构——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恋爱不必以结婚为目的（松绑）</w:t>
      </w:r>
      <w:r>
        <w:rPr>
          <w:rFonts w:ascii="Times New Roman" w:hAnsi="Times New Roman" w:eastAsia="宋体" w:cs="Times New Roman"/>
          <w:sz w:val="24"/>
          <w:szCs w:val="24"/>
        </w:rPr>
        <w:t>，但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婚姻必须基于深厚的感情基础（紧绑）</w:t>
      </w:r>
      <w:r>
        <w:rPr>
          <w:rFonts w:ascii="Times New Roman" w:hAnsi="Times New Roman" w:eastAsia="宋体" w:cs="Times New Roman"/>
          <w:sz w:val="24"/>
          <w:szCs w:val="24"/>
        </w:rPr>
        <w:t>，导致通往婚姻的路径更长、更不确定。</w:t>
      </w:r>
    </w:p>
    <w:p w14:paraId="415DFA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事业成为婚育的“前置关卡”</w:t>
      </w:r>
      <w:r>
        <w:rPr>
          <w:rFonts w:ascii="Times New Roman" w:hAnsi="Times New Roman" w:eastAsia="宋体" w:cs="Times New Roman"/>
          <w:sz w:val="24"/>
          <w:szCs w:val="24"/>
        </w:rPr>
        <w:t>：“先立业后成家”成为两性共识，个人发展是婚恋的重要前提和主要顾虑来源。</w:t>
      </w:r>
    </w:p>
    <w:p w14:paraId="07F3EF6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性别差异成为最显著的分野</w:t>
      </w:r>
      <w:r>
        <w:rPr>
          <w:rFonts w:ascii="Times New Roman" w:hAnsi="Times New Roman" w:eastAsia="宋体" w:cs="Times New Roman"/>
          <w:sz w:val="24"/>
          <w:szCs w:val="24"/>
        </w:rPr>
        <w:t>：女性在婚恋意愿上更消极、更谨慎，风险意识（对生育疼痛、母职惩罚、就业歧视的担忧）远高于男性。</w:t>
      </w:r>
    </w:p>
    <w:p w14:paraId="01BC3036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_Toc27822"/>
      <w:bookmarkStart w:id="10" w:name="_Toc26532"/>
      <w:bookmarkStart w:id="11" w:name="_Toc6582"/>
      <w:bookmarkStart w:id="12" w:name="_Toc8880"/>
      <w:bookmarkStart w:id="13" w:name="_Toc8983"/>
      <w:r>
        <w:rPr>
          <w:rFonts w:hint="eastAsia"/>
          <w:lang w:eastAsia="zh-CN"/>
        </w:rPr>
        <w:t>（二）</w:t>
      </w:r>
      <w:r>
        <w:t>影响婚恋观与欲望的六大因素（为什么变化？）</w:t>
      </w:r>
      <w:bookmarkEnd w:id="9"/>
      <w:bookmarkEnd w:id="10"/>
      <w:bookmarkEnd w:id="11"/>
      <w:bookmarkEnd w:id="12"/>
      <w:bookmarkEnd w:id="13"/>
    </w:p>
    <w:tbl>
      <w:tblPr>
        <w:tblW w:w="7396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6031"/>
      </w:tblGrid>
      <w:tr w14:paraId="0909815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D74570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影响因素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8F3AE4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具体表现与作用机制</w:t>
            </w:r>
          </w:p>
        </w:tc>
      </w:tr>
      <w:tr w14:paraId="43BAF4B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39883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个体与心理因素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156C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性别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：是最强烈的预测变量。女性因生理体验、社会风险而婚育意愿更低。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恋爱/性经历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：丰富、稳定的经历有助于形成更成熟、稳定的婚恋观。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年龄与阶段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：高年级学生因临近就业，婚育压力感知和观念可能更现实。</w:t>
            </w:r>
          </w:p>
        </w:tc>
      </w:tr>
      <w:tr w14:paraId="307E10F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8E2D40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家庭与代际因素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26EF2C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父母婚姻关系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：和谐的原生家庭是积极婚恋观的“模板”，冲突则可能导致消极或谨慎态度。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代际沟通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：传统家庭观念影响减弱，但代际差异与压力依然存在。</w:t>
            </w:r>
          </w:p>
        </w:tc>
      </w:tr>
      <w:tr w14:paraId="2B5ED8D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9E99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社会经济结构因素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DF35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事业发展与时间贫困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：“内卷”和过度工作挤占时间精力，使恋爱成为“奢侈品”，导致意愿“间歇性”。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经济压力与高成本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：住房、育儿成本是首要阻力。“立业”标准提高，推迟婚育。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教育水平与社会经济地位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：通常与婚育意愿呈负相关，因个体发展机会成本更高。</w:t>
            </w:r>
          </w:p>
        </w:tc>
      </w:tr>
      <w:tr w14:paraId="5E410FE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E74C87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4. 文化观念变迁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95D76A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传统价值观弱化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：“传宗接代”“男大当婚”等观念影响力急剧下降。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个体主义与平等主义兴起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：强调自我实现、个人感受与婚姻中的性别平等。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“情绪价值”需求崛起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：对情感共鸣、深度理解的要求成为核心诉求。</w:t>
            </w:r>
          </w:p>
        </w:tc>
      </w:tr>
      <w:tr w14:paraId="0F034E9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0F4D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5. 互联网与技术环境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59ED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信息放大与风险感知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：算法推送放大婚恋负面案例，显著强化（尤其女性的）风险意识和“恐婚”心态。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圈层文化塑造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：不同的网络亚文化（如动漫、网文圈）与特定婚恋态度相关联。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虚拟社交与比较焦虑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：社交媒体展示“完美关系”引发焦虑，同时可能挤占线下深度交往时间。</w:t>
            </w:r>
          </w:p>
        </w:tc>
      </w:tr>
      <w:tr w14:paraId="68D189F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65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525125F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6. 教育与社会支持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6031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7CDBFA5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高校教育缺位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：现有婚恋教育零散、说教化，与学生真实需求脱节。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政策激励错位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：现金补贴等经济政策激励效果微弱；保障女性就业公平、分担育儿责任的政策更受期待。</w:t>
            </w:r>
          </w:p>
        </w:tc>
      </w:tr>
    </w:tbl>
    <w:p w14:paraId="0095B103">
      <w:pPr>
        <w:pStyle w:val="2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4" w:name="_Toc4957"/>
      <w:bookmarkStart w:id="15" w:name="_Toc4296"/>
      <w:bookmarkStart w:id="16" w:name="_Toc3559"/>
      <w:bookmarkStart w:id="17" w:name="_Toc16091"/>
      <w:r>
        <w:rPr>
          <w:rFonts w:hint="eastAsia"/>
          <w:lang w:eastAsia="zh-CN"/>
        </w:rPr>
        <w:t>二、</w:t>
      </w:r>
      <w:r>
        <w:t>多篇文献的异同点总结与研究启示</w:t>
      </w:r>
      <w:bookmarkEnd w:id="14"/>
      <w:bookmarkEnd w:id="15"/>
      <w:bookmarkEnd w:id="16"/>
      <w:bookmarkEnd w:id="17"/>
      <w:r>
        <w:t xml:space="preserve"> </w:t>
      </w:r>
    </w:p>
    <w:p w14:paraId="36941A61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8" w:name="_Toc10104"/>
      <w:bookmarkStart w:id="19" w:name="_Toc13699"/>
      <w:bookmarkStart w:id="20" w:name="_Toc5941"/>
      <w:bookmarkStart w:id="21" w:name="_Toc2041"/>
      <w:bookmarkStart w:id="22" w:name="_Toc13000"/>
      <w:r>
        <w:rPr>
          <w:rFonts w:hint="eastAsia"/>
          <w:lang w:eastAsia="zh-CN"/>
        </w:rPr>
        <w:t>（一）</w:t>
      </w:r>
      <w:r>
        <w:t>高度共识（相同点）—— 研究的坚实起点</w:t>
      </w:r>
      <w:bookmarkEnd w:id="18"/>
      <w:bookmarkEnd w:id="19"/>
      <w:bookmarkEnd w:id="20"/>
      <w:bookmarkEnd w:id="21"/>
      <w:bookmarkEnd w:id="22"/>
    </w:p>
    <w:p w14:paraId="7A4E82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性别差异的显著性</w:t>
      </w:r>
      <w:r>
        <w:rPr>
          <w:rFonts w:ascii="Times New Roman" w:hAnsi="Times New Roman" w:eastAsia="宋体" w:cs="Times New Roman"/>
          <w:sz w:val="24"/>
          <w:szCs w:val="24"/>
        </w:rPr>
        <w:t>：所有文献无一例外地指出，性别是导致婚恋观念、意愿、顾虑产生分化的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最关键变量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069876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“事业-婚育”的冲突</w:t>
      </w:r>
      <w:r>
        <w:rPr>
          <w:rFonts w:ascii="Times New Roman" w:hAnsi="Times New Roman" w:eastAsia="宋体" w:cs="Times New Roman"/>
          <w:sz w:val="24"/>
          <w:szCs w:val="24"/>
        </w:rPr>
        <w:t>：均认同个人发展与婚育之间存在张力，“先立业后成家”成为主导逻辑。</w:t>
      </w:r>
    </w:p>
    <w:p w14:paraId="2AA544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价值基础的根本性转变</w:t>
      </w:r>
      <w:r>
        <w:rPr>
          <w:rFonts w:ascii="Times New Roman" w:hAnsi="Times New Roman" w:eastAsia="宋体" w:cs="Times New Roman"/>
          <w:sz w:val="24"/>
          <w:szCs w:val="24"/>
        </w:rPr>
        <w:t>：婚育的价值从家庭本位的“传宗接代”“搭伙过日子”，转向个人本位的“提升生活品质”“获得情感陪伴”。</w:t>
      </w:r>
    </w:p>
    <w:p w14:paraId="178012E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互联网的深刻影响</w:t>
      </w:r>
      <w:r>
        <w:rPr>
          <w:rFonts w:ascii="Times New Roman" w:hAnsi="Times New Roman" w:eastAsia="宋体" w:cs="Times New Roman"/>
          <w:sz w:val="24"/>
          <w:szCs w:val="24"/>
        </w:rPr>
        <w:t>：都承认互联网是塑造当代婚恋观不可忽视的全新力量，尤其在信息传播和风险建构方面。</w:t>
      </w:r>
    </w:p>
    <w:p w14:paraId="57D9979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对传统束缚的挣脱</w:t>
      </w:r>
      <w:r>
        <w:rPr>
          <w:rFonts w:ascii="Times New Roman" w:hAnsi="Times New Roman" w:eastAsia="宋体" w:cs="Times New Roman"/>
          <w:sz w:val="24"/>
          <w:szCs w:val="24"/>
        </w:rPr>
        <w:t>：在择偶自主、婚姻自主、离婚去污名化等方面，年轻人普遍展现出更强的个体能动性。</w:t>
      </w:r>
    </w:p>
    <w:p w14:paraId="1067F12E">
      <w:pPr>
        <w:pStyle w:val="3"/>
        <w:keepNext/>
        <w:pageBreakBefore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3" w:name="_Toc27240"/>
      <w:bookmarkStart w:id="24" w:name="_Toc19345"/>
      <w:bookmarkStart w:id="25" w:name="_Toc6705"/>
      <w:bookmarkStart w:id="26" w:name="_Toc16020"/>
      <w:bookmarkStart w:id="27" w:name="_Toc2242"/>
      <w:r>
        <w:rPr>
          <w:rFonts w:hint="eastAsia"/>
          <w:lang w:eastAsia="zh-CN"/>
        </w:rPr>
        <w:t>（二）</w:t>
      </w:r>
      <w:r>
        <w:t>重点差异与争论（不同点）—— 研究的切入空间</w:t>
      </w:r>
      <w:bookmarkEnd w:id="23"/>
      <w:bookmarkEnd w:id="24"/>
      <w:bookmarkEnd w:id="25"/>
      <w:bookmarkEnd w:id="26"/>
      <w:bookmarkEnd w:id="27"/>
    </w:p>
    <w:tbl>
      <w:tblPr>
        <w:tblW w:w="8314" w:type="dxa"/>
        <w:jc w:val="center"/>
        <w:tblBorders>
          <w:top w:val="none" w:color="E0E0E0" w:sz="2" w:space="0"/>
          <w:left w:val="none" w:color="E0E0E0" w:sz="2" w:space="0"/>
          <w:bottom w:val="none" w:color="E0E0E0" w:sz="2" w:space="0"/>
          <w:right w:val="non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2776"/>
        <w:gridCol w:w="4621"/>
      </w:tblGrid>
      <w:tr w14:paraId="771FEDCB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0B733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差异维度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095C9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不同文献的侧重点/观点</w:t>
            </w:r>
          </w:p>
        </w:tc>
        <w:tc>
          <w:tcPr>
            <w:tcW w:w="4621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1A55E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对你们项目的启示</w:t>
            </w:r>
          </w:p>
        </w:tc>
      </w:tr>
      <w:tr w14:paraId="2F4F7D19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FD947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“婚”与“育”的关系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10898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紧密捆绑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：多数仍认同“先婚后育”。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出现“脱嵌”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：近四成不认可二者必然联系，“非婚生育”接受度在提高。</w:t>
            </w:r>
          </w:p>
        </w:tc>
        <w:tc>
          <w:tcPr>
            <w:tcW w:w="4621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26AC9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可专门设置问题，探究大学生对“婚育次序”的态度光谱及其影响因素。</w:t>
            </w:r>
          </w:p>
        </w:tc>
      </w:tr>
      <w:tr w14:paraId="2915A16C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3BB9E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观念 vs. 阻力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1DE9F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观念转变主导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（部分理论）：认为不婚不育是价值选择。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现实阻力主导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：强调是成本、压力等外部约束导致“向往但不行”。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12DF5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研究设计需区分“态度”和“感知到的障碍”，从而判断低意愿的主因是“不想要”还是“要不起”。</w:t>
            </w:r>
          </w:p>
        </w:tc>
      </w:tr>
      <w:tr w14:paraId="11473947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83773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研究焦点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21534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宏观现状描述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：基于超大样本的普查式全景描绘。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深层机制挖掘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：聚焦“时间贫困”“情绪价值”“性别反思”等具体机制。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教育干预路径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：探讨如何从外部进行引导和塑造。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5A4AF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你们的项目更适合结合2和3，在描述现状基础上，深入1-2个机制（如“时间贫困”或“网络圈层”），并思考教育层面的启示。</w:t>
            </w:r>
          </w:p>
        </w:tc>
      </w:tr>
      <w:tr w14:paraId="3E3D46B3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62FE8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方法论偏好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28FE8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量化实证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：依赖大规模问卷调查和高级统计。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质性深描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：通过深度访谈挖掘逻辑和故事。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· 文献与理论分析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：侧重框架构建。</w:t>
            </w:r>
          </w:p>
        </w:tc>
        <w:tc>
          <w:tcPr>
            <w:tcW w:w="4621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5C381">
            <w:pPr>
              <w:pStyle w:val="16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建议你们采取 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“问卷为主，访谈为辅”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 的混合方法，用问卷验证普遍性，用访谈探索丰富性和内在逻辑。</w:t>
            </w:r>
          </w:p>
        </w:tc>
      </w:tr>
    </w:tbl>
    <w:p w14:paraId="32DDF816">
      <w:pPr>
        <w:pStyle w:val="3"/>
        <w:keepNext/>
        <w:pageBreakBefore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8" w:name="_Toc18596"/>
      <w:bookmarkStart w:id="29" w:name="_Toc3736"/>
      <w:bookmarkStart w:id="30" w:name="_Toc740"/>
      <w:bookmarkStart w:id="31" w:name="_Toc25728"/>
      <w:bookmarkStart w:id="32" w:name="_Toc6983"/>
      <w:r>
        <w:rPr>
          <w:rFonts w:hint="eastAsia"/>
          <w:lang w:eastAsia="zh-CN"/>
        </w:rPr>
        <w:t>（三）</w:t>
      </w:r>
      <w:r>
        <w:t>对项目的直接启示与行动建议</w:t>
      </w:r>
      <w:bookmarkEnd w:id="28"/>
      <w:bookmarkEnd w:id="29"/>
      <w:bookmarkEnd w:id="30"/>
      <w:bookmarkEnd w:id="31"/>
      <w:bookmarkEnd w:id="32"/>
    </w:p>
    <w:p w14:paraId="74B4B9F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问卷设计必须性别敏感</w:t>
      </w:r>
      <w:r>
        <w:rPr>
          <w:rFonts w:ascii="Times New Roman" w:hAnsi="Times New Roman" w:eastAsia="宋体" w:cs="Times New Roman"/>
          <w:sz w:val="24"/>
          <w:szCs w:val="24"/>
        </w:rPr>
        <w:t>：几乎所有变量都需做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性别交叉分析</w:t>
      </w:r>
      <w:r>
        <w:rPr>
          <w:rFonts w:ascii="Times New Roman" w:hAnsi="Times New Roman" w:eastAsia="宋体" w:cs="Times New Roman"/>
          <w:sz w:val="24"/>
          <w:szCs w:val="24"/>
        </w:rPr>
        <w:t>。可考虑设立独立的“女性视角”模块，专门测量生育疼痛恐惧、母职惩罚预期、就业公平关注等。</w:t>
      </w:r>
    </w:p>
    <w:p w14:paraId="1D49648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引入“时间贫困”变量</w:t>
      </w:r>
      <w:r>
        <w:rPr>
          <w:rFonts w:ascii="Times New Roman" w:hAnsi="Times New Roman" w:eastAsia="宋体" w:cs="Times New Roman"/>
          <w:sz w:val="24"/>
          <w:szCs w:val="24"/>
        </w:rPr>
        <w:t>：在问卷中加入对学业/实习/未来工作压力的感知题目，直接验证其与恋爱意愿、婚育计划的关系。</w:t>
      </w:r>
    </w:p>
    <w:p w14:paraId="60A318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测量“婚恋松紧带”</w:t>
      </w:r>
      <w:r>
        <w:rPr>
          <w:rFonts w:ascii="Times New Roman" w:hAnsi="Times New Roman" w:eastAsia="宋体" w:cs="Times New Roman"/>
          <w:sz w:val="24"/>
          <w:szCs w:val="24"/>
        </w:rPr>
        <w:t>：设计题目，分别测量对“恋爱是否必须以结婚为目的”和“婚姻是否必须以恋爱为基础”的态度，刻画这种新型关系模式。</w:t>
      </w:r>
    </w:p>
    <w:p w14:paraId="46F984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细化互联网影响测量</w:t>
      </w:r>
      <w:r>
        <w:rPr>
          <w:rFonts w:ascii="Times New Roman" w:hAnsi="Times New Roman" w:eastAsia="宋体" w:cs="Times New Roman"/>
          <w:sz w:val="24"/>
          <w:szCs w:val="24"/>
        </w:rPr>
        <w:t>：不仅问使用时长，更要问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接触的圈层类型</w:t>
      </w:r>
      <w:r>
        <w:rPr>
          <w:rFonts w:ascii="Times New Roman" w:hAnsi="Times New Roman" w:eastAsia="宋体" w:cs="Times New Roman"/>
          <w:sz w:val="24"/>
          <w:szCs w:val="24"/>
        </w:rPr>
        <w:t>（如二次元、网文、性别议题社区等）和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算法推荐内容感知</w:t>
      </w:r>
      <w:r>
        <w:rPr>
          <w:rFonts w:ascii="Times New Roman" w:hAnsi="Times New Roman" w:eastAsia="宋体" w:cs="Times New Roman"/>
          <w:sz w:val="24"/>
          <w:szCs w:val="24"/>
        </w:rPr>
        <w:t>，建立更精细的相关性分析。</w:t>
      </w:r>
    </w:p>
    <w:p w14:paraId="4C7442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样本选择注意多样性</w:t>
      </w:r>
      <w:r>
        <w:rPr>
          <w:rFonts w:ascii="Times New Roman" w:hAnsi="Times New Roman" w:eastAsia="宋体" w:cs="Times New Roman"/>
          <w:sz w:val="24"/>
          <w:szCs w:val="24"/>
        </w:rPr>
        <w:t>：鉴于文献指出的局限，你们的样本应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平衡性别、年级（增加高年级比例）、院校层次和专业</w:t>
      </w:r>
      <w:r>
        <w:rPr>
          <w:rFonts w:ascii="Times New Roman" w:hAnsi="Times New Roman" w:eastAsia="宋体" w:cs="Times New Roman"/>
          <w:sz w:val="24"/>
          <w:szCs w:val="24"/>
        </w:rPr>
        <w:t>，以使结论更具代表性。</w:t>
      </w:r>
    </w:p>
    <w:p w14:paraId="1A9641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从“是什么”深入到“为什么”</w:t>
      </w:r>
      <w:r>
        <w:rPr>
          <w:rFonts w:ascii="Times New Roman" w:hAnsi="Times New Roman" w:eastAsia="宋体" w:cs="Times New Roman"/>
          <w:sz w:val="24"/>
          <w:szCs w:val="24"/>
        </w:rPr>
        <w:t>：在描述现状后，利用回归分析等简单推断统计，尝试探索如“网络使用如何通过影响风险感知，进而降低婚育意愿”这样的路径。</w:t>
      </w:r>
    </w:p>
    <w:p w14:paraId="7E0987BF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33" w:name="_Toc5760"/>
      <w:bookmarkStart w:id="34" w:name="_Toc11504"/>
      <w:bookmarkStart w:id="35" w:name="_Toc26955"/>
      <w:r>
        <w:rPr>
          <w:rFonts w:hint="eastAsia"/>
          <w:lang w:eastAsia="zh-CN"/>
        </w:rPr>
        <w:t>三、</w:t>
      </w:r>
      <w:r>
        <w:t>可参考的核心量表</w:t>
      </w:r>
      <w:bookmarkEnd w:id="33"/>
      <w:bookmarkEnd w:id="34"/>
      <w:bookmarkEnd w:id="35"/>
    </w:p>
    <w:p w14:paraId="7C04B16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根据你的要求，我已仔细阅读并提取了文档2、4、5、7中的核心量表信息。这些信息可以直接用于你们问卷的设计。</w:t>
      </w:r>
    </w:p>
    <w:p w14:paraId="746E9733">
      <w:pPr>
        <w:pStyle w:val="22"/>
        <w:widowControl/>
      </w:pPr>
      <w:r>
        <w:t xml:space="preserve">核心量表提取汇总 </w:t>
      </w:r>
    </w:p>
    <w:tbl>
      <w:tblPr>
        <w:tblW w:w="8522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1329"/>
        <w:gridCol w:w="2922"/>
        <w:gridCol w:w="3673"/>
      </w:tblGrid>
      <w:tr w14:paraId="26732CA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598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4EAF3AA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文档编号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046C8A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量表/问卷名称/核心维度</w:t>
            </w:r>
          </w:p>
        </w:tc>
        <w:tc>
          <w:tcPr>
            <w:tcW w:w="2922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4118EC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具体测量题目/指标（可直接参考或改编）</w:t>
            </w:r>
          </w:p>
        </w:tc>
        <w:tc>
          <w:tcPr>
            <w:tcW w:w="3673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5CC416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备注（信效度、特点）</w:t>
            </w:r>
          </w:p>
        </w:tc>
      </w:tr>
      <w:tr w14:paraId="4F7244F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8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639A0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文档2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1473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大学生婚恋观问卷（7维度结构）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2922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8CFE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恋爱动机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：测量开始恋爱的内在原因。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婚姻倾向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：测量对婚姻的向往程度和态度。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婚姻价值观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：测量对婚姻功能、意义的看法。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4. 婚姻自主观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：测量在婚姻决策上（如择偶、结婚）的自主性。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5. 婚姻角色观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：测量对夫妻家庭角色分工的看法（如“丈夫的社会地位应高于妻子”）。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6. 婚姻忠诚观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：测量对婚姻忠诚度的态度。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7. 性爱抉择观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：测量对性、爱与婚姻关系的看法。</w:t>
            </w:r>
          </w:p>
        </w:tc>
        <w:tc>
          <w:tcPr>
            <w:tcW w:w="3673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67ED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信效度完备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：总问卷Cronbach‘s α系数为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0.866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，各维度α系数在0.633-0.822之间，表明量表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信度良好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。该量表结构清晰，是经过验证的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标准化测量工具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，可直接引用其维度和部分题目。</w:t>
            </w:r>
          </w:p>
        </w:tc>
      </w:tr>
      <w:tr w14:paraId="5CE9530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81AC83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文档4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7E516E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全国大学生恋爱、婚姻和生育观念调查问卷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773801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恋爱状态与意愿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：如“目前是否处于恋爱中”、“大学期间是否有恋爱打算”。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婚姻观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：如“认为结婚的必备条件”（多选：双方足够了解、喜欢对方、事业稳定等）、“可接受的结婚年龄”、“对‘未婚同居’的态度”。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生育观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：如“理想子女数”、“打算生育子女数”、“生育担忧”（经济成本、时间精力、职业发展、身体损伤等）。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4. 婚姻与生育的关系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：测量对“非婚生育”的接受度。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5. 性别差异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：专门分析男女在婚育意愿、担忧上的差异。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E06860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全国代表性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：基于32,282份样本，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最具时效性和代表性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。题目设计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贴近现实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，聚焦于具体行为意向和担忧，是了解现状的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最佳问题库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。可直接采用其问题框架和选项设置。</w:t>
            </w:r>
          </w:p>
        </w:tc>
      </w:tr>
      <w:tr w14:paraId="449CAFC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5A965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文档5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6792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中国大学生婚育观调查问卷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EBBE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婚恋状态与意愿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：如“恋爱状态”、“结婚意愿”、“理想结婚年龄”。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婚育阻力感知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：测量“不想结婚/生育的原因”（如经济压力、工作压力、个人自由等）。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婚姻与生育的价值基础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：测量对“婚姻是人生必经阶段”、“孩子是家庭必需品”等传统观念的认同度。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4. 互联网与圈层文化影响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：测量社交媒体使用、关注的网络话题与婚育观的关系。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5. 社会经济地位与性别分化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：包含家庭背景、性别观念等变量，用于交叉分析。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0DCC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理论驱动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：问卷设计紧密围绕“婚姻/生育去制度化”等核心理论问题。擅长测量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观念背后的阻力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和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价值基础变迁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。其关于“阻力”和“价值”的题目是你们分析“低意愿原因”的关键。</w:t>
            </w:r>
          </w:p>
        </w:tc>
      </w:tr>
      <w:tr w14:paraId="317AD85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8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611454F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文档7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140320A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高校婚恋观教育内容框架（非测量量表）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2922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633252D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这是一个教育内容模型，而非调查量表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。它从三个维度构建了婚恋教育体系：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横轴（内容领域）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：择偶观、恋爱观、性观念、婚姻观、家庭观。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纵轴（心理结构）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：认知、情感、行为、人格。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竖轴（价值层次）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：基础知识、心理建构、道德法律。</w:t>
            </w:r>
          </w:p>
        </w:tc>
        <w:tc>
          <w:tcPr>
            <w:tcW w:w="3673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1AFF6F4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框架性指导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：此模型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不能直接用作问卷题目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，但能为你们设计问卷提供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无遗漏的逻辑框架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。确保你们的问卷能覆盖不同婚恋阶段（横轴）、不同心理层面（纵轴）和规范边界（竖轴）。</w:t>
            </w:r>
          </w:p>
        </w:tc>
      </w:tr>
    </w:tbl>
    <w:p w14:paraId="770EA7D4">
      <w:pPr>
        <w:pStyle w:val="3"/>
        <w:keepNext/>
        <w:widowControl/>
        <w:outlineLvl w:val="9"/>
      </w:pPr>
      <w:bookmarkStart w:id="36" w:name="_Toc7865"/>
      <w:r>
        <w:t>综合使用建议：构建你们自己的问卷</w:t>
      </w:r>
      <w:bookmarkEnd w:id="36"/>
      <w:r>
        <w:t xml:space="preserve"> </w:t>
      </w:r>
    </w:p>
    <w:p w14:paraId="58D8FA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你们可以将以上四份材料有机结合，形成一份层次分明、既有理论深度又贴近现实的问卷：</w:t>
      </w:r>
    </w:p>
    <w:p w14:paraId="064605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核心态度量表（骨架）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直接采用或改编文档2的7维度量表</w:t>
      </w:r>
      <w:r>
        <w:rPr>
          <w:rFonts w:ascii="Times New Roman" w:hAnsi="Times New Roman" w:eastAsia="宋体" w:cs="Times New Roman"/>
          <w:sz w:val="24"/>
          <w:szCs w:val="24"/>
        </w:rPr>
        <w:t>。这是你们问卷中测量“观念”的核心部分，确保学术严谨性。</w:t>
      </w:r>
    </w:p>
    <w:p w14:paraId="42A974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具体行为与意向（血肉）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大量借鉴文档4和文档5的具体问题</w:t>
      </w:r>
      <w:r>
        <w:rPr>
          <w:rFonts w:ascii="Times New Roman" w:hAnsi="Times New Roman" w:eastAsia="宋体" w:cs="Times New Roman"/>
          <w:sz w:val="24"/>
          <w:szCs w:val="24"/>
        </w:rPr>
        <w:t>。用它们来测量“恋爱/结婚/生育意愿”、“理想数目”、“可接受行为”、“主要担忧”等具体意向和感知。</w:t>
      </w:r>
    </w:p>
    <w:p w14:paraId="37A47F2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例如</w:t>
      </w:r>
      <w:r>
        <w:rPr>
          <w:rFonts w:ascii="Times New Roman" w:hAnsi="Times New Roman" w:eastAsia="宋体" w:cs="Times New Roman"/>
          <w:sz w:val="24"/>
          <w:szCs w:val="24"/>
        </w:rPr>
        <w:t>：将文档4的“结婚必备条件”作为多选题；将文档5的“不想生育的原因”作为李克特量表题或排序题。</w:t>
      </w:r>
    </w:p>
    <w:p w14:paraId="2C09FAD6">
      <w:pPr>
        <w:pStyle w:val="4"/>
        <w:keepNext/>
        <w:widowControl/>
        <w:outlineLvl w:val="9"/>
      </w:pPr>
      <w:bookmarkStart w:id="37" w:name="_Toc15109"/>
      <w:r>
        <w:t>影响因素模块：</w:t>
      </w:r>
      <w:bookmarkEnd w:id="37"/>
    </w:p>
    <w:p w14:paraId="6D5E3F8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个人与家庭</w:t>
      </w:r>
      <w:r>
        <w:rPr>
          <w:rFonts w:ascii="Times New Roman" w:hAnsi="Times New Roman" w:eastAsia="宋体" w:cs="Times New Roman"/>
          <w:sz w:val="24"/>
          <w:szCs w:val="24"/>
        </w:rPr>
        <w:t>：从文档2、4、5中提取“恋爱经历”、“父母婚姻关系”、“家庭经济状况”等变量。</w:t>
      </w:r>
    </w:p>
    <w:p w14:paraId="3C8F65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互联网影响</w:t>
      </w:r>
      <w:r>
        <w:rPr>
          <w:rFonts w:ascii="Times New Roman" w:hAnsi="Times New Roman" w:eastAsia="宋体" w:cs="Times New Roman"/>
          <w:sz w:val="24"/>
          <w:szCs w:val="24"/>
        </w:rPr>
        <w:t>：重点参考文档5，设计关于“社交媒体使用频率”、“关注的网络话题类型”与婚育观关联的题目。</w:t>
      </w:r>
    </w:p>
    <w:p w14:paraId="42BF20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逻辑校验（地图）</w:t>
      </w:r>
      <w:r>
        <w:rPr>
          <w:rFonts w:ascii="Times New Roman" w:hAnsi="Times New Roman" w:eastAsia="宋体" w:cs="Times New Roman"/>
          <w:sz w:val="24"/>
          <w:szCs w:val="24"/>
        </w:rPr>
        <w:t>：在问卷设计后期，用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文档7的“三维模型”</w:t>
      </w:r>
      <w:r>
        <w:rPr>
          <w:rFonts w:ascii="Times New Roman" w:hAnsi="Times New Roman" w:eastAsia="宋体" w:cs="Times New Roman"/>
          <w:sz w:val="24"/>
          <w:szCs w:val="24"/>
        </w:rPr>
        <w:t>​ 检查一遍，确保你们的问题覆盖了“恋爱-婚姻-生育”全流程（横轴），并测量了“认知-态度-行为”（纵轴）。</w:t>
      </w:r>
    </w:p>
    <w:p w14:paraId="5BBDCC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下一步行动</w:t>
      </w:r>
      <w:r>
        <w:rPr>
          <w:rFonts w:ascii="Times New Roman" w:hAnsi="Times New Roman" w:eastAsia="宋体" w:cs="Times New Roman"/>
          <w:sz w:val="24"/>
          <w:szCs w:val="24"/>
        </w:rPr>
        <w:t>：建议团队以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文档2的7个维度为提纲</w:t>
      </w:r>
      <w:r>
        <w:rPr>
          <w:rFonts w:ascii="Times New Roman" w:hAnsi="Times New Roman" w:eastAsia="宋体" w:cs="Times New Roman"/>
          <w:sz w:val="24"/>
          <w:szCs w:val="24"/>
        </w:rPr>
        <w:t>，将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文档4和5的具体问题</w:t>
      </w:r>
      <w:r>
        <w:rPr>
          <w:rFonts w:ascii="Times New Roman" w:hAnsi="Times New Roman" w:eastAsia="宋体" w:cs="Times New Roman"/>
          <w:sz w:val="24"/>
          <w:szCs w:val="24"/>
        </w:rPr>
        <w:t>作为素材填充到各个维度之下，并加入你们自己关心的独特问题（如“网络言论与现实态度的一致性”），即可快速搭建起一份高质量问卷的初稿。</w:t>
      </w:r>
    </w:p>
    <w:p w14:paraId="6CAC33F3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2B51AF5A">
      <w:pPr>
        <w:pStyle w:val="2"/>
        <w:keepNext/>
        <w:pageBreakBefore/>
      </w:pPr>
      <w:bookmarkStart w:id="38" w:name="_Toc22617"/>
      <w:bookmarkStart w:id="39" w:name="_Toc26035"/>
      <w:r>
        <w:t>四、</w:t>
      </w:r>
      <w:r>
        <w:t>问卷设计注意事项</w:t>
      </w:r>
      <w:bookmarkEnd w:id="38"/>
      <w:bookmarkEnd w:id="39"/>
    </w:p>
    <w:p w14:paraId="29D02F94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0" w:name="_Toc5158"/>
      <w:bookmarkStart w:id="41" w:name="_Toc6032"/>
      <w:r>
        <w:rPr>
          <w:rFonts w:hint="eastAsia"/>
          <w:lang w:eastAsia="zh-CN"/>
        </w:rPr>
        <w:t>第一部分：</w:t>
      </w:r>
      <w:r>
        <w:t>合格问卷的核心设计原则</w:t>
      </w:r>
      <w:bookmarkEnd w:id="40"/>
      <w:bookmarkEnd w:id="41"/>
      <w:r>
        <w:t xml:space="preserve"> </w:t>
      </w:r>
    </w:p>
    <w:p w14:paraId="5BC229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一份合格的问卷，其设计目标是在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最小化偏差</w:t>
      </w:r>
      <w:r>
        <w:rPr>
          <w:rFonts w:ascii="Times New Roman" w:hAnsi="Times New Roman" w:eastAsia="宋体" w:cs="Times New Roman"/>
          <w:sz w:val="24"/>
          <w:szCs w:val="24"/>
        </w:rPr>
        <w:t>的前提下，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高效、准确地</w:t>
      </w:r>
      <w:r>
        <w:rPr>
          <w:rFonts w:ascii="Times New Roman" w:hAnsi="Times New Roman" w:eastAsia="宋体" w:cs="Times New Roman"/>
          <w:sz w:val="24"/>
          <w:szCs w:val="24"/>
        </w:rPr>
        <w:t>收集到能回答研究问题的数据。它需注重以下几点：</w:t>
      </w:r>
    </w:p>
    <w:p w14:paraId="0DBD27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目的明确性</w:t>
      </w:r>
      <w:r>
        <w:rPr>
          <w:rFonts w:ascii="Times New Roman" w:hAnsi="Times New Roman" w:eastAsia="宋体" w:cs="Times New Roman"/>
          <w:sz w:val="24"/>
          <w:szCs w:val="24"/>
        </w:rPr>
        <w:t>：每一个问题都必须直接或间接服务于研究假设或核心问题。杜绝“顺便问问”的无关题目。</w:t>
      </w:r>
    </w:p>
    <w:p w14:paraId="2EA1F7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逻辑清晰与流程顺畅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3A045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漏斗顺序</w:t>
      </w:r>
      <w:r>
        <w:rPr>
          <w:rFonts w:ascii="Times New Roman" w:hAnsi="Times New Roman" w:eastAsia="宋体" w:cs="Times New Roman"/>
          <w:sz w:val="24"/>
          <w:szCs w:val="24"/>
        </w:rPr>
        <w:t>：先易后难，先一般后具体，先行为后态度，先客观后主观。</w:t>
      </w:r>
    </w:p>
    <w:p w14:paraId="6EC354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逻辑跳转</w:t>
      </w:r>
      <w:r>
        <w:rPr>
          <w:rFonts w:ascii="Times New Roman" w:hAnsi="Times New Roman" w:eastAsia="宋体" w:cs="Times New Roman"/>
          <w:sz w:val="24"/>
          <w:szCs w:val="24"/>
        </w:rPr>
        <w:t>：使用明确的跳转逻辑（如“若选‘否’，请跳至第10题”），避免受访者回答不适用的问题。</w:t>
      </w:r>
    </w:p>
    <w:p w14:paraId="25AB2D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语言表述精准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EDD74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无歧义</w:t>
      </w:r>
      <w:r>
        <w:rPr>
          <w:rFonts w:ascii="Times New Roman" w:hAnsi="Times New Roman" w:eastAsia="宋体" w:cs="Times New Roman"/>
          <w:sz w:val="24"/>
          <w:szCs w:val="24"/>
        </w:rPr>
        <w:t>：使用简单、通用的词汇，避免专业术语、缩写和模糊词汇（如“经常”、“较好”）。</w:t>
      </w:r>
    </w:p>
    <w:p w14:paraId="558179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无引导性</w:t>
      </w:r>
      <w:r>
        <w:rPr>
          <w:rFonts w:ascii="Times New Roman" w:hAnsi="Times New Roman" w:eastAsia="宋体" w:cs="Times New Roman"/>
          <w:sz w:val="24"/>
          <w:szCs w:val="24"/>
        </w:rPr>
        <w:t>：问题表述必须中立，不暗示“正确”或“期望”的答案（如：“您是否也认为…？”就是引导）。</w:t>
      </w:r>
    </w:p>
    <w:p w14:paraId="66C51EC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一题一问</w:t>
      </w:r>
      <w:r>
        <w:rPr>
          <w:rFonts w:ascii="Times New Roman" w:hAnsi="Times New Roman" w:eastAsia="宋体" w:cs="Times New Roman"/>
          <w:sz w:val="24"/>
          <w:szCs w:val="24"/>
        </w:rPr>
        <w:t>：避免双重问题（如：“您对公司的薪资和福利满意吗？”应拆成两题）。</w:t>
      </w:r>
    </w:p>
    <w:p w14:paraId="1C2DA4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答案选项设计科学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6D20CF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穷尽性</w:t>
      </w:r>
      <w:r>
        <w:rPr>
          <w:rFonts w:ascii="Times New Roman" w:hAnsi="Times New Roman" w:eastAsia="宋体" w:cs="Times New Roman"/>
          <w:sz w:val="24"/>
          <w:szCs w:val="24"/>
        </w:rPr>
        <w:t>：选项应覆盖所有可能情况。</w:t>
      </w:r>
    </w:p>
    <w:p w14:paraId="6FCD1B0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互斥性</w:t>
      </w:r>
      <w:r>
        <w:rPr>
          <w:rFonts w:ascii="Times New Roman" w:hAnsi="Times New Roman" w:eastAsia="宋体" w:cs="Times New Roman"/>
          <w:sz w:val="24"/>
          <w:szCs w:val="24"/>
        </w:rPr>
        <w:t>：选项之间不应有重叠。</w:t>
      </w:r>
    </w:p>
    <w:p w14:paraId="5A9C27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平衡性</w:t>
      </w:r>
      <w:r>
        <w:rPr>
          <w:rFonts w:ascii="Times New Roman" w:hAnsi="Times New Roman" w:eastAsia="宋体" w:cs="Times New Roman"/>
          <w:sz w:val="24"/>
          <w:szCs w:val="24"/>
        </w:rPr>
        <w:t>：态度量表的选项应从“非常不同意”到“非常同意”均匀分布。</w:t>
      </w:r>
    </w:p>
    <w:p w14:paraId="4FC4BF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长度与用户体验</w:t>
      </w:r>
      <w:r>
        <w:rPr>
          <w:rFonts w:ascii="Times New Roman" w:hAnsi="Times New Roman" w:eastAsia="宋体" w:cs="Times New Roman"/>
          <w:sz w:val="24"/>
          <w:szCs w:val="24"/>
        </w:rPr>
        <w:t>：完成时间最好控制在5-10分钟内。过长的问卷会导致疲劳、中途退出或随意作答，严重影响数据质量。</w:t>
      </w:r>
    </w:p>
    <w:p w14:paraId="7F2AFF4C">
      <w:pPr>
        <w:pStyle w:val="3"/>
        <w:bidi w:val="0"/>
        <w:rPr>
          <w:rFonts w:hint="eastAsia" w:ascii="黑体" w:hAnsi="黑体" w:eastAsia="黑体" w:cs="黑体"/>
          <w:b w:val="0"/>
          <w:bdr w:val="none" w:sz="0" w:space="0"/>
        </w:rPr>
      </w:pPr>
      <w:bookmarkStart w:id="42" w:name="_Toc9748"/>
      <w:bookmarkStart w:id="43" w:name="_Toc15725"/>
      <w:r>
        <w:rPr>
          <w:rFonts w:hint="eastAsia"/>
          <w:lang w:eastAsia="zh-CN"/>
        </w:rPr>
        <w:t>第二部分：</w:t>
      </w:r>
      <w:r>
        <w:t>问卷的“体检报告”——信度与效度</w:t>
      </w:r>
      <w:bookmarkEnd w:id="42"/>
      <w:bookmarkEnd w:id="43"/>
      <w:r>
        <w:t xml:space="preserve"> </w:t>
      </w:r>
    </w:p>
    <w:p w14:paraId="349B5C2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信度和效度是衡量问卷质量的两个核心指标，如同体检报告中的“准确性”和“有效性”。</w:t>
      </w:r>
    </w:p>
    <w:tbl>
      <w:tblPr>
        <w:tblW w:w="9389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3000"/>
        <w:gridCol w:w="3000"/>
        <w:gridCol w:w="2638"/>
      </w:tblGrid>
      <w:tr w14:paraId="5E0C639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751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8EDEAE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概念</w:t>
            </w:r>
          </w:p>
        </w:tc>
        <w:tc>
          <w:tcPr>
            <w:tcW w:w="3000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3A08349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核心问题</w:t>
            </w:r>
          </w:p>
        </w:tc>
        <w:tc>
          <w:tcPr>
            <w:tcW w:w="3000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0123191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评估方法</w:t>
            </w:r>
          </w:p>
        </w:tc>
        <w:tc>
          <w:tcPr>
            <w:tcW w:w="2638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226DC7F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如何提高</w:t>
            </w:r>
          </w:p>
        </w:tc>
      </w:tr>
      <w:tr w14:paraId="6B0CA47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C411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信度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6649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测量结果是否稳定、一致？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​ 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即用同一把尺子多次测量同一物体，结果是否相近。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CFAB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内部一致性信度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：最常用。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- 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Cronbach‘s α系数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：用于李克特量表。α &gt; 0.7 可接受，&gt; 0.8 良好，&gt; 0.9 优秀。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重测信度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：同一批人隔一段时间再测，计算两次结果的相关系数。</w:t>
            </w:r>
          </w:p>
        </w:tc>
        <w:tc>
          <w:tcPr>
            <w:tcW w:w="2638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023B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增加同质题目数量。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确保量表所有题目测量的是同一个构念。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题目表述清晰，减少误解。</w:t>
            </w:r>
          </w:p>
        </w:tc>
      </w:tr>
      <w:tr w14:paraId="3FA5163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5CB8B92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效度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000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0A76554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测量工具是否测到了它想测的东西？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​ 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即这把尺子本身刻度是否准确。</w:t>
            </w:r>
          </w:p>
        </w:tc>
        <w:tc>
          <w:tcPr>
            <w:tcW w:w="3000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36D3C14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内容效度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：题目是否覆盖了研究构念的所有方面？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- 通过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专家评估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和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预测试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来检验。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2. 结构效度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：问卷实际测出的结构是否符合理论构想？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- 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探索性因子分析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：从数据中探索潜在结构。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- 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验证性因子分析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：验证预设的维度结构是否与数据拟合。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效标效度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：问卷得分与某个公认的“金标准”是否相关？</w:t>
            </w:r>
          </w:p>
        </w:tc>
        <w:tc>
          <w:tcPr>
            <w:tcW w:w="2638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7E14E86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1. 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内容效度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：基于扎实的文献综述和深度访谈，并请领域专家审阅。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2. </w:t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结构效度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：在预调研后进行EFA，在正式调研后进行CFA验证。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3. 尽可能与成熟量表进行关联验证。</w:t>
            </w:r>
          </w:p>
        </w:tc>
      </w:tr>
    </w:tbl>
    <w:p w14:paraId="46A522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简单比喻</w:t>
      </w:r>
      <w:r>
        <w:rPr>
          <w:rFonts w:ascii="Times New Roman" w:hAnsi="Times New Roman" w:eastAsia="宋体" w:cs="Times New Roman"/>
          <w:sz w:val="24"/>
          <w:szCs w:val="24"/>
        </w:rPr>
        <w:t>：信度好比一把刻度稳定的尺子（今天量是10cm，明天量还是10cm）；效度好比一把刻度准确的尺子（它量出的10cm确实是标准的10厘米）。一份好问卷必须同时具备较高的信度和效度。</w:t>
      </w:r>
    </w:p>
    <w:p w14:paraId="66475174">
      <w:pPr>
        <w:pStyle w:val="3"/>
        <w:bidi w:val="0"/>
        <w:rPr>
          <w:rFonts w:hint="eastAsia" w:ascii="黑体" w:hAnsi="黑体" w:eastAsia="黑体" w:cs="黑体"/>
          <w:b w:val="0"/>
          <w:bdr w:val="none" w:sz="0" w:space="0"/>
        </w:rPr>
      </w:pPr>
      <w:bookmarkStart w:id="44" w:name="_Toc24118"/>
      <w:bookmarkStart w:id="45" w:name="_Toc18284"/>
      <w:r>
        <w:rPr>
          <w:rFonts w:hint="eastAsia"/>
          <w:lang w:eastAsia="zh-CN"/>
        </w:rPr>
        <w:t>第三部分：</w:t>
      </w:r>
      <w:r>
        <w:t>从数据到结论——核心数据分析方法</w:t>
      </w:r>
      <w:bookmarkEnd w:id="44"/>
      <w:bookmarkEnd w:id="45"/>
      <w:r>
        <w:t xml:space="preserve"> </w:t>
      </w:r>
    </w:p>
    <w:p w14:paraId="5098474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数据回收后，分析流程通常如下：</w:t>
      </w:r>
    </w:p>
    <w:p w14:paraId="5413A768">
      <w:pPr>
        <w:pStyle w:val="4"/>
        <w:bidi w:val="0"/>
        <w:rPr>
          <w:rFonts w:hint="eastAsia" w:ascii="宋体" w:hAnsi="宋体" w:eastAsia="宋体" w:cs="宋体"/>
          <w:b/>
          <w:sz w:val="24"/>
          <w:szCs w:val="24"/>
          <w:bdr w:val="none" w:sz="0" w:space="0"/>
        </w:rPr>
      </w:pPr>
      <w:bookmarkStart w:id="46" w:name="_Toc27863"/>
      <w:r>
        <w:rPr>
          <w:rStyle w:val="20"/>
          <w:rFonts w:hint="eastAsia" w:cs="Times New Roman"/>
          <w:sz w:val="24"/>
          <w:szCs w:val="24"/>
          <w:lang w:eastAsia="zh-CN"/>
        </w:rPr>
        <w:t>第一步：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数据预处理（至关重要）</w:t>
      </w:r>
      <w:bookmarkEnd w:id="46"/>
    </w:p>
    <w:p w14:paraId="630010B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数据清洗</w:t>
      </w:r>
      <w:r>
        <w:rPr>
          <w:rFonts w:ascii="Times New Roman" w:hAnsi="Times New Roman" w:eastAsia="宋体" w:cs="Times New Roman"/>
          <w:sz w:val="24"/>
          <w:szCs w:val="24"/>
        </w:rPr>
        <w:t>：检查并处理无效数据（如所有题目都选同一个选项、完成时间过短）。</w:t>
      </w:r>
    </w:p>
    <w:p w14:paraId="35B6FC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反向计分</w:t>
      </w:r>
      <w:r>
        <w:rPr>
          <w:rFonts w:ascii="Times New Roman" w:hAnsi="Times New Roman" w:eastAsia="宋体" w:cs="Times New Roman"/>
          <w:sz w:val="24"/>
          <w:szCs w:val="24"/>
        </w:rPr>
        <w:t>：将反向表述的题目分数进行转换，确保所有题目计分方向一致。</w:t>
      </w:r>
    </w:p>
    <w:p w14:paraId="58BD3C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处理缺失值</w:t>
      </w:r>
      <w:r>
        <w:rPr>
          <w:rFonts w:ascii="Times New Roman" w:hAnsi="Times New Roman" w:eastAsia="宋体" w:cs="Times New Roman"/>
          <w:sz w:val="24"/>
          <w:szCs w:val="24"/>
        </w:rPr>
        <w:t>：根据情况选择删除、均值填补或插值法。</w:t>
      </w:r>
    </w:p>
    <w:p w14:paraId="23FDB34D">
      <w:pPr>
        <w:pStyle w:val="4"/>
        <w:bidi w:val="0"/>
        <w:rPr>
          <w:rFonts w:hint="eastAsia" w:ascii="宋体" w:hAnsi="宋体" w:eastAsia="宋体" w:cs="宋体"/>
          <w:b/>
          <w:sz w:val="24"/>
          <w:szCs w:val="24"/>
          <w:bdr w:val="none" w:sz="0" w:space="0"/>
        </w:rPr>
      </w:pPr>
      <w:bookmarkStart w:id="47" w:name="_Toc20428"/>
      <w:r>
        <w:rPr>
          <w:rStyle w:val="20"/>
          <w:rFonts w:hint="eastAsia" w:cs="Times New Roman"/>
          <w:sz w:val="24"/>
          <w:szCs w:val="24"/>
          <w:lang w:eastAsia="zh-CN"/>
        </w:rPr>
        <w:t>第二步：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描述性统计分析（描绘样本全貌）</w:t>
      </w:r>
      <w:bookmarkEnd w:id="47"/>
    </w:p>
    <w:p w14:paraId="0F21B2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目的</w:t>
      </w:r>
      <w:r>
        <w:rPr>
          <w:rFonts w:ascii="Times New Roman" w:hAnsi="Times New Roman" w:eastAsia="宋体" w:cs="Times New Roman"/>
          <w:sz w:val="24"/>
          <w:szCs w:val="24"/>
        </w:rPr>
        <w:t>：了解样本的基本情况和变量的分布特征。</w:t>
      </w:r>
    </w:p>
    <w:p w14:paraId="115504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方法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A5A2F9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频数与百分比</w:t>
      </w:r>
      <w:r>
        <w:rPr>
          <w:rFonts w:ascii="Times New Roman" w:hAnsi="Times New Roman" w:eastAsia="宋体" w:cs="Times New Roman"/>
          <w:sz w:val="24"/>
          <w:szCs w:val="24"/>
        </w:rPr>
        <w:t>：用于分类变量（如性别、专业）。</w:t>
      </w:r>
    </w:p>
    <w:p w14:paraId="6E315C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均值与标准差</w:t>
      </w:r>
      <w:r>
        <w:rPr>
          <w:rFonts w:ascii="Times New Roman" w:hAnsi="Times New Roman" w:eastAsia="宋体" w:cs="Times New Roman"/>
          <w:sz w:val="24"/>
          <w:szCs w:val="24"/>
        </w:rPr>
        <w:t>：用于连续变量或量表总分，描述数据的集中和离散趋势。</w:t>
      </w:r>
    </w:p>
    <w:p w14:paraId="1FFB0E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交叉表</w:t>
      </w:r>
      <w:r>
        <w:rPr>
          <w:rFonts w:ascii="Times New Roman" w:hAnsi="Times New Roman" w:eastAsia="宋体" w:cs="Times New Roman"/>
          <w:sz w:val="24"/>
          <w:szCs w:val="24"/>
        </w:rPr>
        <w:t>：初步观察两个分类变量之间的关系（如不同性别在婚恋意愿上的分布）。</w:t>
      </w:r>
    </w:p>
    <w:p w14:paraId="108CFB14">
      <w:pPr>
        <w:pStyle w:val="4"/>
        <w:bidi w:val="0"/>
        <w:rPr>
          <w:rFonts w:hint="eastAsia" w:ascii="宋体" w:hAnsi="宋体" w:eastAsia="宋体" w:cs="宋体"/>
          <w:b/>
          <w:sz w:val="24"/>
          <w:szCs w:val="24"/>
          <w:bdr w:val="none" w:sz="0" w:space="0"/>
        </w:rPr>
      </w:pPr>
      <w:bookmarkStart w:id="48" w:name="_Toc5371"/>
      <w:r>
        <w:rPr>
          <w:rStyle w:val="20"/>
          <w:rFonts w:hint="eastAsia" w:cs="Times New Roman"/>
          <w:sz w:val="24"/>
          <w:szCs w:val="24"/>
          <w:lang w:eastAsia="zh-CN"/>
        </w:rPr>
        <w:t>第三步：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推断性统计分析（探索关系与检验假设）</w:t>
      </w:r>
      <w:bookmarkEnd w:id="48"/>
    </w:p>
    <w:p w14:paraId="52401D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根据你的研究问题和变量类型，选择合适的方法：</w:t>
      </w:r>
    </w:p>
    <w:tbl>
      <w:tblPr>
        <w:tblW w:w="8314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3"/>
        <w:gridCol w:w="1271"/>
        <w:gridCol w:w="1015"/>
        <w:gridCol w:w="5155"/>
      </w:tblGrid>
      <w:tr w14:paraId="4C79D14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A91166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分析目的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3FFF1E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变量类型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725DAE0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可选方法</w:t>
            </w:r>
          </w:p>
        </w:tc>
        <w:tc>
          <w:tcPr>
            <w:tcW w:w="5155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761D9F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举例（婚恋观研究）</w:t>
            </w:r>
          </w:p>
        </w:tc>
      </w:tr>
      <w:tr w14:paraId="2C8A097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9485E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比较组间差异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56A2D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自变量：分类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因变量：连续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E137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T检验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（2组）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方差分析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（≥3组）</w:t>
            </w:r>
          </w:p>
        </w:tc>
        <w:tc>
          <w:tcPr>
            <w:tcW w:w="5155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C608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比较男、女在“婚育意愿”总分上是否存在显著差异（T检验）。比较不同年级学生的差异（ANOVA）。</w:t>
            </w:r>
          </w:p>
        </w:tc>
      </w:tr>
      <w:tr w14:paraId="44FC812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86BA49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分析变量间关系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B98B81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两变量均为连续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98F1D2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相关分析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DCE254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分析“个人经济压力感知”与“理想结婚年龄”之间的相关性。</w:t>
            </w:r>
          </w:p>
        </w:tc>
      </w:tr>
      <w:tr w14:paraId="5D71687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678E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预测与解释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07D77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自变量：连续/分类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因变量：连续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87C6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线性回归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4CC84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以“婚育意愿”为因变量，以“性别”、“经济压力”、“父母婚姻质量”等为自变量，看哪些因素能显著预测意愿。</w:t>
            </w:r>
          </w:p>
        </w:tc>
      </w:tr>
      <w:tr w14:paraId="6EBF1DC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5B6F63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预测与解释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DF8C8B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自变量：连续/分类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因变量：分类（如是否）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7433D1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逻辑回归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12B90C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预测一个学生“是否打算在大学期间恋爱”（是/否）的影响因素。</w:t>
            </w:r>
          </w:p>
        </w:tc>
      </w:tr>
      <w:tr w14:paraId="281D64F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A3F4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探索潜在结构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841EC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多个连续变量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3F8E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因子分析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D768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对你设计的30个婚恋观题目进行降维，探索背后隐藏的3-5个核心维度（如“传统价值”、“个人主义”）。</w:t>
            </w:r>
          </w:p>
        </w:tc>
      </w:tr>
      <w:tr w14:paraId="0962628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4DAFCCE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检验理论模型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64B0824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涉及多个变量和路径</w:t>
            </w:r>
          </w:p>
        </w:tc>
        <w:tc>
          <w:tcPr>
            <w:tcW w:w="1015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505CF3B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结构方程模型</w:t>
            </w: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5155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1AF09B0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检验一个复杂的理论路径，如“社交媒体使用” → 增强“个体主义观念” → 降低“传统婚育意愿”。</w:t>
            </w:r>
          </w:p>
        </w:tc>
      </w:tr>
    </w:tbl>
    <w:p w14:paraId="5C3CFEE5">
      <w:pPr>
        <w:pStyle w:val="3"/>
        <w:bidi w:val="0"/>
        <w:rPr>
          <w:rFonts w:hint="eastAsia"/>
        </w:rPr>
      </w:pPr>
      <w:bookmarkStart w:id="49" w:name="_Toc29246"/>
      <w:bookmarkStart w:id="50" w:name="_Toc1078"/>
      <w:r>
        <w:rPr>
          <w:rFonts w:hint="eastAsia"/>
          <w:lang w:eastAsia="zh-CN"/>
        </w:rPr>
        <w:t>第四部分：</w:t>
      </w:r>
      <w:r>
        <w:t>实践建议</w:t>
      </w:r>
      <w:bookmarkEnd w:id="49"/>
      <w:bookmarkEnd w:id="50"/>
      <w:r>
        <w:t xml:space="preserve"> </w:t>
      </w:r>
    </w:p>
    <w:p w14:paraId="00A0C4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预调研是必须的</w:t>
      </w:r>
      <w:r>
        <w:rPr>
          <w:rFonts w:ascii="Times New Roman" w:hAnsi="Times New Roman" w:eastAsia="宋体" w:cs="Times New Roman"/>
          <w:sz w:val="24"/>
          <w:szCs w:val="24"/>
        </w:rPr>
        <w:t>：在正式发放前，找20-50名与目标样本相似的人进行测试。主要检查：题目是否易懂？选项是否齐全？完成时间多长？并计算初始信度（Cronbach‘s α），删除不良题目。</w:t>
      </w:r>
    </w:p>
    <w:p w14:paraId="6D5D07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善用成熟量表</w:t>
      </w:r>
      <w:r>
        <w:rPr>
          <w:rFonts w:ascii="Times New Roman" w:hAnsi="Times New Roman" w:eastAsia="宋体" w:cs="Times New Roman"/>
          <w:sz w:val="24"/>
          <w:szCs w:val="24"/>
        </w:rPr>
        <w:t>：正如之前分析，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文档2的量表</w:t>
      </w:r>
      <w:r>
        <w:rPr>
          <w:rFonts w:ascii="Times New Roman" w:hAnsi="Times New Roman" w:eastAsia="宋体" w:cs="Times New Roman"/>
          <w:sz w:val="24"/>
          <w:szCs w:val="24"/>
        </w:rPr>
        <w:t>信效度已得到验证，是你们最可靠的基石。在此基础上，结合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文档4、5</w:t>
      </w:r>
      <w:r>
        <w:rPr>
          <w:rFonts w:ascii="Times New Roman" w:hAnsi="Times New Roman" w:eastAsia="宋体" w:cs="Times New Roman"/>
          <w:sz w:val="24"/>
          <w:szCs w:val="24"/>
        </w:rPr>
        <w:t>的具体问题加以补充和情境化。</w:t>
      </w:r>
    </w:p>
    <w:p w14:paraId="6F490A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明确分析计划</w:t>
      </w:r>
      <w:r>
        <w:rPr>
          <w:rFonts w:ascii="Times New Roman" w:hAnsi="Times New Roman" w:eastAsia="宋体" w:cs="Times New Roman"/>
          <w:sz w:val="24"/>
          <w:szCs w:val="24"/>
        </w:rPr>
        <w:t>：在设计问卷时，就要想好未来用什么方法分析。例如，如果你想做回归分析，就要确保核心变量（如“意愿”）是用连续或可分类的方式测量的。</w:t>
      </w:r>
    </w:p>
    <w:p w14:paraId="145C13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工具选择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：数据分析可使用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SPSS</w:t>
      </w:r>
      <w:r>
        <w:rPr>
          <w:rFonts w:ascii="Times New Roman" w:hAnsi="Times New Roman" w:eastAsia="宋体" w:cs="Times New Roman"/>
          <w:sz w:val="24"/>
          <w:szCs w:val="24"/>
        </w:rPr>
        <w:t>（入门友好）、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R</w:t>
      </w:r>
      <w:r>
        <w:rPr>
          <w:rFonts w:ascii="Times New Roman" w:hAnsi="Times New Roman" w:eastAsia="宋体" w:cs="Times New Roman"/>
          <w:sz w:val="24"/>
          <w:szCs w:val="24"/>
        </w:rPr>
        <w:t xml:space="preserve">​ 或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Python</w:t>
      </w:r>
      <w:r>
        <w:rPr>
          <w:rFonts w:ascii="Times New Roman" w:hAnsi="Times New Roman" w:eastAsia="宋体" w:cs="Times New Roman"/>
          <w:sz w:val="24"/>
          <w:szCs w:val="24"/>
        </w:rPr>
        <w:t xml:space="preserve">（更灵活强大）。可视化工具推荐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Excel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SPSS</w:t>
      </w:r>
      <w:r>
        <w:rPr>
          <w:rFonts w:ascii="Times New Roman" w:hAnsi="Times New Roman" w:eastAsia="宋体" w:cs="Times New Roman"/>
          <w:sz w:val="24"/>
          <w:szCs w:val="24"/>
        </w:rPr>
        <w:t>​ 或在线图表工具。</w:t>
      </w:r>
    </w:p>
    <w:p w14:paraId="36FA27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总结</w:t>
      </w:r>
      <w:r>
        <w:rPr>
          <w:rFonts w:ascii="Times New Roman" w:hAnsi="Times New Roman" w:eastAsia="宋体" w:cs="Times New Roman"/>
          <w:sz w:val="24"/>
          <w:szCs w:val="24"/>
        </w:rPr>
        <w:t>：一份合格的问卷始于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清晰的理论构思和严谨的设计</w:t>
      </w:r>
      <w:r>
        <w:rPr>
          <w:rFonts w:ascii="Times New Roman" w:hAnsi="Times New Roman" w:eastAsia="宋体" w:cs="Times New Roman"/>
          <w:sz w:val="24"/>
          <w:szCs w:val="24"/>
        </w:rPr>
        <w:t>，经过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信效度的严格检验</w:t>
      </w:r>
      <w:r>
        <w:rPr>
          <w:rFonts w:ascii="Times New Roman" w:hAnsi="Times New Roman" w:eastAsia="宋体" w:cs="Times New Roman"/>
          <w:sz w:val="24"/>
          <w:szCs w:val="24"/>
        </w:rPr>
        <w:t>，最终通过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恰当的数据分析方法</w:t>
      </w:r>
      <w:r>
        <w:rPr>
          <w:rFonts w:ascii="Times New Roman" w:hAnsi="Times New Roman" w:eastAsia="宋体" w:cs="Times New Roman"/>
          <w:sz w:val="24"/>
          <w:szCs w:val="24"/>
        </w:rPr>
        <w:t>转化为可靠的结论。你们现在手握优秀的文献和成熟的量表，只要遵循以上科学流程，就能为项目打下坚实的数据基础。</w:t>
      </w:r>
    </w:p>
    <w:p w14:paraId="331D77A1">
      <w:pPr>
        <w:rPr>
          <w:rFonts w:hint="default"/>
          <w:lang w:val="en-US" w:eastAsia="zh-CN"/>
        </w:rPr>
      </w:pPr>
    </w:p>
    <w:p w14:paraId="2361EB5E">
      <w:pP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</w:pPr>
      <w:bookmarkStart w:id="51" w:name="_Toc19069"/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br w:type="page"/>
      </w:r>
    </w:p>
    <w:p w14:paraId="3327863F">
      <w:pPr>
        <w:keepNext/>
        <w:keepLines w:val="0"/>
        <w:pageBreakBefore/>
        <w:widowControl w:val="0"/>
        <w:bidi w:val="0"/>
        <w:adjustRightInd w:val="0"/>
        <w:spacing w:beforeLines="100" w:afterLines="100" w:line="240" w:lineRule="auto"/>
        <w:jc w:val="left"/>
        <w:outlineLvl w:val="0"/>
        <w:rPr>
          <w:rFonts w:hint="default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</w:pPr>
      <w:bookmarkStart w:id="52" w:name="_Toc11856"/>
      <w:bookmarkStart w:id="53" w:name="_Toc8032"/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t>附录1 论文对应列表</w:t>
      </w:r>
      <w:bookmarkEnd w:id="51"/>
      <w:bookmarkEnd w:id="52"/>
      <w:bookmarkEnd w:id="53"/>
    </w:p>
    <w:tbl>
      <w:tblPr>
        <w:tblW w:w="8522" w:type="dxa"/>
        <w:jc w:val="center"/>
        <w:tblBorders>
          <w:top w:val="none" w:color="E0E0E0" w:sz="2" w:space="0"/>
          <w:left w:val="none" w:color="E0E0E0" w:sz="2" w:space="0"/>
          <w:bottom w:val="none" w:color="E0E0E0" w:sz="2" w:space="0"/>
          <w:right w:val="non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6312"/>
        <w:gridCol w:w="1105"/>
      </w:tblGrid>
      <w:tr w14:paraId="1F2AAA4F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05" w:type="dxa"/>
            <w:tcBorders>
              <w:top w:val="single" w:color="E0E0E0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13E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outlineLvl w:val="9"/>
              <w:rPr>
                <w:rFonts w:asciiTheme="minorHAnsi" w:hAnsiTheme="minorHAnsi" w:eastAsiaTheme="minorEastAsia" w:cstheme="minorBidi"/>
                <w:b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文档序号</w:t>
            </w:r>
          </w:p>
        </w:tc>
        <w:tc>
          <w:tcPr>
            <w:tcW w:w="6311" w:type="dxa"/>
            <w:tcBorders>
              <w:top w:val="single" w:color="E0E0E0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8C67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bdr w:val="none" w:color="auto" w:sz="0" w:space="0"/>
              </w:rPr>
              <w:t>文档标题</w:t>
            </w:r>
          </w:p>
        </w:tc>
        <w:tc>
          <w:tcPr>
            <w:tcW w:w="1105" w:type="dxa"/>
            <w:tcBorders>
              <w:top w:val="single" w:color="E0E0E0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5712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bdr w:val="none" w:color="auto" w:sz="0" w:space="0"/>
              </w:rPr>
              <w:t>第一作者</w:t>
            </w:r>
          </w:p>
        </w:tc>
      </w:tr>
      <w:tr w14:paraId="0043848E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single" w:color="E0E0E0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CDAF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文档1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single" w:color="E0E0E0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01AD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大学生婚恋观现状、影响因素及对策研究——以西安某学院为例</w:t>
            </w:r>
          </w:p>
        </w:tc>
        <w:tc>
          <w:tcPr>
            <w:tcW w:w="1105" w:type="dxa"/>
            <w:tcBorders>
              <w:top w:val="single" w:color="E0E0E0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2F61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毛旭阳</w:t>
            </w:r>
          </w:p>
        </w:tc>
      </w:tr>
      <w:tr w14:paraId="401D9412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6AD3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文档2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027B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大学生婚恋观现状、影响因素及影响路径探析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D7F9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于力超</w:t>
            </w:r>
          </w:p>
        </w:tc>
      </w:tr>
      <w:tr w14:paraId="116042FC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06CC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文档3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BE07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当代大学生婚恋观的多维特征与深层逻辑——基于社会转型中的代际变迁视角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F4D8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张樱樱</w:t>
            </w:r>
          </w:p>
        </w:tc>
      </w:tr>
      <w:tr w14:paraId="7BF3679B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03E5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文档4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12D7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低生育率下当代大学生恋爱、婚姻与生育观念发展动向——基于全国32282份调查数据的分析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B442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茅倬彦</w:t>
            </w:r>
          </w:p>
        </w:tc>
      </w:tr>
      <w:tr w14:paraId="49FC307C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62AD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文档5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441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中国的婚姻和生育去制度化了吗——基于中国大学生婚育观调查的发现与讨论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20D2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李婷</w:t>
            </w:r>
          </w:p>
        </w:tc>
      </w:tr>
      <w:tr w14:paraId="026AACE8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80BE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文档6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1CF6D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我国传统婚姻观念与当代大学生婚姻观念的冲突与融合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FF48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杨芳</w:t>
            </w:r>
          </w:p>
        </w:tc>
      </w:tr>
      <w:tr w14:paraId="468DB50A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4185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文档7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FDFB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新时代高等教育对大学生婚恋观的塑造机制与影响路径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7D54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柳絮</w:t>
            </w:r>
          </w:p>
        </w:tc>
      </w:tr>
      <w:tr w14:paraId="1BB33C9C">
        <w:tblPrEx>
          <w:tblBorders>
            <w:top w:val="none" w:color="E0E0E0" w:sz="2" w:space="0"/>
            <w:left w:val="none" w:color="E0E0E0" w:sz="2" w:space="0"/>
            <w:bottom w:val="none" w:color="E0E0E0" w:sz="2" w:space="0"/>
            <w:right w:val="non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05" w:type="dxa"/>
            <w:tcBorders>
              <w:top w:val="nil"/>
              <w:left w:val="nil"/>
              <w:bottom w:val="single" w:color="E0E0E0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089C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rStyle w:val="20"/>
                <w:sz w:val="22"/>
                <w:szCs w:val="22"/>
                <w:bdr w:val="none" w:color="auto" w:sz="0" w:space="0"/>
              </w:rPr>
              <w:t>文档8</w:t>
            </w:r>
            <w:r>
              <w:rPr>
                <w:sz w:val="22"/>
                <w:szCs w:val="22"/>
                <w:bdr w:val="none" w:color="auto" w:sz="0" w:space="0"/>
              </w:rPr>
              <w:t>​</w:t>
            </w:r>
          </w:p>
        </w:tc>
        <w:tc>
          <w:tcPr>
            <w:tcW w:w="6311" w:type="dxa"/>
            <w:tcBorders>
              <w:top w:val="nil"/>
              <w:left w:val="nil"/>
              <w:bottom w:val="single" w:color="E0E0E0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11B3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“00后”大学生恋爱观状况及有效引导研究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E0E0E0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4EEE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刘啸天</w:t>
            </w:r>
          </w:p>
        </w:tc>
      </w:tr>
    </w:tbl>
    <w:p w14:paraId="557B7804">
      <w:pPr>
        <w:rPr>
          <w:rFonts w:hint="default"/>
          <w:lang w:val="en-US" w:eastAsia="zh-CN"/>
        </w:rPr>
      </w:pPr>
    </w:p>
    <w:p w14:paraId="00167085">
      <w:pPr>
        <w:rPr>
          <w:rFonts w:hint="default"/>
          <w:lang w:val="en-US" w:eastAsia="zh-CN"/>
        </w:rPr>
      </w:pPr>
    </w:p>
    <w:p w14:paraId="30961900">
      <w:pPr>
        <w:keepNext/>
        <w:keepLines w:val="0"/>
        <w:widowControl w:val="0"/>
        <w:bidi w:val="0"/>
        <w:adjustRightInd w:val="0"/>
        <w:spacing w:beforeLines="100" w:afterLines="100" w:line="240" w:lineRule="auto"/>
        <w:jc w:val="both"/>
        <w:outlineLvl w:val="0"/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</w:pPr>
      <w:bookmarkStart w:id="54" w:name="_Toc18762"/>
      <w:bookmarkStart w:id="55" w:name="_Toc25541"/>
      <w:r>
        <w:rPr>
          <w:rFonts w:hint="eastAsia" w:ascii="Times New Roman" w:hAnsi="Times New Roman" w:eastAsia="黑体" w:cs="Times New Roman"/>
          <w:kern w:val="44"/>
          <w:sz w:val="32"/>
          <w:szCs w:val="32"/>
          <w:lang w:val="en-US" w:eastAsia="zh-CN" w:bidi="ar-SA"/>
        </w:rPr>
        <w:t>附录2 名词详解</w:t>
      </w:r>
      <w:bookmarkEnd w:id="54"/>
      <w:bookmarkEnd w:id="55"/>
    </w:p>
    <w:p w14:paraId="330C876D">
      <w:pPr>
        <w:pStyle w:val="3"/>
        <w:bidi w:val="0"/>
        <w:rPr>
          <w:rFonts w:ascii="Times New Roman" w:hAnsi="Times New Roman" w:eastAsia="黑体" w:cs="Times New Roman"/>
          <w:kern w:val="2"/>
          <w:sz w:val="24"/>
          <w:szCs w:val="24"/>
          <w:lang w:bidi="ar-SA"/>
        </w:rPr>
      </w:pPr>
      <w:bookmarkStart w:id="56" w:name="_Toc9115"/>
      <w:r>
        <w:rPr>
          <w:rFonts w:ascii="Times New Roman" w:hAnsi="Times New Roman" w:eastAsia="黑体" w:cs="Times New Roman"/>
          <w:b/>
          <w:kern w:val="2"/>
          <w:sz w:val="24"/>
          <w:szCs w:val="24"/>
          <w:lang w:bidi="ar-SA"/>
        </w:rPr>
        <w:t>一、核心概念详解</w:t>
      </w:r>
      <w:bookmarkEnd w:id="56"/>
      <w:r>
        <w:rPr>
          <w:rFonts w:ascii="Times New Roman" w:hAnsi="Times New Roman" w:eastAsia="黑体" w:cs="Times New Roman"/>
          <w:kern w:val="2"/>
          <w:sz w:val="24"/>
          <w:szCs w:val="24"/>
          <w:lang w:bidi="ar-SA"/>
        </w:rPr>
        <w:t xml:space="preserve"> </w:t>
      </w:r>
    </w:p>
    <w:p w14:paraId="091BA979">
      <w:pPr>
        <w:pStyle w:val="4"/>
        <w:bidi w:val="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bookmarkStart w:id="57" w:name="_Toc4347"/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1. 核心量表</w:t>
      </w:r>
      <w:bookmarkEnd w:id="57"/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 </w:t>
      </w:r>
    </w:p>
    <w:p w14:paraId="393417C8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是什么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：指研究中用于测量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核心抽象概念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的标准化工具。这些概念无法直接观察（如“幸福感”、“婚恋观”、“焦虑水平”），必须通过一系列精心设计的问题（题项）来间接测量。</w:t>
      </w:r>
    </w:p>
    <w:p w14:paraId="1E8D6C45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为什么重要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：它是你研究的“尺子”。尺子不准，一切测量结果都无效。使用成熟、信效度高的核心量表，是确保研究科学性的基石。</w:t>
      </w:r>
    </w:p>
    <w:p w14:paraId="4CFAA564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在你们研究中的应用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 w14:paraId="4D693DB6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直接引用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：你文档2中的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“7维度婚恋观量表”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​ 就是一个完美的核心量表。它通过35个左右的题目，系统测量了“婚姻角色观”、“婚姻忠诚观”等7个抽象维度。</w:t>
      </w:r>
    </w:p>
    <w:p w14:paraId="187C1186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自行开发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：如果你要测量一个全新的概念（如“Z世代网络婚恋文化认同”），就需要自己开发量表，过程包括：文献梳理→定义概念→生成题项池→专家评审→预测试→进行EFA和CFA验证→形成最终量表。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强烈建议你们优先采用或改编成熟量表。</w:t>
      </w:r>
    </w:p>
    <w:p w14:paraId="5E0FCA40">
      <w:pPr>
        <w:pStyle w:val="4"/>
        <w:bidi w:val="0"/>
      </w:pPr>
      <w:bookmarkStart w:id="58" w:name="_Toc1633"/>
      <w:r>
        <w:t>2. Cronbach‘s α系数</w:t>
      </w:r>
      <w:bookmarkEnd w:id="58"/>
      <w:r>
        <w:t xml:space="preserve"> </w:t>
      </w:r>
    </w:p>
    <w:p w14:paraId="147C6709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是什么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：衡量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量表内部一致性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的最常用信度指标。简单说，就是看一个量表中所有题目是否在“齐心协力”地测量同一个东西。</w:t>
      </w:r>
    </w:p>
    <w:p w14:paraId="351A48F2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如何计算与解读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：系数范围在0到1之间。</w:t>
      </w:r>
    </w:p>
    <w:p w14:paraId="5F7ADFD4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α &gt; 0.9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：信度极佳。</w:t>
      </w:r>
    </w:p>
    <w:p w14:paraId="5D594E65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0.8 ≤ α &lt; 0.9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：信度良好（大多数研究追求的目标）。</w:t>
      </w:r>
    </w:p>
    <w:p w14:paraId="36B0F4C6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0.7 ≤ α &lt; 0.8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：信度可以接受。</w:t>
      </w:r>
    </w:p>
    <w:p w14:paraId="4DFAC633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α &lt; 0.7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：信度不佳，需要修订或删除部分题目。</w:t>
      </w:r>
    </w:p>
    <w:p w14:paraId="318ECAFE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在你们研究中的应用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：在预调研后，你需要用SPSS等软件计算你们问卷中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每个子量表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（如文档2的7个维度）的α系数。如果“婚姻忠诚观”维度的α系数低于0.7，说明那几道题可能测的不是同一个“忠诚观”，需要检查并修改。</w:t>
      </w:r>
    </w:p>
    <w:p w14:paraId="41826098">
      <w:pPr>
        <w:pStyle w:val="3"/>
        <w:bidi w:val="0"/>
        <w:rPr>
          <w:rFonts w:ascii="Times New Roman" w:hAnsi="Times New Roman" w:eastAsia="黑体" w:cs="Times New Roman"/>
          <w:kern w:val="2"/>
          <w:sz w:val="24"/>
          <w:szCs w:val="24"/>
          <w:lang w:bidi="ar-SA"/>
        </w:rPr>
      </w:pPr>
      <w:bookmarkStart w:id="59" w:name="_Toc24845"/>
      <w:r>
        <w:rPr>
          <w:rFonts w:ascii="Times New Roman" w:hAnsi="Times New Roman" w:eastAsia="黑体" w:cs="Times New Roman"/>
          <w:b/>
          <w:kern w:val="2"/>
          <w:sz w:val="24"/>
          <w:szCs w:val="24"/>
          <w:lang w:bidi="ar-SA"/>
        </w:rPr>
        <w:t>二、核心分析方法详解</w:t>
      </w:r>
      <w:bookmarkEnd w:id="59"/>
      <w:r>
        <w:rPr>
          <w:rFonts w:ascii="Times New Roman" w:hAnsi="Times New Roman" w:eastAsia="黑体" w:cs="Times New Roman"/>
          <w:kern w:val="2"/>
          <w:sz w:val="24"/>
          <w:szCs w:val="24"/>
          <w:lang w:bidi="ar-SA"/>
        </w:rPr>
        <w:t xml:space="preserve"> </w:t>
      </w:r>
    </w:p>
    <w:p w14:paraId="6ED83528">
      <w:pPr>
        <w:pStyle w:val="4"/>
        <w:bidi w:val="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bookmarkStart w:id="60" w:name="_Toc1568"/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1. 探索性因子分析 &amp; 验证性因子分析</w:t>
      </w:r>
      <w:bookmarkEnd w:id="60"/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 </w:t>
      </w:r>
    </w:p>
    <w:p w14:paraId="2C2E2C9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这是检验量表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结构效度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的一对组合拳。</w:t>
      </w:r>
    </w:p>
    <w:p w14:paraId="2661B4D0">
      <w:pPr>
        <w:pStyle w:val="5"/>
        <w:bidi w:val="0"/>
        <w:ind w:firstLine="482" w:firstLineChars="200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探索性因子分析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 w14:paraId="2AD05C25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目的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：当你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不确定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数据背后隐藏着几个维度时，用它来“探索”和“降维”。比如，你设计了20个关于婚恋态度的问题，EFA可以帮你发现这20个问题实际上聚合成“传统家庭取向”、“个人自由取向”等3-4个核心因子。</w:t>
      </w:r>
    </w:p>
    <w:p w14:paraId="260662E1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操作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：用SPSS的“因子分析”功能。关键看：</w:t>
      </w:r>
    </w:p>
    <w:p w14:paraId="0972DDC7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KMO和巴特利特检验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：KMO &gt; 0.7，巴特利特检验显著，才适合做EFA。</w:t>
      </w:r>
    </w:p>
    <w:p w14:paraId="5EFBC7DB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因子载荷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：每个题目在其所属因子上的载荷值最好 &gt; 0.5，说明它和该因子关系紧密。</w:t>
      </w:r>
    </w:p>
    <w:p w14:paraId="2E4FC9D7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总方差解释率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：提取出的因子能解释总方差的多少，通常 &gt; 60%较好。</w:t>
      </w:r>
    </w:p>
    <w:p w14:paraId="53679F12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何时用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量表开发阶段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或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首次使用某个改编量表时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</w:p>
    <w:p w14:paraId="5B3D67FC">
      <w:pPr>
        <w:pStyle w:val="5"/>
        <w:bidi w:val="0"/>
        <w:ind w:firstLine="482" w:firstLineChars="200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验证性因子分析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 w14:paraId="7BC6951D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目的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：当你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已经有明确的维度假设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时，用它来“验证”数据是否符合你预设的结构。例如，你想验证文档2的“7维度模型”是否适用于你的样本数据。</w:t>
      </w:r>
    </w:p>
    <w:p w14:paraId="388BFB9F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操作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：需要使用更专业的软件（如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AMOS, Mplus, R的lavaan包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）。它通过拟合指数来判断模型好坏：</w:t>
      </w:r>
    </w:p>
    <w:p w14:paraId="6CEBCABE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χ²/df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：&lt; 3 良好，&lt; 5 可接受。</w:t>
      </w:r>
    </w:p>
    <w:p w14:paraId="7D1112D2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RMSEA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：&lt; 0.08 良好，&lt; 0.1 可接受。</w:t>
      </w:r>
    </w:p>
    <w:p w14:paraId="31A2C53D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CFI/TLI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：&gt; 0.9 良好，越接近1越好。</w:t>
      </w:r>
    </w:p>
    <w:p w14:paraId="615635AC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何时用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正式验证成熟量表的结构时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。在你们研究中，如果直接采用文档2的7维度量表，在收集正式数据后，就应该做CFA来验证这个结构是否成立。</w:t>
      </w:r>
    </w:p>
    <w:p w14:paraId="39BE227D">
      <w:pPr>
        <w:pStyle w:val="4"/>
        <w:bidi w:val="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bookmarkStart w:id="61" w:name="_Toc1682"/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2. T检验 &amp; 方差分析</w:t>
      </w:r>
      <w:bookmarkEnd w:id="61"/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 </w:t>
      </w:r>
    </w:p>
    <w:p w14:paraId="29C5A1DB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目的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：比较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两组或多组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数据在某个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连续变量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上的平均值是否存在显著差异。</w:t>
      </w:r>
    </w:p>
    <w:p w14:paraId="1BAE2189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区别与选择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 w14:paraId="0B057F37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独立样本T检验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：比较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两个独立组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的均值。例如，比较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男生 vs 女生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在“结婚意愿”得分上是否有显著差异。</w:t>
      </w:r>
    </w:p>
    <w:p w14:paraId="5EE44B07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配对样本T检验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：比较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同一组人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在两个不同时间点或两种相关条件下的均值。例如，比较同一批学生在参加婚恋教育课程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前 vs 后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的婚恋观得分。</w:t>
      </w:r>
    </w:p>
    <w:p w14:paraId="0C572123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单因素方差分析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：比较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三个或以上独立组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的均值。例如，比较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文科、理科、工科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学生在“生育意愿”上是否有显著差异。如果ANOVA结果显著，还需进行“事后检验”来具体找出是哪两组之间有差异。</w:t>
      </w:r>
    </w:p>
    <w:p w14:paraId="7DAF9AE1">
      <w:pPr>
        <w:pStyle w:val="4"/>
        <w:bidi w:val="0"/>
      </w:pPr>
      <w:bookmarkStart w:id="62" w:name="_Toc18795"/>
      <w:r>
        <w:t>3. 线性回归分析</w:t>
      </w:r>
      <w:bookmarkEnd w:id="62"/>
      <w:r>
        <w:t xml:space="preserve"> </w:t>
      </w:r>
    </w:p>
    <w:p w14:paraId="21BBD663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目的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：探究一个或多个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自变量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如何影响一个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连续型因变量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，并建立预测方程。</w:t>
      </w:r>
    </w:p>
    <w:p w14:paraId="46177840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核心输出解读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（以SPSS为例）：</w:t>
      </w:r>
    </w:p>
    <w:p w14:paraId="06F60941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R²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：模型解释力。表示所有自变量共同解释了因变量百分之多少的变化。例如R²=0.25，意味着模型能解释“婚育意愿”25%的变异。</w:t>
      </w:r>
    </w:p>
    <w:p w14:paraId="040164B2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标准化系数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：比较不同自变量影响力的标准。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绝对值越大，影响力越大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。正负号代表影响方向。</w:t>
      </w:r>
    </w:p>
    <w:p w14:paraId="170509F1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p值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：判断每个自变量的影响是否具有统计学意义。通常p &lt; 0.05认为显著。</w:t>
      </w:r>
    </w:p>
    <w:p w14:paraId="781C2535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在你们研究中的应用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：你可以以“婚育意愿总分”为因变量，以“性别”、“家庭收入”、“个人主义价值观得分”、“社交媒体使用时长”等为自变量，做线性回归。结果会告诉你，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在控制其他因素的情况下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，哪个因素对意愿的影响最大、是正向还是负向。</w:t>
      </w:r>
    </w:p>
    <w:p w14:paraId="1FF6055D">
      <w:pPr>
        <w:pStyle w:val="4"/>
        <w:bidi w:val="0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bookmarkStart w:id="63" w:name="_Toc15045"/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4. 因子分析</w:t>
      </w:r>
      <w:bookmarkEnd w:id="63"/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 </w:t>
      </w:r>
    </w:p>
    <w:p w14:paraId="2F4A151C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广义理解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：包括EFA和CFA，是一种“降维”和“探索结构”的高级统计方法。</w:t>
      </w:r>
    </w:p>
    <w:p w14:paraId="5D2B88CC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核心思想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：许多可观测变量（问卷题目）背后可能存在少数几个无法直接观测的“潜在因子”。例如，10个关于消费的问题，可能背后只由“实用主义因子”和“享乐主义因子”驱动。</w:t>
      </w:r>
    </w:p>
    <w:p w14:paraId="34155629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与EFA/CFA的关系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：EFA是因子分析的一种，侧重于探索；CFA是结构方程模型的特例，侧重于验证。</w:t>
      </w:r>
    </w:p>
    <w:p w14:paraId="48651511">
      <w:pPr>
        <w:pStyle w:val="4"/>
        <w:bidi w:val="0"/>
      </w:pPr>
      <w:bookmarkStart w:id="64" w:name="_Toc26044"/>
      <w:r>
        <w:t>5. 结构方程模型</w:t>
      </w:r>
      <w:bookmarkEnd w:id="64"/>
      <w:r>
        <w:t xml:space="preserve"> </w:t>
      </w:r>
    </w:p>
    <w:p w14:paraId="296C7F13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是什么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：一个强大的“模型验证”工具箱。它可以同时处理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多个自变量、多个因变量、潜在变量（因子）以及变量间的复杂路径关系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</w:p>
    <w:p w14:paraId="1E431127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为什么强大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 w14:paraId="62A84969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能同时进行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测量模型分析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（即CFA，验证你的量表结构）和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结构模型分析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（检验因子之间的路径关系）。</w:t>
      </w:r>
    </w:p>
    <w:p w14:paraId="37971CB0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可以处理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潜在变量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（用多个题目来代表的抽象概念，如“经济压力”）。</w:t>
      </w:r>
    </w:p>
    <w:p w14:paraId="62D7CC86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可以一次性检验一个包含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中介效应、调节效应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的完整理论模型。</w:t>
      </w:r>
    </w:p>
    <w:p w14:paraId="6C50C110">
      <w:pPr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在你们研究中的应用（一个高级假设示例）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 w14:paraId="046F710D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测量模型部分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：验证“传统观念”、“个人主义”、“经济压力”这三个潜在变量是否都由各自的题目有效测量。</w:t>
      </w:r>
    </w:p>
    <w:p w14:paraId="7B3B9274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结构模型部分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：检验以下路径是否成立：</w:t>
      </w:r>
    </w:p>
    <w:p w14:paraId="62C2BF3C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“社交媒体使用” → 增强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“个人主义”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​ → 降低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“婚育意愿”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</w:p>
    <w:p w14:paraId="0D61283E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“家庭背景” → 影响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“经济压力”感知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​ → 降低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“婚育意愿”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</w:p>
    <w:p w14:paraId="0D406AFB">
      <w:pPr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left"/>
        <w:outlineLvl w:val="9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“传统观念”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​ 直接正向影响 </w:t>
      </w: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“婚育意愿”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</w:p>
    <w:p w14:paraId="318D100D">
      <w:pPr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left"/>
        <w:outlineLvl w:val="9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软件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：通常使用AMOS, Mplus, R的lavaan包等。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E620D"/>
    <w:rsid w:val="26915C12"/>
    <w:rsid w:val="2CAE175C"/>
    <w:rsid w:val="77D81D18"/>
    <w:rsid w:val="799E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0">
    <w:name w:val="Strong"/>
    <w:basedOn w:val="19"/>
    <w:qFormat/>
    <w:uiPriority w:val="0"/>
    <w:rPr>
      <w:b/>
    </w:rPr>
  </w:style>
  <w:style w:type="paragraph" w:customStyle="1" w:styleId="21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2">
    <w:name w:val="表格标题"/>
    <w:next w:val="1"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8931</Words>
  <Characters>9294</Characters>
  <Lines>0</Lines>
  <Paragraphs>0</Paragraphs>
  <TotalTime>0</TotalTime>
  <ScaleCrop>false</ScaleCrop>
  <LinksUpToDate>false</LinksUpToDate>
  <CharactersWithSpaces>9930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2026-04-07T15:17:00Z</dcterms:created>
  <dc:creator>明朔Sunshine</dc:creator>
  <cp:lastModifiedBy>明朔Sunshine</cp:lastModifiedBy>
  <dcterms:modified xsi:type="dcterms:W3CDTF">2026-04-07T15:49:48Z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5E3E588B2C3E43FD99A8BA7816E01046_11</vt:lpwstr>
  </property>
  <property fmtid="{D5CDD505-2E9C-101B-9397-08002B2CF9AE}" pid="4" name="KSOTemplateDocerSaveRecord">
    <vt:lpwstr>eyJoZGlkIjoiODVjZjNkZjc2NWZhYWY3Y2MyMjQxYjU0YWIwZTQ5YTQiLCJ1c2VySWQiOiI2NjE5MzUzMzMifQ==</vt:lpwstr>
  </property>
</Properties>
</file>