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6"/>
          <w:szCs w:val="56"/>
        </w:rPr>
        <w:t xml:space="preserve">The AI Prompt Factory</w:t>
      </w:r>
    </w:p>
    <w:p>
      <w:pPr>
        <w:spacing w:before="0" w:after="60"/>
        <w:jc w:val="center"/>
      </w:pPr>
      <w:r>
        <w:rPr>
          <w:rFonts w:ascii="Arial" w:cs="Arial" w:eastAsia="Arial" w:hAnsi="Arial"/>
          <w:i/>
          <w:iCs/>
          <w:color w:val="2E5F8A"/>
          <w:sz w:val="26"/>
          <w:szCs w:val="26"/>
        </w:rPr>
        <w:t xml:space="preserve">Full Design Documentation — Edition 2</w:t>
      </w:r>
    </w:p>
    <w:p>
      <w:pPr>
        <w:spacing w:before="0" w:after="80"/>
        <w:jc w:val="center"/>
      </w:pPr>
      <w:r>
        <w:rPr>
          <w:rFonts w:ascii="Arial" w:cs="Arial" w:eastAsia="Arial" w:hAnsi="Arial"/>
          <w:b/>
          <w:bCs/>
          <w:color w:val="C9A84C"/>
          <w:sz w:val="22"/>
          <w:szCs w:val="22"/>
        </w:rPr>
        <w:t xml:space="preserve">Including the Philosophical Bedrock: What, Then How</w:t>
      </w:r>
    </w:p>
    <w:p>
      <w:pPr>
        <w:spacing w:before="60" w:after="20"/>
        <w:jc w:val="center"/>
      </w:pPr>
      <w:r>
        <w:rPr>
          <w:rFonts w:ascii="Arial" w:cs="Arial" w:eastAsia="Arial" w:hAnsi="Arial"/>
          <w:b/>
          <w:bCs/>
          <w:color w:val="1F3864"/>
          <w:sz w:val="20"/>
          <w:szCs w:val="20"/>
        </w:rPr>
        <w:t xml:space="preserve">Ming Wei</w:t>
      </w:r>
    </w:p>
    <w:p>
      <w:pPr>
        <w:spacing w:before="0" w:after="2880"/>
        <w:jc w:val="center"/>
      </w:pPr>
      <w:r>
        <w:rPr>
          <w:rFonts w:ascii="Arial" w:cs="Arial" w:eastAsia="Arial" w:hAnsi="Arial"/>
          <w:i/>
          <w:iCs/>
          <w:color w:val="777777"/>
          <w:sz w:val="17"/>
          <w:szCs w:val="17"/>
        </w:rPr>
        <w:t xml:space="preserve">Developed in collaboration with Claude (Claude Sonnet 4.6), created by Anthropic</w:t>
      </w:r>
    </w:p>
    <w:p>
      <w:pPr>
        <w:pageBreakBefore/>
      </w:pPr>
      <w:r>
        <w:br/>
      </w:r>
    </w:p>
    <w:p>
      <w:pPr>
        <w:pStyle w:val="Heading1"/>
        <w:pBdr>
          <w:bottom w:val="single" w:color="1F3864" w:sz="6" w:space="1"/>
        </w:pBdr>
        <w:spacing w:before="360" w:after="120"/>
      </w:pPr>
      <w:r>
        <w:rPr>
          <w:rFonts w:ascii="Arial" w:cs="Arial" w:eastAsia="Arial" w:hAnsi="Arial"/>
          <w:b/>
          <w:bCs/>
          <w:color w:val="1F3864"/>
          <w:sz w:val="32"/>
          <w:szCs w:val="32"/>
        </w:rPr>
        <w:t xml:space="preserve">PHILOSOPHICAL BEDROCK — What, Then How</w:t>
      </w:r>
    </w:p>
    <w:p>
      <w:pPr>
        <w:spacing w:before="60" w:after="60"/>
      </w:pPr>
      <w:r>
        <w:rPr>
          <w:sz w:val="6"/>
          <w:szCs w:val="6"/>
        </w:rPr>
        <w:t xml:space="preserve"/>
      </w:r>
    </w:p>
    <w:p>
      <w:pPr>
        <w:spacing w:before="0" w:after="120"/>
      </w:pPr>
      <w:r>
        <w:rPr>
          <w:rFonts w:ascii="Arial" w:cs="Arial" w:eastAsia="Arial" w:hAnsi="Arial"/>
          <w:b/>
          <w:bCs/>
          <w:color w:val="C9A84C"/>
          <w:sz w:val="26"/>
          <w:szCs w:val="26"/>
        </w:rPr>
        <w:t xml:space="preserve">The Ignition Principle</w:t>
      </w:r>
    </w:p>
    <w:p>
      <w:pPr>
        <w:spacing w:before="60" w:after="60"/>
      </w:pPr>
      <w:r>
        <w:rPr>
          <w:sz w:val="6"/>
          <w:szCs w:val="6"/>
        </w:rPr>
        <w:t xml:space="preserve"/>
      </w:r>
    </w:p>
    <w:p>
      <w:pPr>
        <w:pBdr>
          <w:left w:val="single" w:color="C9A84C" w:sz="16" w:space="8"/>
        </w:pBdr>
        <w:spacing w:before="160" w:after="160"/>
        <w:ind w:left="720" w:right="720"/>
      </w:pPr>
      <w:r>
        <w:rPr>
          <w:rFonts w:ascii="Arial" w:cs="Arial" w:eastAsia="Arial" w:hAnsi="Arial"/>
          <w:b/>
          <w:bCs/>
          <w:i/>
          <w:iCs/>
          <w:color w:val="1F3864"/>
          <w:sz w:val="24"/>
          <w:szCs w:val="24"/>
        </w:rPr>
        <w:t xml:space="preserve">"Know exactly what you want. The how shall follow."</w:t>
      </w:r>
      <w:r>
        <w:rPr>
          <w:rFonts w:ascii="Arial" w:cs="Arial" w:eastAsia="Arial" w:hAnsi="Arial"/>
          <w:i/>
          <w:iCs/>
          <w:color w:val="666666"/>
          <w:sz w:val="18"/>
          <w:szCs w:val="18"/>
        </w:rPr>
        <w:t xml:space="preserve">
— Ming Wei</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AI Prompt Factory is built on a philosophical foundation that precedes every tab, every template, and every prompt. That foundation is the What, Then How principle — the recognition that clarity of intention is not a byproduct of creative work but its ignition source. You do not find your What by exploring your How. You find your How by committing to your What.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philosophy has three movements, each of which is embodied in the architecture of the factory itself:</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First Movement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WHAT is the ignition. Knowing exactly what you want sparks creativity. Precision of intention activates the imaginative faculty and draws solutions toward it involuntarily. The manufacturing analogy, the 5-tab structure, and the Excel delivery vehicle of this factory were not engineered — they were attracted by a precisely stated intention.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Second Movement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Iteration is the engine, not the obstacle. A clear What gives every iteration direction. Without it, iteration is wandering. With it, iteration is navigation — each attempt either reaches the destination or reveals precisely why it did not, which is the information needed for the next attempt.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Third Movement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Build the case first. Prompts surface naturally. A prompt written from a fully built case is a translation act — easy, accurate, almost impossible to get wrong. A prompt written before the case is built is a lottery ticket. The factory assumes the user arrives with a built case. The SOURCES tab is where that case is expressed.</w:t>
            </w:r>
          </w:p>
        </w:tc>
      </w:tr>
    </w:tbl>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The Prompt Factory does not replace the What, Then How mindset. It assumes it, requires it, and amplifies its results. The factory is the How. The user's clarity of intention is the What that makes the factory worth running.</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The Falsifiability Test</w:t>
      </w:r>
    </w:p>
    <w:p>
      <w:pPr>
        <w:spacing w:before="60" w:after="60"/>
        <w:jc w:val="both"/>
      </w:pPr>
      <w:r>
        <w:rPr>
          <w:rFonts w:ascii="Arial" w:cs="Arial" w:eastAsia="Arial" w:hAnsi="Arial"/>
          <w:b w:val="false"/>
          <w:bCs w:val="false"/>
          <w:color w:val="1A1A1A"/>
          <w:sz w:val="20"/>
          <w:szCs w:val="20"/>
        </w:rPr>
        <w:t xml:space="preserve">A What must be specific enough that you would know within 10 seconds whether a given output achieved it. If you would need to study the output before forming a judgment, the What needs sharpening. Sharpen it until the 10-second test passes. Then, and only then, write the prompt.</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The Mindset vs. Rigid Prompt Formats</w:t>
      </w:r>
    </w:p>
    <w:p>
      <w:pPr>
        <w:spacing w:before="60" w:after="60"/>
        <w:jc w:val="both"/>
      </w:pPr>
      <w:r>
        <w:rPr>
          <w:rFonts w:ascii="Arial" w:cs="Arial" w:eastAsia="Arial" w:hAnsi="Arial"/>
          <w:b w:val="false"/>
          <w:bCs w:val="false"/>
          <w:color w:val="1A1A1A"/>
          <w:sz w:val="20"/>
          <w:szCs w:val="20"/>
        </w:rPr>
        <w:t xml:space="preserve">Structured prompt formats — CO-STAR, RTFC, chain-of-thought scaffolding — are scaffolding for people constructing a What artificially. They work as training wheels. For a practitioner who arrives with a fully built case, they are unnecessary and often constraining. The format should serve the What. The What should never be bent to serve the format. The power mindset is universal; the rigid format is not.</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1. What Is the AI Prompt Factory?</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AI Prompt Factory is a structured, reusable Excel-based system that packages any repeatable AI task into a 5-tab workbook. It produces consistent, identical-core outputs every time it is invoked — across any AI session, by any user — by encoding the What, Then How philosophy into a repeatable architecture.</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factory separates what changes from what does not. Fixed logic — the assembly instructions, the worked example, the output specification — lives in three stable tabs that rarely change. Variable inputs — the specific tables, fields, requirements, or content for this run — live in one tab that changes per run. The invoke prompt is the only thing the user ever copies and pastes.</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The factory is not the creativity. It is the infrastructure that lets creativity produce consistent results. The What, Then How mindset is the prerequisite. The factory is the amplifier.</w:t>
      </w:r>
    </w:p>
    <w:p>
      <w:pPr>
        <w:spacing w:before="60" w:after="60"/>
      </w:pPr>
      <w:r>
        <w:rPr>
          <w:sz w:val="6"/>
          <w:szCs w:val="6"/>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2. The Manufacturing Analogy</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1_INVOKE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Work Order — The only tab the user touches. Minimal copy-paste trigger. Forces AI to read all other tabs before generating anything.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2_SOP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Assembly Instructions — Step-by-step AI assembly logic in 7 phases with quality gate checklist. Reverse-engineered from the MOLD.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3_MOLD</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Production Mold — Complete worked example for one representative unit. AI replicates from this. The physical proof that the How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4_SOURCES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Raw Materials — All variable run-time inputs. The only tab that changes per run. Yellow editable cells. This is where the What is expressed.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5_CONTRACT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QC Spec Sheet — Hardened deliverable list with exact format and content specifications. The falsifiability specification made operational.</w:t>
            </w:r>
          </w:p>
        </w:tc>
      </w:tr>
    </w:tbl>
    <w:p>
      <w:pPr>
        <w:spacing w:before="60" w:after="60"/>
      </w:pPr>
      <w:r>
        <w:rPr>
          <w:sz w:val="6"/>
          <w:szCs w:val="6"/>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3. Core Design Principles</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Separation of Concerns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Fixed logic in SOP, MOLD, CONTRACT. Variable inputs in SOURCES only. One tab changes per run. Stability and flexibility coexist.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Pattern Over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MOLD provides a complete example, not instructions. AI replicates — it does not interpret. Physical proof beats verbal description every time.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Contract-Driven Output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CONTRACT enumerates every deliverable with exact format and schema. Nothing outside the contract is produced. This is the falsifiability test made operational.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Mandatory Quality Gates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AI self-audits against a checklist before delivering. Omissions are caught before they reach the user. Quality is structural, not aspirational.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Explicit Deviation Policy</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Hard stops for missing inputs. Warnings for abbreviated output or schema drift. Ambiguity is never resolved silently.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Self-Describing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Every tab has a PURPOSE line. The workbook documents itself. A new user or AI session needs no external reference to understand the factory.</w:t>
            </w:r>
          </w:p>
        </w:tc>
      </w:tr>
    </w:tbl>
    <w:p>
      <w:pPr>
        <w:spacing w:before="60" w:after="60"/>
      </w:pPr>
      <w:r>
        <w:rPr>
          <w:sz w:val="6"/>
          <w:szCs w:val="6"/>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4. The Three-Word Workflow</w:t>
      </w:r>
    </w:p>
    <w:p>
      <w:pPr>
        <w:spacing w:before="60" w:after="60"/>
      </w:pPr>
      <w:r>
        <w:rPr>
          <w:sz w:val="6"/>
          <w:szCs w:val="6"/>
        </w:rPr>
        <w:t xml:space="preserve"/>
      </w:r>
    </w:p>
    <w:p>
      <w:pPr>
        <w:spacing w:before="60" w:after="60"/>
        <w:jc w:val="center"/>
      </w:pPr>
      <w:r>
        <w:rPr>
          <w:rFonts w:ascii="Arial" w:cs="Arial" w:eastAsia="Arial" w:hAnsi="Arial"/>
          <w:b/>
          <w:bCs/>
          <w:color w:val="2E5F8A"/>
          <w:sz w:val="36"/>
          <w:szCs w:val="36"/>
        </w:rPr>
        <w:t xml:space="preserve">Update  →  Copy  →  Paste</w:t>
      </w:r>
    </w:p>
    <w:p>
      <w:pPr>
        <w:spacing w:before="0" w:after="120"/>
        <w:jc w:val="center"/>
      </w:pPr>
      <w:r>
        <w:rPr>
          <w:rFonts w:ascii="Arial" w:cs="Arial" w:eastAsia="Arial" w:hAnsi="Arial"/>
          <w:i/>
          <w:iCs/>
          <w:color w:val="555555"/>
          <w:sz w:val="20"/>
          <w:szCs w:val="20"/>
        </w:rPr>
        <w:t xml:space="preserve">(Update SOURCES yellow cells  →  Copy INVOKE block  →  Paste into AI tool)</w:t>
      </w:r>
    </w:p>
    <w:p>
      <w:pPr>
        <w:spacing w:before="60" w:after="60"/>
      </w:pPr>
      <w:r>
        <w:rPr>
          <w:sz w:val="6"/>
          <w:szCs w:val="6"/>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5. Common Use Cases</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Data Engineering</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9-table Teradata audit change tracking. LAG + UNION ALL unpivot + CTE architecture. Tableau summary crosstab with Filter Action drill-down.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Software Development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Consistent code modules across a codebase. API endpoints, database access objects, unit test suites, React components.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Technical Docs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API documentation, runbooks, onboarding guides. Consistent format, depth, and style across all endpoints and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Business 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Recurring weekly, monthly, or quarterly reports. Fixed structure, variable data and commentary each period.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Legal Drafting</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Contract clause drafting. Variable terms change per engagement; clause structure stays standardized and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Marketing Copy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Campaign assets across channels and segments. Brand voice and CTA placement consistent throughout.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Analytical Narrative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KPI commentary for dashboards and scorecards. Consistent framework; variable data each period.</w:t>
            </w:r>
          </w:p>
        </w:tc>
      </w:tr>
    </w:tbl>
    <w:p>
      <w:pPr>
        <w:spacing w:before="60" w:after="60"/>
      </w:pPr>
      <w:r>
        <w:rPr>
          <w:sz w:val="6"/>
          <w:szCs w:val="6"/>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6. Practical Tips for Effective Use</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6.1  Apply What, Then How Before Opening the Factory</w:t>
      </w:r>
    </w:p>
    <w:p>
      <w:pPr>
        <w:spacing w:before="60" w:after="60"/>
        <w:jc w:val="both"/>
      </w:pPr>
      <w:r>
        <w:rPr>
          <w:rFonts w:ascii="Arial" w:cs="Arial" w:eastAsia="Arial" w:hAnsi="Arial"/>
          <w:b w:val="false"/>
          <w:bCs w:val="false"/>
          <w:color w:val="1A1A1A"/>
          <w:sz w:val="20"/>
          <w:szCs w:val="20"/>
        </w:rPr>
        <w:t xml:space="preserve">Before updating the SOURCES tab, run the falsifiability test on your What. State in one sentence what successful output looks like. Would you know within 10 seconds if the output succeeded? If yes, proceed. If not, sharpen the What first. The factory amplifies clarity — it cannot manufacture it.</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6.2  Build Sequence for a New Factory</w:t>
      </w:r>
    </w:p>
    <w:p>
      <w:pPr>
        <w:pStyle w:val="ListParagraph"/>
        <w:numPr>
          <w:ilvl w:val="0"/>
          <w:numId w:val="2"/>
        </w:numPr>
        <w:spacing w:before="40" w:after="40"/>
      </w:pPr>
      <w:r>
        <w:rPr>
          <w:rFonts w:ascii="Arial" w:cs="Arial" w:eastAsia="Arial" w:hAnsi="Arial"/>
          <w:sz w:val="20"/>
          <w:szCs w:val="20"/>
        </w:rPr>
        <w:t xml:space="preserve">Build the MOLD first — complete worked example for one representative unit</w:t>
      </w:r>
    </w:p>
    <w:p>
      <w:pPr>
        <w:pStyle w:val="ListParagraph"/>
        <w:numPr>
          <w:ilvl w:val="0"/>
          <w:numId w:val="2"/>
        </w:numPr>
        <w:spacing w:before="40" w:after="40"/>
      </w:pPr>
      <w:r>
        <w:rPr>
          <w:rFonts w:ascii="Arial" w:cs="Arial" w:eastAsia="Arial" w:hAnsi="Arial"/>
          <w:sz w:val="20"/>
          <w:szCs w:val="20"/>
        </w:rPr>
        <w:t xml:space="preserve">Write the SOP — reverse-engineer from how you built the MOLD</w:t>
      </w:r>
    </w:p>
    <w:p>
      <w:pPr>
        <w:pStyle w:val="ListParagraph"/>
        <w:numPr>
          <w:ilvl w:val="0"/>
          <w:numId w:val="2"/>
        </w:numPr>
        <w:spacing w:before="40" w:after="40"/>
      </w:pPr>
      <w:r>
        <w:rPr>
          <w:rFonts w:ascii="Arial" w:cs="Arial" w:eastAsia="Arial" w:hAnsi="Arial"/>
          <w:sz w:val="20"/>
          <w:szCs w:val="20"/>
        </w:rPr>
        <w:t xml:space="preserve">Write the CONTRACT — enumerate what you produced</w:t>
      </w:r>
    </w:p>
    <w:p>
      <w:pPr>
        <w:pStyle w:val="ListParagraph"/>
        <w:numPr>
          <w:ilvl w:val="0"/>
          <w:numId w:val="2"/>
        </w:numPr>
        <w:spacing w:before="40" w:after="40"/>
      </w:pPr>
      <w:r>
        <w:rPr>
          <w:rFonts w:ascii="Arial" w:cs="Arial" w:eastAsia="Arial" w:hAnsi="Arial"/>
          <w:sz w:val="20"/>
          <w:szCs w:val="20"/>
        </w:rPr>
        <w:t xml:space="preserve">Build SOURCES — list what varied (columns) and what stayed fixed (Global Config)</w:t>
      </w:r>
    </w:p>
    <w:p>
      <w:pPr>
        <w:pStyle w:val="ListParagraph"/>
        <w:numPr>
          <w:ilvl w:val="0"/>
          <w:numId w:val="2"/>
        </w:numPr>
        <w:spacing w:before="40" w:after="40"/>
      </w:pPr>
      <w:r>
        <w:rPr>
          <w:rFonts w:ascii="Arial" w:cs="Arial" w:eastAsia="Arial" w:hAnsi="Arial"/>
          <w:sz w:val="20"/>
          <w:szCs w:val="20"/>
        </w:rPr>
        <w:t xml:space="preserve">Write INVOKE last — always the same structure, just references other tabs</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6.3  Quality Gate Checklist</w:t>
      </w:r>
    </w:p>
    <w:p>
      <w:pPr>
        <w:pStyle w:val="ListParagraph"/>
        <w:numPr>
          <w:ilvl w:val="0"/>
          <w:numId w:val="3"/>
        </w:numPr>
        <w:spacing w:before="40" w:after="40"/>
      </w:pPr>
      <w:r>
        <w:rPr>
          <w:rFonts w:ascii="Arial" w:cs="Arial" w:eastAsia="Arial" w:hAnsi="Arial"/>
          <w:b w:val="false"/>
          <w:bCs w:val="false"/>
          <w:sz w:val="20"/>
          <w:szCs w:val="20"/>
        </w:rPr>
        <w:t xml:space="preserve">Every SOURCES unit has exactly one corresponding output block</w:t>
      </w:r>
    </w:p>
    <w:p>
      <w:pPr>
        <w:pStyle w:val="ListParagraph"/>
        <w:numPr>
          <w:ilvl w:val="0"/>
          <w:numId w:val="3"/>
        </w:numPr>
        <w:spacing w:before="40" w:after="40"/>
      </w:pPr>
      <w:r>
        <w:rPr>
          <w:rFonts w:ascii="Arial" w:cs="Arial" w:eastAsia="Arial" w:hAnsi="Arial"/>
          <w:b w:val="false"/>
          <w:bCs w:val="false"/>
          <w:sz w:val="20"/>
          <w:szCs w:val="20"/>
        </w:rPr>
        <w:t xml:space="preserve">Every variable input in SOURCES is represented in the output</w:t>
      </w:r>
    </w:p>
    <w:p>
      <w:pPr>
        <w:pStyle w:val="ListParagraph"/>
        <w:numPr>
          <w:ilvl w:val="0"/>
          <w:numId w:val="3"/>
        </w:numPr>
        <w:spacing w:before="40" w:after="40"/>
      </w:pPr>
      <w:r>
        <w:rPr>
          <w:rFonts w:ascii="Arial" w:cs="Arial" w:eastAsia="Arial" w:hAnsi="Arial"/>
          <w:b w:val="false"/>
          <w:bCs w:val="false"/>
          <w:sz w:val="20"/>
          <w:szCs w:val="20"/>
        </w:rPr>
        <w:t xml:space="preserve">Terminal output schema matches CONTRACT exactly</w:t>
      </w:r>
    </w:p>
    <w:p>
      <w:pPr>
        <w:pStyle w:val="ListParagraph"/>
        <w:numPr>
          <w:ilvl w:val="0"/>
          <w:numId w:val="3"/>
        </w:numPr>
        <w:spacing w:before="40" w:after="40"/>
      </w:pPr>
      <w:r>
        <w:rPr>
          <w:rFonts w:ascii="Arial" w:cs="Arial" w:eastAsia="Arial" w:hAnsi="Arial"/>
          <w:b w:val="false"/>
          <w:bCs w:val="false"/>
          <w:sz w:val="20"/>
          <w:szCs w:val="20"/>
        </w:rPr>
        <w:t xml:space="preserve">No placeholder or stub content in final output</w:t>
      </w:r>
    </w:p>
    <w:p>
      <w:pPr>
        <w:pStyle w:val="ListParagraph"/>
        <w:numPr>
          <w:ilvl w:val="0"/>
          <w:numId w:val="3"/>
        </w:numPr>
        <w:spacing w:before="40" w:after="40"/>
      </w:pPr>
      <w:r>
        <w:rPr>
          <w:rFonts w:ascii="Arial" w:cs="Arial" w:eastAsia="Arial" w:hAnsi="Arial"/>
          <w:b w:val="false"/>
          <w:bCs w:val="false"/>
          <w:sz w:val="20"/>
          <w:szCs w:val="20"/>
        </w:rPr>
        <w:t xml:space="preserve">All CONTRACT deliverables present and in specified sequence</w:t>
      </w:r>
    </w:p>
    <w:p>
      <w:pPr>
        <w:spacing w:before="60" w:after="60"/>
      </w:pPr>
      <w:r>
        <w:rPr>
          <w:sz w:val="6"/>
          <w:szCs w:val="6"/>
        </w:rPr>
        <w:t xml:space="preserve"/>
      </w:r>
    </w:p>
    <w:p>
      <w:pPr>
        <w:pStyle w:val="Heading2"/>
        <w:spacing w:before="280" w:after="80"/>
      </w:pPr>
      <w:r>
        <w:rPr>
          <w:rFonts w:ascii="Arial" w:cs="Arial" w:eastAsia="Arial" w:hAnsi="Arial"/>
          <w:b/>
          <w:bCs/>
          <w:color w:val="2E5F8A"/>
          <w:sz w:val="26"/>
          <w:szCs w:val="26"/>
        </w:rPr>
        <w:t xml:space="preserve">6.4  Deviation Policy</w:t>
      </w:r>
    </w:p>
    <w:p>
      <w:pPr>
        <w:pStyle w:val="ListParagraph"/>
        <w:numPr>
          <w:ilvl w:val="0"/>
          <w:numId w:val="3"/>
        </w:numPr>
        <w:spacing w:before="40" w:after="40"/>
      </w:pPr>
      <w:r>
        <w:rPr>
          <w:rFonts w:ascii="Arial" w:cs="Arial" w:eastAsia="Arial" w:hAnsi="Arial"/>
          <w:b w:val="false"/>
          <w:bCs w:val="false"/>
          <w:sz w:val="20"/>
          <w:szCs w:val="20"/>
        </w:rPr>
        <w:t xml:space="preserve">Hard stop (⛔): Missing or ambiguous SOURCES input → flag every gap, halt, do not proceed</w:t>
      </w:r>
    </w:p>
    <w:p>
      <w:pPr>
        <w:pStyle w:val="ListParagraph"/>
        <w:numPr>
          <w:ilvl w:val="0"/>
          <w:numId w:val="3"/>
        </w:numPr>
        <w:spacing w:before="40" w:after="40"/>
      </w:pPr>
      <w:r>
        <w:rPr>
          <w:rFonts w:ascii="Arial" w:cs="Arial" w:eastAsia="Arial" w:hAnsi="Arial"/>
          <w:b w:val="false"/>
          <w:bCs w:val="false"/>
          <w:sz w:val="20"/>
          <w:szCs w:val="20"/>
        </w:rPr>
        <w:t xml:space="preserve">Warning (⚠️): Extra commentary not in CONTRACT → not permitted</w:t>
      </w:r>
    </w:p>
    <w:p>
      <w:pPr>
        <w:pStyle w:val="ListParagraph"/>
        <w:numPr>
          <w:ilvl w:val="0"/>
          <w:numId w:val="3"/>
        </w:numPr>
        <w:spacing w:before="40" w:after="40"/>
      </w:pPr>
      <w:r>
        <w:rPr>
          <w:rFonts w:ascii="Arial" w:cs="Arial" w:eastAsia="Arial" w:hAnsi="Arial"/>
          <w:b w:val="false"/>
          <w:bCs w:val="false"/>
          <w:sz w:val="20"/>
          <w:szCs w:val="20"/>
        </w:rPr>
        <w:t xml:space="preserve">Warning (⚠️): Abbreviated or stubbed output → not permitted</w:t>
      </w:r>
    </w:p>
    <w:p>
      <w:pPr>
        <w:pStyle w:val="ListParagraph"/>
        <w:numPr>
          <w:ilvl w:val="0"/>
          <w:numId w:val="3"/>
        </w:numPr>
        <w:spacing w:before="40" w:after="40"/>
      </w:pPr>
      <w:r>
        <w:rPr>
          <w:rFonts w:ascii="Arial" w:cs="Arial" w:eastAsia="Arial" w:hAnsi="Arial"/>
          <w:b w:val="false"/>
          <w:bCs w:val="false"/>
          <w:sz w:val="20"/>
          <w:szCs w:val="20"/>
        </w:rPr>
        <w:t xml:space="preserve">Warning (⚠️): Output schema deviation → not permitted</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spacing w:before="60" w:after="60"/>
      </w:pPr>
      <w:r>
        <w:rPr>
          <w:sz w:val="6"/>
          <w:szCs w:val="6"/>
        </w:rPr>
        <w:t xml:space="preserve"/>
      </w:r>
    </w:p>
    <w:p>
      <w:pPr>
        <w:spacing w:before="120" w:after="60"/>
        <w:jc w:val="center"/>
      </w:pPr>
      <w:r>
        <w:rPr>
          <w:rFonts w:ascii="Arial" w:cs="Arial" w:eastAsia="Arial" w:hAnsi="Arial"/>
          <w:b/>
          <w:bCs/>
          <w:i/>
          <w:iCs/>
          <w:color w:val="1F3864"/>
          <w:sz w:val="24"/>
          <w:szCs w:val="24"/>
        </w:rPr>
        <w:t xml:space="preserve">"Know exactly what you want. The how shall follow."</w:t>
      </w:r>
    </w:p>
    <w:p>
      <w:pPr>
        <w:spacing w:before="0" w:after="80"/>
        <w:jc w:val="center"/>
      </w:pPr>
      <w:r>
        <w:rPr>
          <w:rFonts w:ascii="Arial" w:cs="Arial" w:eastAsia="Arial" w:hAnsi="Arial"/>
          <w:i/>
          <w:iCs/>
          <w:color w:val="666666"/>
          <w:sz w:val="20"/>
          <w:szCs w:val="20"/>
        </w:rPr>
        <w:t xml:space="preserve">— Ming Wei</w:t>
      </w:r>
    </w:p>
    <w:p>
      <w:pPr>
        <w:spacing w:before="0" w:after="0"/>
        <w:jc w:val="center"/>
      </w:pPr>
      <w:r>
        <w:rPr>
          <w:rFonts w:ascii="Arial" w:cs="Arial" w:eastAsia="Arial" w:hAnsi="Arial"/>
          <w:i/>
          <w:iCs/>
          <w:color w:val="AAAAAA"/>
          <w:sz w:val="17"/>
          <w:szCs w:val="17"/>
        </w:rPr>
        <w:t xml:space="preserve">Developed in collaboration with Claude (Claude Sonnet 4.6), created by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2026-03-01T19:39:19.830Z</dcterms:created>
  <dcterms:modified xsi:type="dcterms:W3CDTF">2026-03-01T19:39:19.830Z</dcterms:modified>
</cp:coreProperties>
</file>

<file path=docProps/custom.xml><?xml version="1.0" encoding="utf-8"?>
<Properties xmlns="http://schemas.openxmlformats.org/officeDocument/2006/custom-properties" xmlns:vt="http://schemas.openxmlformats.org/officeDocument/2006/docPropsVTypes"/>
</file>