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901" w:rsidRDefault="004C0901">
      <w:r>
        <w:t>Alex Davis</w:t>
      </w:r>
    </w:p>
    <w:p w:rsidR="004C0901" w:rsidRDefault="00654699">
      <w:r>
        <w:t xml:space="preserve">Extending a </w:t>
      </w:r>
      <w:r w:rsidR="004C0901">
        <w:t>dataset for the</w:t>
      </w:r>
      <w:r w:rsidR="00F37522">
        <w:t xml:space="preserve"> derivation of a knowledge-based potential for outer membrane insertion using homology modeling</w:t>
      </w:r>
    </w:p>
    <w:p w:rsidR="00204DF3" w:rsidRDefault="00204DF3" w:rsidP="00204DF3">
      <w:pPr>
        <w:jc w:val="center"/>
      </w:pPr>
      <w:r>
        <w:t>Abstract</w:t>
      </w:r>
    </w:p>
    <w:p w:rsidR="00204DF3" w:rsidRPr="001B4DDE" w:rsidRDefault="00AA2A77" w:rsidP="00204DF3">
      <w:pPr>
        <w:rPr>
          <w:vertAlign w:val="subscript"/>
        </w:rPr>
      </w:pPr>
      <w:r>
        <w:tab/>
      </w:r>
      <w:r w:rsidR="003E1C0A">
        <w:t xml:space="preserve">Understanding the determinants of outer membrane protein </w:t>
      </w:r>
      <w:r w:rsidR="000164D3">
        <w:t xml:space="preserve">(OMP) </w:t>
      </w:r>
      <w:r w:rsidR="003E1C0A">
        <w:t>insertion is a problem of scientific and technological importance.</w:t>
      </w:r>
      <w:r w:rsidR="001C11B2">
        <w:t xml:space="preserve"> A knowledge-based potential has been applied to this problem, but was limited by </w:t>
      </w:r>
      <w:r w:rsidR="000164D3">
        <w:t xml:space="preserve">the small number of solved </w:t>
      </w:r>
      <w:r w:rsidR="00F959E0">
        <w:t xml:space="preserve">OMP structures. </w:t>
      </w:r>
      <w:r w:rsidR="004568BA">
        <w:t xml:space="preserve">A simple </w:t>
      </w:r>
      <w:r w:rsidR="00C64447">
        <w:t>method of homology modeling</w:t>
      </w:r>
      <w:r w:rsidR="00461655">
        <w:t xml:space="preserve"> is described</w:t>
      </w:r>
      <w:r w:rsidR="00C64447">
        <w:t xml:space="preserve">, </w:t>
      </w:r>
      <w:r w:rsidR="00CE05D0">
        <w:t xml:space="preserve">which matches sequences to related templates using the evolutionary families </w:t>
      </w:r>
      <w:r w:rsidR="00121C75">
        <w:t>delineated in the HHOMP database of OMP sequences</w:t>
      </w:r>
      <w:r w:rsidR="009F6BB5">
        <w:t xml:space="preserve">, </w:t>
      </w:r>
      <w:r w:rsidR="00560633">
        <w:t>and off-the-shelf sequence alignment software</w:t>
      </w:r>
      <w:r w:rsidR="00076C42">
        <w:t xml:space="preserve"> to thread them through</w:t>
      </w:r>
      <w:r w:rsidR="00461655">
        <w:t>.</w:t>
      </w:r>
      <w:r w:rsidR="00D265BA">
        <w:t xml:space="preserve"> The method is tested on OMPs</w:t>
      </w:r>
      <w:r w:rsidR="00056C4E">
        <w:t xml:space="preserve"> of known structure.</w:t>
      </w:r>
      <w:r w:rsidR="004E362A">
        <w:t xml:space="preserve"> Ideas for future work, including refining the alignment process</w:t>
      </w:r>
      <w:r w:rsidR="00200E1E">
        <w:t>, applying the homology models to the inference of protein-protein</w:t>
      </w:r>
      <w:r w:rsidR="00281453">
        <w:t xml:space="preserve"> interfaces, and </w:t>
      </w:r>
      <w:r w:rsidR="001B4DDE">
        <w:t>theoretical development of the knowledge-based potential, are discussed.</w:t>
      </w:r>
    </w:p>
    <w:p w:rsidR="00217776" w:rsidRDefault="00217776">
      <w:r>
        <w:br w:type="page"/>
      </w:r>
    </w:p>
    <w:p w:rsidR="00AE4B81" w:rsidRDefault="00AE4B81" w:rsidP="00AE4B81">
      <w:r>
        <w:lastRenderedPageBreak/>
        <w:tab/>
        <w:t xml:space="preserve">Discovering the determinants of outer membrane protein insertion is a task of basic scientific interest and technological value. It is an investigation with potential for insight both into the molecular mechanisms of bacterial function, and into the chemistry of biological membranes. The technological value comes from the prospect of designing mutants of soluble proteins that will insert into membranes. Outer membrane proteins have a β-barrel fold that is similar to that of many soluble proteins, most importantly GFP. If the determinants of outer membrane protein insertion were fully understood, it may be possible to design a mutant GFP along the same principles that would insert into membranes, which would have important applications as a voltage sensor in neuroscience experiments </w:t>
      </w:r>
      <w:r>
        <w:fldChar w:fldCharType="begin"/>
      </w:r>
      <w:r>
        <w:instrText xml:space="preserve"> ADDIN ZOTERO_ITEM CSL_CITATION {"citationID":"j12ugdkkg","properties":{"formattedCitation":"(Blunck et al., 2005)","plainCitation":"(Blunck et al., 2005)"},"citationItems":[{"id":3,"uris":["http://zotero.org/users/local/xPq7q79Q/items/TA3AMKSG"],"uri":["http://zotero.org/users/local/xPq7q79Q/items/TA3AMKSG"],"itemData":{"id":3,"type":"article-journal","title":"Nano to Micro — Fluorescence Measurements of Electric Fields in Molecules and Genetically Specified Neurons","container-title":"The Journal of Membrane Biology","page":"91-102","volume":"208","issue":"2","source":"link.springer.com","abstract":"Our central nervous system is based on the generation and propagation of electrical signals along the neuronal pathways. These variations of the membrane potential are arranged by the concerted action of ion channels in the neuronal membrane. Therefore, the exact measurement of the electric field in the central nervous system is the focus of intensive investigation. While electrophysiological methods provide exact measurements on the single-cell or single-molecule level with high temporal resolution, they are limited in their spatial resolution ranging from a few single cells to a single molecule. To thoroughly understand how the voltage-dependent ion channels sense the membrane potential and are precisely gated by it, the electric field within the protein has to be investigated. Likewise, the propagation of electrical impulses in a network of neurons involves a large number of cells, which have to be monitored simultaneously. For these endeavors, optical methods have proven to be useful due to their scalability, temporal and spatial resolution. Here, we will summarize the properties of the optical probes that we used to determine the electrical field strength within voltage-sensitive ion channels and discuss the hybrid approach to detect membrane potential changes in genetically specified neurons in terms of design, limitations and future developments.","DOI":"10.1007/s00232-005-0822-z","ISSN":"0022-2631, 1432-1424","journalAbbreviation":"J Membrane Biol","language":"en","author":[{"family":"Blunck","given":"R."},{"family":"Chanda","given":"B."},{"family":"Bezanilla","given":"F."}],"issued":{"date-parts":[[2005,11,1]]},"accessed":{"date-parts":[[2012,12,12]]}}}],"schema":"https://github.com/citation-style-language/schema/raw/master/csl-citation.json"} </w:instrText>
      </w:r>
      <w:r>
        <w:fldChar w:fldCharType="separate"/>
      </w:r>
      <w:r w:rsidRPr="00625062">
        <w:rPr>
          <w:rFonts w:ascii="Calibri" w:hAnsi="Calibri"/>
        </w:rPr>
        <w:t>(Blunck et al., 2005)</w:t>
      </w:r>
      <w:r>
        <w:fldChar w:fldCharType="end"/>
      </w:r>
      <w:r>
        <w:t>.</w:t>
      </w:r>
    </w:p>
    <w:p w:rsidR="00AE4B81" w:rsidRDefault="00AE4B81" w:rsidP="00AE4B81">
      <w:pPr>
        <w:rPr>
          <w:rFonts w:eastAsiaTheme="minorEastAsia"/>
        </w:rPr>
      </w:pPr>
      <w:r>
        <w:tab/>
        <w:t xml:space="preserve">Outer membrane proteins (OMPs) are insoluble in water, and if unfolded can spontaneously refold and insert into vesicles </w:t>
      </w:r>
      <w:r>
        <w:fldChar w:fldCharType="begin"/>
      </w:r>
      <w:r>
        <w:instrText xml:space="preserve"> ADDIN ZOTERO_ITEM CSL_CITATION {"citationID":"128askqfq6","properties":{"formattedCitation":"{\\rtf (Surrey and J\\uc0\\u228{}hnig, 1992)}","plainCitation":"(Surrey and Jähnig, 1992)"},"citationItems":[{"id":6,"uris":["http://zotero.org/users/local/xPq7q79Q/items/T42ATQVW"],"uri":["http://zotero.org/users/local/xPq7q79Q/items/T42ATQVW"],"itemData":{"id":6,"type":"article-journal","title":"Refolding and oriented insertion of a membrane protein into a lipid bilayer.","container-title":"Proceedings of the National Academy of Sciences","page":"7457-7461","volume":"89","issue":"16","source":"www.pnas.org","abstract":"We have studied the refolding and membrane insertion of the outer membrane protein OmpA of Escherichia coli. The protein was extracted from its native membrane by sonication in the presence of urea and dissolved in the urea/water mixture in unfolded form. In this form it was purified. Upon addition of preformed lipid vesicles, the protein spontaneously refolded and inserted into the vesicle membranes. The vesicles had to be small and the lipids had to be in the fluid state. The insertion occurred in an oriented manner.","DOI":"10.1073/pnas.89.16.7457","ISSN":"0027-8424, 1091-6490","journalAbbreviation":"PNAS","language":"en","author":[{"family":"Surrey","given":"T."},{"family":"Jähnig","given":"F."}],"issued":{"date-parts":[[1992,8,15]]},"accessed":{"date-parts":[[2012,12,12]]}}}],"schema":"https://github.com/citation-style-language/schema/raw/master/csl-citation.json"} </w:instrText>
      </w:r>
      <w:r>
        <w:fldChar w:fldCharType="separate"/>
      </w:r>
      <w:r w:rsidRPr="004E5F9A">
        <w:rPr>
          <w:rFonts w:ascii="Calibri" w:hAnsi="Calibri" w:cs="Times New Roman"/>
          <w:szCs w:val="24"/>
        </w:rPr>
        <w:t>(Surrey and Jähnig, 1992)</w:t>
      </w:r>
      <w:r>
        <w:fldChar w:fldCharType="end"/>
      </w:r>
      <w:r>
        <w:t xml:space="preserve">. Together this suggests that at equilibrium, OMPs are in membranes, rather than being forced in and held there by some kinetic barrier. It is likely, then, that negative </w:t>
      </w:r>
      <m:oMath>
        <m:r>
          <m:rPr>
            <m:sty m:val="p"/>
          </m:rPr>
          <w:rPr>
            <w:rFonts w:ascii="Cambria Math" w:hAnsi="Cambria Math"/>
          </w:rPr>
          <m:t>Δ</m:t>
        </m:r>
        <m:r>
          <w:rPr>
            <w:rFonts w:ascii="Cambria Math" w:hAnsi="Cambria Math"/>
          </w:rPr>
          <m:t>G</m:t>
        </m:r>
      </m:oMath>
      <w:r>
        <w:rPr>
          <w:rFonts w:eastAsiaTheme="minorEastAsia"/>
        </w:rPr>
        <w:t xml:space="preserve"> of folding is a necessary condition of insertion.</w:t>
      </w:r>
    </w:p>
    <w:p w:rsidR="00AE4B81" w:rsidRDefault="00AE4B81" w:rsidP="00AE4B81">
      <w:pPr>
        <w:rPr>
          <w:rFonts w:eastAsiaTheme="minorEastAsia"/>
        </w:rPr>
      </w:pPr>
      <w:r>
        <w:rPr>
          <w:rFonts w:eastAsiaTheme="minorEastAsia"/>
        </w:rPr>
        <w:tab/>
        <w:t xml:space="preserve">Under the hypothesis that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insertion</m:t>
            </m:r>
          </m:sub>
        </m:sSub>
      </m:oMath>
      <w:r>
        <w:rPr>
          <w:rFonts w:eastAsiaTheme="minorEastAsia"/>
        </w:rPr>
        <w:t xml:space="preserve"> for a whole OMP is a sum of contributions from solvent-exposed residues on its surface, the problem of estimating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insertion</m:t>
            </m:r>
          </m:sub>
        </m:sSub>
      </m:oMath>
      <w:r>
        <w:rPr>
          <w:rFonts w:eastAsiaTheme="minorEastAsia"/>
        </w:rPr>
        <w:t xml:space="preserve"> for an arbitrary OMP becomes the problem of finding free energies of transfer for individual amino acids. Once this is achieved, the calculation of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insertion</m:t>
            </m:r>
          </m:sub>
        </m:sSub>
      </m:oMath>
      <w:r>
        <w:rPr>
          <w:rFonts w:eastAsiaTheme="minorEastAsia"/>
        </w:rPr>
        <w:t xml:space="preserve"> is as simple as summing the transfer energies. There have been three broad categories of approaches to this problem.</w:t>
      </w:r>
    </w:p>
    <w:p w:rsidR="00AE4B81" w:rsidRDefault="00AE4B81" w:rsidP="00AE4B81">
      <w:pPr>
        <w:rPr>
          <w:rFonts w:eastAsiaTheme="minorEastAsia"/>
        </w:rPr>
      </w:pPr>
      <w:r>
        <w:rPr>
          <w:rFonts w:eastAsiaTheme="minorEastAsia"/>
        </w:rPr>
        <w:tab/>
        <w:t xml:space="preserve">One is experimental.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transfer</m:t>
            </m:r>
          </m:sub>
        </m:sSub>
      </m:oMath>
      <w:r>
        <w:rPr>
          <w:rFonts w:eastAsiaTheme="minorEastAsia"/>
        </w:rPr>
        <w:t xml:space="preserve">'s for each amino acid have been derived through a mutation study </w:t>
      </w:r>
      <w:r>
        <w:rPr>
          <w:rFonts w:eastAsiaTheme="minorEastAsia"/>
        </w:rPr>
        <w:fldChar w:fldCharType="begin"/>
      </w:r>
      <w:r>
        <w:rPr>
          <w:rFonts w:eastAsiaTheme="minorEastAsia"/>
        </w:rPr>
        <w:instrText xml:space="preserve"> ADDIN ZOTERO_ITEM CSL_CITATION {"citationID":"poge6ef7l","properties":{"formattedCitation":"(Moon and Fleming, 2011)","plainCitation":"(Moon and Fleming, 2011)"},"citationItems":[{"id":9,"uris":["http://zotero.org/users/local/xPq7q79Q/items/SB52G6NQ"],"uri":["http://zotero.org/users/local/xPq7q79Q/items/SB52G6NQ"],"itemData":{"id":9,"type":"article-journal","title":"Side-chain hydrophobicity scale derived from transmembrane protein folding into lipid bilayers","container-title":"Proceedings of the National Academy of Sciences","page":"10174-10177","volume":"108","issue":"25","source":"www.pnas.org","abstract":"The transfer free energies of the twenty natural amino acid side chains from water to phospholipid bilayers make a major contribution to the assembly and function of membrane proteins. Measurements of those transfer free energies will facilitate the identification of membrane protein sequences and aid in the understanding of how proteins interact with membranes during key biological events. We report the first water-to-bilayer transfer free energy scale (i.e., a “hydrophobicity scale”) for the twenty natural amino acid side chains measured in the context of a native transmembrane protein and a phospholipid bilayer. Our measurements reveal parity for apolar side-chain contributions between soluble and membrane proteins and further demonstrate that an arginine side-chain placed near the middle of a lipid bilayer is accommodated with much less energetic cost than predicted by molecular dynamics simulations.","DOI":"10.1073/pnas.1103979108","ISSN":"0027-8424, 1091-6490","journalAbbreviation":"PNAS","language":"en","author":[{"family":"Moon","given":"C. Preston"},{"family":"Fleming","given":"Karen G."}],"issued":{"date-parts":[[2011,6,21]]},"accessed":{"date-parts":[[2012,12,13]]}}}],"schema":"https://github.com/citation-style-language/schema/raw/master/csl-citation.json"} </w:instrText>
      </w:r>
      <w:r>
        <w:rPr>
          <w:rFonts w:eastAsiaTheme="minorEastAsia"/>
        </w:rPr>
        <w:fldChar w:fldCharType="separate"/>
      </w:r>
      <w:r w:rsidRPr="0013186F">
        <w:rPr>
          <w:rFonts w:ascii="Calibri" w:hAnsi="Calibri"/>
        </w:rPr>
        <w:t>(Moon and Fleming, 2011)</w:t>
      </w:r>
      <w:r>
        <w:rPr>
          <w:rFonts w:eastAsiaTheme="minorEastAsia"/>
        </w:rPr>
        <w:fldChar w:fldCharType="end"/>
      </w:r>
      <w:r>
        <w:rPr>
          <w:rFonts w:eastAsiaTheme="minorEastAsia"/>
        </w:rPr>
        <w:t xml:space="preserve">. Another approach is through simulation. Molecular dynamics simulations have been used to derive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transfer</m:t>
            </m:r>
          </m:sub>
        </m:sSub>
      </m:oMath>
      <w:r>
        <w:rPr>
          <w:rFonts w:eastAsiaTheme="minorEastAsia"/>
        </w:rPr>
        <w:t xml:space="preserve">'s which are very close to those estimated from experiment </w:t>
      </w:r>
      <w:r>
        <w:rPr>
          <w:rFonts w:eastAsiaTheme="minorEastAsia"/>
        </w:rPr>
        <w:fldChar w:fldCharType="begin"/>
      </w:r>
      <w:r>
        <w:rPr>
          <w:rFonts w:eastAsiaTheme="minorEastAsia"/>
        </w:rPr>
        <w:instrText xml:space="preserve"> ADDIN ZOTERO_ITEM CSL_CITATION {"citationID":"u7fr6vaon","properties":{"formattedCitation":"(Gumbart and Roux, 2012)","plainCitation":"(Gumbart and Roux, 2012)"},"citationItems":[{"id":12,"uris":["http://zotero.org/users/local/xPq7q79Q/items/KKGXT44K"],"uri":["http://zotero.org/users/local/xPq7q79Q/items/KKGXT44K"],"itemData":{"id":12,"type":"article-journal","title":"Determination of Membrane-Insertion Free Energies by Molecular Dynamics Simulations","container-title":"Biophysical Journal","page":"795-801","volume":"102","issue":"4","source":"ScienceDirect","abstract":"The accurate prediction of membrane-insertion probability for arbitrary protein sequences is a critical challenge to identifying membrane proteins and determining their folded structures. Although algorithms based on sequence statistics have had moderate success, a complete understanding of the energetic factors that drive the insertion of membrane proteins is essential to thoroughly meeting this challenge. In the last few years, numerous attempts to define a free-energy scale for amino-acid insertion have been made, yet disagreement between most experimental and theoretical scales persists. However, for a recently resolved water-to-bilayer scale, it is found that molecular dynamics simulations that carefully mimic the conditions of the experiment can reproduce experimental free energies, even when using the same force field as previous computational studies that were cited as evidence of this disagreement. Therefore, it is suggested that experimental and simulation-based scales can both be accurate and that discrepancies stem from disparities in the microscopic processes being considered rather than methodological errors. Furthermore, these disparities make the development of a single universally applicable membrane-insertion free energy scale difficult.","DOI":"10.1016/j.bpj.2012.01.021","ISSN":"0006-3495","journalAbbreviation":"Biophysical Journal","author":[{"family":"Gumbart","given":"James"},{"family":"Roux","given":"Benoît"}],"issued":{"date-parts":[["2012",2,22]]},"accessed":{"date-parts":[[2012,12,13]]}}}],"schema":"https://github.com/citation-style-language/schema/raw/master/csl-citation.json"} </w:instrText>
      </w:r>
      <w:r>
        <w:rPr>
          <w:rFonts w:eastAsiaTheme="minorEastAsia"/>
        </w:rPr>
        <w:fldChar w:fldCharType="separate"/>
      </w:r>
      <w:r w:rsidRPr="00DD7D80">
        <w:rPr>
          <w:rFonts w:ascii="Calibri" w:hAnsi="Calibri"/>
        </w:rPr>
        <w:t>(Gumbart and Roux, 2012)</w:t>
      </w:r>
      <w:r>
        <w:rPr>
          <w:rFonts w:eastAsiaTheme="minorEastAsia"/>
        </w:rPr>
        <w:fldChar w:fldCharType="end"/>
      </w:r>
      <w:r>
        <w:rPr>
          <w:rFonts w:eastAsiaTheme="minorEastAsia"/>
        </w:rPr>
        <w:t>.</w:t>
      </w:r>
    </w:p>
    <w:p w:rsidR="00F97EA8" w:rsidRDefault="007407EB" w:rsidP="006D50D5">
      <w:pPr>
        <w:rPr>
          <w:rFonts w:eastAsiaTheme="minorEastAsia"/>
        </w:rPr>
      </w:pPr>
      <w:r>
        <w:rPr>
          <w:rFonts w:eastAsiaTheme="minorEastAsia"/>
        </w:rPr>
        <w:tab/>
        <w:t xml:space="preserve">This work builds upon the </w:t>
      </w:r>
      <w:r w:rsidR="004D73AF">
        <w:rPr>
          <w:rFonts w:eastAsiaTheme="minorEastAsia"/>
        </w:rPr>
        <w:t>knowledge-based E</w:t>
      </w:r>
      <w:r w:rsidR="004D73AF">
        <w:rPr>
          <w:rFonts w:eastAsiaTheme="minorEastAsia"/>
          <w:vertAlign w:val="subscript"/>
        </w:rPr>
        <w:t>z</w:t>
      </w:r>
      <w:r w:rsidR="004D73AF">
        <w:rPr>
          <w:rFonts w:eastAsiaTheme="minorEastAsia"/>
        </w:rPr>
        <w:t>β potential</w:t>
      </w:r>
      <w:r w:rsidR="00922E18">
        <w:rPr>
          <w:rFonts w:eastAsiaTheme="minorEastAsia"/>
        </w:rPr>
        <w:t xml:space="preserve"> </w:t>
      </w:r>
      <w:r w:rsidR="00922E18">
        <w:rPr>
          <w:rFonts w:eastAsiaTheme="minorEastAsia"/>
        </w:rPr>
        <w:fldChar w:fldCharType="begin"/>
      </w:r>
      <w:r w:rsidR="00922E18">
        <w:rPr>
          <w:rFonts w:eastAsiaTheme="minorEastAsia"/>
        </w:rPr>
        <w:instrText xml:space="preserve"> ADDIN ZOTERO_ITEM CSL_CITATION {"citationID":"1l0iked7qf","properties":{"formattedCitation":"(Hsieh et al., 2012)","plainCitation":"(Hsieh et al., 2012)"},"citationItems":[{"id":15,"uris":["http://zotero.org/users/local/xPq7q79Q/items/7GM24T7G"],"uri":["http://zotero.org/users/local/xPq7q79Q/items/7GM24T7G"],"itemData":{"id":15,"type":"article-journal","title":"A knowledge-based potential highlights unique features of membrane α-helical and β-barrel protein insertion and folding","container-title":"Protein science: a publication of the Protein Society","page":"50-62","volume":"21","issue":"1","source":"NCBI PubMed","abstract":"Outer membrane β-barrel proteins differ from α-helical inner membrane proteins in lipid environment, secondary structure, and the proposed processes of folding and insertion. It is reasonable to expect that outer membrane proteins may contain primary sequence information specific for their folding and insertion behavior. In previous work, a depth-dependent insertion potential, E(z) , was derived for α-helical inner membrane proteins. We have generated an equivalent potential for TM β-barrel proteins. The similarities and differences between these two potentials provide insight into unique aspects of the folding and insertion of β-barrel membrane proteins. This potential can predict orientation within the membrane and identify functional residues involved in intermolecular interactions.","DOI":"10.1002/pro.758","ISSN":"1469-896X","note":"PMID: 22031179","journalAbbreviation":"Protein Sci.","author":[{"family":"Hsieh","given":"Daniel"},{"family":"Davis","given":"Alexander"},{"family":"Nanda","given":"Vikas"}],"issued":{"date-parts":[["2012",1]]}}}],"schema":"https://github.com/citation-style-language/schema/raw/master/csl-citation.json"} </w:instrText>
      </w:r>
      <w:r w:rsidR="00922E18">
        <w:rPr>
          <w:rFonts w:eastAsiaTheme="minorEastAsia"/>
        </w:rPr>
        <w:fldChar w:fldCharType="separate"/>
      </w:r>
      <w:r w:rsidR="00922E18" w:rsidRPr="00922E18">
        <w:rPr>
          <w:rFonts w:ascii="Calibri" w:hAnsi="Calibri"/>
        </w:rPr>
        <w:t>(Hsieh et al., 2012)</w:t>
      </w:r>
      <w:r w:rsidR="00922E18">
        <w:rPr>
          <w:rFonts w:eastAsiaTheme="minorEastAsia"/>
        </w:rPr>
        <w:fldChar w:fldCharType="end"/>
      </w:r>
      <w:r w:rsidR="00006F77">
        <w:rPr>
          <w:rFonts w:eastAsiaTheme="minorEastAsia"/>
        </w:rPr>
        <w:t>.</w:t>
      </w:r>
      <w:r w:rsidR="00C05DE9">
        <w:rPr>
          <w:rFonts w:eastAsiaTheme="minorEastAsia"/>
        </w:rPr>
        <w:t xml:space="preserve"> </w:t>
      </w:r>
      <w:r w:rsidR="00AF196B">
        <w:rPr>
          <w:rFonts w:eastAsiaTheme="minorEastAsia"/>
        </w:rPr>
        <w:t xml:space="preserve">Unlike the above referenced </w:t>
      </w:r>
      <w:r w:rsidR="003F45FB">
        <w:rPr>
          <w:rFonts w:eastAsiaTheme="minorEastAsia"/>
        </w:rPr>
        <w:t>experiment</w:t>
      </w:r>
      <w:r w:rsidR="0002690B">
        <w:rPr>
          <w:rFonts w:eastAsiaTheme="minorEastAsia"/>
        </w:rPr>
        <w:t>- and simulation-</w:t>
      </w:r>
      <w:r w:rsidR="002D7F91">
        <w:rPr>
          <w:rFonts w:eastAsiaTheme="minorEastAsia"/>
        </w:rPr>
        <w:t xml:space="preserve"> based </w:t>
      </w:r>
      <w:r w:rsidR="00F57551">
        <w:rPr>
          <w:rFonts w:eastAsiaTheme="minorEastAsia"/>
        </w:rPr>
        <w:t xml:space="preserve">values, </w:t>
      </w:r>
      <w:r w:rsidR="00C2455C">
        <w:rPr>
          <w:rFonts w:eastAsiaTheme="minorEastAsia"/>
        </w:rPr>
        <w:t>the E</w:t>
      </w:r>
      <w:r w:rsidR="00C2455C">
        <w:rPr>
          <w:rFonts w:eastAsiaTheme="minorEastAsia"/>
          <w:vertAlign w:val="subscript"/>
        </w:rPr>
        <w:t>z</w:t>
      </w:r>
      <w:r w:rsidR="00C2455C">
        <w:rPr>
          <w:rFonts w:eastAsiaTheme="minorEastAsia"/>
        </w:rPr>
        <w:t xml:space="preserve">β potential is </w:t>
      </w:r>
      <w:r w:rsidR="00B96F36">
        <w:rPr>
          <w:rFonts w:eastAsiaTheme="minorEastAsia"/>
          <w:i/>
        </w:rPr>
        <w:t>depth-dependent</w:t>
      </w:r>
      <w:r w:rsidR="00B96F36">
        <w:rPr>
          <w:rFonts w:eastAsiaTheme="minorEastAsia"/>
        </w:rPr>
        <w:t xml:space="preserve">: </w:t>
      </w:r>
      <w:r w:rsidR="00D047EC">
        <w:rPr>
          <w:rFonts w:eastAsiaTheme="minorEastAsia"/>
        </w:rPr>
        <w:t xml:space="preserve">it estimates the </w:t>
      </w:r>
      <w:r w:rsidR="00AF2BF1">
        <w:rPr>
          <w:rFonts w:eastAsiaTheme="minorEastAsia"/>
        </w:rPr>
        <w:t xml:space="preserve">energy of transfer </w:t>
      </w:r>
      <w:r w:rsidR="008B1409">
        <w:rPr>
          <w:rFonts w:eastAsiaTheme="minorEastAsia"/>
        </w:rPr>
        <w:t>to a given depth</w:t>
      </w:r>
      <w:r w:rsidR="00FF0F0D">
        <w:rPr>
          <w:rFonts w:eastAsiaTheme="minorEastAsia"/>
        </w:rPr>
        <w:t xml:space="preserve"> in the membrane, not just to the center. </w:t>
      </w:r>
      <w:r w:rsidR="000D0BF3">
        <w:rPr>
          <w:rFonts w:eastAsiaTheme="minorEastAsia"/>
        </w:rPr>
        <w:t>Depth is represented by a number</w:t>
      </w:r>
      <w:r w:rsidR="00B37B0A">
        <w:rPr>
          <w:rFonts w:eastAsiaTheme="minorEastAsia"/>
        </w:rPr>
        <w:t xml:space="preserve">, z, </w:t>
      </w:r>
      <w:r w:rsidR="004B2228">
        <w:rPr>
          <w:rFonts w:eastAsiaTheme="minorEastAsia"/>
        </w:rPr>
        <w:t xml:space="preserve">that represents </w:t>
      </w:r>
      <w:r w:rsidR="00C918BF">
        <w:rPr>
          <w:rFonts w:eastAsiaTheme="minorEastAsia"/>
        </w:rPr>
        <w:t>the distance from the center</w:t>
      </w:r>
      <w:r w:rsidR="001E636E">
        <w:rPr>
          <w:rFonts w:eastAsiaTheme="minorEastAsia"/>
        </w:rPr>
        <w:t>:</w:t>
      </w:r>
      <w:r w:rsidR="00C918BF">
        <w:rPr>
          <w:rFonts w:eastAsiaTheme="minorEastAsia"/>
        </w:rPr>
        <w:t xml:space="preserve"> at z=0</w:t>
      </w:r>
      <w:r w:rsidR="00A04CDE">
        <w:rPr>
          <w:rFonts w:eastAsiaTheme="minorEastAsia"/>
        </w:rPr>
        <w:t>, E</w:t>
      </w:r>
      <w:r w:rsidR="00A04CDE">
        <w:rPr>
          <w:rFonts w:eastAsiaTheme="minorEastAsia"/>
          <w:vertAlign w:val="subscript"/>
        </w:rPr>
        <w:t>z</w:t>
      </w:r>
      <w:r w:rsidR="00A04CDE">
        <w:rPr>
          <w:rFonts w:eastAsiaTheme="minorEastAsia"/>
        </w:rPr>
        <w:t xml:space="preserve">β should, and does, correlate with </w:t>
      </w:r>
      <w:r w:rsidR="001104FD">
        <w:rPr>
          <w:rFonts w:eastAsiaTheme="minorEastAsia"/>
        </w:rPr>
        <w:t>the experimental values.</w:t>
      </w:r>
      <w:r w:rsidR="00A04CDE">
        <w:rPr>
          <w:rFonts w:eastAsiaTheme="minorEastAsia"/>
        </w:rPr>
        <w:t xml:space="preserve"> </w:t>
      </w:r>
      <w:r w:rsidR="001104FD">
        <w:rPr>
          <w:rFonts w:eastAsiaTheme="minorEastAsia"/>
        </w:rPr>
        <w:t xml:space="preserve">This depth dependence </w:t>
      </w:r>
      <w:r w:rsidR="002260DC">
        <w:rPr>
          <w:rFonts w:eastAsiaTheme="minorEastAsia"/>
        </w:rPr>
        <w:t xml:space="preserve">is </w:t>
      </w:r>
      <w:r w:rsidR="00B22D3C">
        <w:rPr>
          <w:rFonts w:eastAsiaTheme="minorEastAsia"/>
        </w:rPr>
        <w:t xml:space="preserve">likely to increase accuracy </w:t>
      </w:r>
      <w:r w:rsidR="00437602">
        <w:rPr>
          <w:rFonts w:eastAsiaTheme="minorEastAsia"/>
        </w:rPr>
        <w:t>because</w:t>
      </w:r>
      <w:r w:rsidR="00C8474A">
        <w:rPr>
          <w:rFonts w:eastAsiaTheme="minorEastAsia"/>
        </w:rPr>
        <w:t xml:space="preserve"> the membrane has been experimentally shown </w:t>
      </w:r>
      <w:r w:rsidR="00EC7BB6">
        <w:rPr>
          <w:rFonts w:eastAsiaTheme="minorEastAsia"/>
        </w:rPr>
        <w:t>to have varying hydrophobicity</w:t>
      </w:r>
      <w:r w:rsidR="00493E5A">
        <w:rPr>
          <w:rFonts w:eastAsiaTheme="minorEastAsia"/>
        </w:rPr>
        <w:t>;</w:t>
      </w:r>
      <w:r w:rsidR="00DD6426">
        <w:rPr>
          <w:rFonts w:eastAsiaTheme="minorEastAsia"/>
        </w:rPr>
        <w:t xml:space="preserve"> and because</w:t>
      </w:r>
      <w:r w:rsidR="009D13FD">
        <w:rPr>
          <w:rFonts w:eastAsiaTheme="minorEastAsia"/>
        </w:rPr>
        <w:t xml:space="preserve"> </w:t>
      </w:r>
      <w:r w:rsidR="006D50D5">
        <w:rPr>
          <w:rFonts w:eastAsiaTheme="minorEastAsia"/>
        </w:rPr>
        <w:t>each residue has a distinct</w:t>
      </w:r>
      <w:r w:rsidR="00FD7F3F">
        <w:rPr>
          <w:rFonts w:eastAsiaTheme="minorEastAsia"/>
        </w:rPr>
        <w:t xml:space="preserve"> depth-dependent frequency profile</w:t>
      </w:r>
      <w:r w:rsidR="007E5181">
        <w:rPr>
          <w:rFonts w:eastAsiaTheme="minorEastAsia"/>
        </w:rPr>
        <w:t xml:space="preserve">, sometimes with a </w:t>
      </w:r>
      <w:r w:rsidR="005E1BA9">
        <w:rPr>
          <w:rFonts w:eastAsiaTheme="minorEastAsia"/>
        </w:rPr>
        <w:t xml:space="preserve">smooth transition or even </w:t>
      </w:r>
      <w:r w:rsidR="00520275">
        <w:rPr>
          <w:rFonts w:eastAsiaTheme="minorEastAsia"/>
        </w:rPr>
        <w:t xml:space="preserve">a peak </w:t>
      </w:r>
      <w:r w:rsidR="00B80311">
        <w:rPr>
          <w:rFonts w:eastAsiaTheme="minorEastAsia"/>
        </w:rPr>
        <w:t>partway through</w:t>
      </w:r>
      <w:r w:rsidR="00B3559D">
        <w:rPr>
          <w:rFonts w:eastAsiaTheme="minorEastAsia"/>
        </w:rPr>
        <w:t>, that seem to reflect</w:t>
      </w:r>
      <w:r w:rsidR="00F576ED">
        <w:rPr>
          <w:rFonts w:eastAsiaTheme="minorEastAsia"/>
        </w:rPr>
        <w:t xml:space="preserve"> </w:t>
      </w:r>
      <w:r w:rsidR="007141CD">
        <w:rPr>
          <w:rFonts w:eastAsiaTheme="minorEastAsia"/>
        </w:rPr>
        <w:t xml:space="preserve">a dependence of insertion energy upon depth that is more complicated than a simple distinction between "in" </w:t>
      </w:r>
      <w:r w:rsidR="00515066">
        <w:rPr>
          <w:rFonts w:eastAsiaTheme="minorEastAsia"/>
        </w:rPr>
        <w:t xml:space="preserve">and "out" </w:t>
      </w:r>
      <w:r w:rsidR="00515066">
        <w:rPr>
          <w:rFonts w:eastAsiaTheme="minorEastAsia"/>
        </w:rPr>
        <w:fldChar w:fldCharType="begin"/>
      </w:r>
      <w:r w:rsidR="00515066">
        <w:rPr>
          <w:rFonts w:eastAsiaTheme="minorEastAsia"/>
        </w:rPr>
        <w:instrText xml:space="preserve"> ADDIN ZOTERO_ITEM CSL_CITATION {"citationID":"17innlqm84","properties":{"formattedCitation":"(Hsieh et al., 2012)","plainCitation":"(Hsieh et al., 2012)"},"citationItems":[{"id":15,"uris":["http://zotero.org/users/local/xPq7q79Q/items/7GM24T7G"],"uri":["http://zotero.org/users/local/xPq7q79Q/items/7GM24T7G"],"itemData":{"id":15,"type":"article-journal","title":"A knowledge-based potential highlights unique features of membrane α-helical and β-barrel protein insertion and folding","container-title":"Protein science: a publication of the Protein Society","page":"50-62","volume":"21","issue":"1","source":"NCBI PubMed","abstract":"Outer membrane β-barrel proteins differ from α-helical inner membrane proteins in lipid environment, secondary structure, and the proposed processes of folding and insertion. It is reasonable to expect that outer membrane proteins may contain primary sequence information specific for their folding and insertion behavior. In previous work, a depth-dependent insertion potential, E(z) , was derived for α-helical inner membrane proteins. We have generated an equivalent potential for TM β-barrel proteins. The similarities and differences between these two potentials provide insight into unique aspects of the folding and insertion of β-barrel membrane proteins. This potential can predict orientation within the membrane and identify functional residues involved in intermolecular interactions.","DOI":"10.1002/pro.758","ISSN":"1469-896X","note":"PMID: 22031179","journalAbbreviation":"Protein Sci.","author":[{"family":"Hsieh","given":"Daniel"},{"family":"Davis","given":"Alexander"},{"family":"Nanda","given":"Vikas"}],"issued":{"date-parts":[["2012",1]]}}}],"schema":"https://github.com/citation-style-language/schema/raw/master/csl-citation.json"} </w:instrText>
      </w:r>
      <w:r w:rsidR="00515066">
        <w:rPr>
          <w:rFonts w:eastAsiaTheme="minorEastAsia"/>
        </w:rPr>
        <w:fldChar w:fldCharType="separate"/>
      </w:r>
      <w:r w:rsidR="00515066" w:rsidRPr="00515066">
        <w:rPr>
          <w:rFonts w:ascii="Calibri" w:hAnsi="Calibri"/>
        </w:rPr>
        <w:t>(Hsieh et al., 2012)</w:t>
      </w:r>
      <w:r w:rsidR="00515066">
        <w:rPr>
          <w:rFonts w:eastAsiaTheme="minorEastAsia"/>
        </w:rPr>
        <w:fldChar w:fldCharType="end"/>
      </w:r>
      <w:r w:rsidR="00515066">
        <w:rPr>
          <w:rFonts w:eastAsiaTheme="minorEastAsia"/>
        </w:rPr>
        <w:t>.</w:t>
      </w:r>
    </w:p>
    <w:p w:rsidR="00C83CBD" w:rsidRDefault="0091028E" w:rsidP="006D50D5">
      <w:pPr>
        <w:rPr>
          <w:rFonts w:eastAsiaTheme="minorEastAsia"/>
        </w:rPr>
      </w:pPr>
      <w:r>
        <w:rPr>
          <w:rFonts w:eastAsiaTheme="minorEastAsia"/>
        </w:rPr>
        <w:tab/>
        <w:t xml:space="preserve">Membrane protein structures are scarce, though. </w:t>
      </w:r>
      <w:r w:rsidR="00910FA6">
        <w:rPr>
          <w:rFonts w:eastAsiaTheme="minorEastAsia"/>
        </w:rPr>
        <w:t xml:space="preserve">Using only </w:t>
      </w:r>
      <w:r w:rsidR="002226BE">
        <w:rPr>
          <w:rFonts w:eastAsiaTheme="minorEastAsia"/>
        </w:rPr>
        <w:t xml:space="preserve">the currently solved structures, </w:t>
      </w:r>
      <w:r w:rsidR="00036FA0">
        <w:rPr>
          <w:rFonts w:eastAsiaTheme="minorEastAsia"/>
        </w:rPr>
        <w:t>there is not enough data to capture the asymmetry of the two leaflets of the outer membrane</w:t>
      </w:r>
      <w:r w:rsidR="008C3679">
        <w:rPr>
          <w:rFonts w:eastAsiaTheme="minorEastAsia"/>
        </w:rPr>
        <w:t xml:space="preserve"> in the potential</w:t>
      </w:r>
      <w:r w:rsidR="00036FA0">
        <w:rPr>
          <w:rFonts w:eastAsiaTheme="minorEastAsia"/>
        </w:rPr>
        <w:t xml:space="preserve"> </w:t>
      </w:r>
      <w:r w:rsidR="00036FA0">
        <w:rPr>
          <w:rFonts w:eastAsiaTheme="minorEastAsia"/>
        </w:rPr>
        <w:fldChar w:fldCharType="begin"/>
      </w:r>
      <w:r w:rsidR="00036FA0">
        <w:rPr>
          <w:rFonts w:eastAsiaTheme="minorEastAsia"/>
        </w:rPr>
        <w:instrText xml:space="preserve"> ADDIN ZOTERO_ITEM CSL_CITATION {"citationID":"26qa5jqf1c","properties":{"formattedCitation":"(Hsieh et al., 2012)","plainCitation":"(Hsieh et al., 2012)"},"citationItems":[{"id":15,"uris":["http://zotero.org/users/local/xPq7q79Q/items/7GM24T7G"],"uri":["http://zotero.org/users/local/xPq7q79Q/items/7GM24T7G"],"itemData":{"id":15,"type":"article-journal","title":"A knowledge-based potential highlights unique features of membrane α-helical and β-barrel protein insertion and folding","container-title":"Protein science: a publication of the Protein Society","page":"50-62","volume":"21","issue":"1","source":"NCBI PubMed","abstract":"Outer membrane β-barrel proteins differ from α-helical inner membrane proteins in lipid environment, secondary structure, and the proposed processes of folding and insertion. It is reasonable to expect that outer membrane proteins may contain primary sequence information specific for their folding and insertion behavior. In previous work, a depth-dependent insertion potential, E(z) , was derived for α-helical inner membrane proteins. We have generated an equivalent potential for TM β-barrel proteins. The similarities and differences between these two potentials provide insight into unique aspects of the folding and insertion of β-barrel membrane proteins. This potential can predict orientation within the membrane and identify functional residues involved in intermolecular interactions.","DOI":"10.1002/pro.758","ISSN":"1469-896X","note":"PMID: 22031179","journalAbbreviation":"Protein Sci.","author":[{"family":"Hsieh","given":"Daniel"},{"family":"Davis","given":"Alexander"},{"family":"Nanda","given":"Vikas"}],"issued":{"date-parts":[["2012",1]]}}}],"schema":"https://github.com/citation-style-language/schema/raw/master/csl-citation.json"} </w:instrText>
      </w:r>
      <w:r w:rsidR="00036FA0">
        <w:rPr>
          <w:rFonts w:eastAsiaTheme="minorEastAsia"/>
        </w:rPr>
        <w:fldChar w:fldCharType="separate"/>
      </w:r>
      <w:r w:rsidR="00036FA0" w:rsidRPr="00036FA0">
        <w:rPr>
          <w:rFonts w:ascii="Calibri" w:hAnsi="Calibri"/>
        </w:rPr>
        <w:t>(Hsieh et al., 2012)</w:t>
      </w:r>
      <w:r w:rsidR="00036FA0">
        <w:rPr>
          <w:rFonts w:eastAsiaTheme="minorEastAsia"/>
        </w:rPr>
        <w:fldChar w:fldCharType="end"/>
      </w:r>
      <w:r w:rsidR="00036FA0">
        <w:rPr>
          <w:rFonts w:eastAsiaTheme="minorEastAsia"/>
        </w:rPr>
        <w:t xml:space="preserve">. </w:t>
      </w:r>
      <w:r w:rsidR="00D271F8">
        <w:rPr>
          <w:rFonts w:eastAsiaTheme="minorEastAsia"/>
        </w:rPr>
        <w:t xml:space="preserve">Also, </w:t>
      </w:r>
      <w:r w:rsidR="008F7B4E">
        <w:rPr>
          <w:rFonts w:eastAsiaTheme="minorEastAsia"/>
        </w:rPr>
        <w:t xml:space="preserve">methionine </w:t>
      </w:r>
      <w:r w:rsidR="00B13965">
        <w:rPr>
          <w:rFonts w:eastAsiaTheme="minorEastAsia"/>
        </w:rPr>
        <w:t xml:space="preserve">is </w:t>
      </w:r>
      <w:r w:rsidR="008F7B4E">
        <w:rPr>
          <w:rFonts w:eastAsiaTheme="minorEastAsia"/>
        </w:rPr>
        <w:t xml:space="preserve">too </w:t>
      </w:r>
      <w:r w:rsidR="006C37A0">
        <w:rPr>
          <w:rFonts w:eastAsiaTheme="minorEastAsia"/>
        </w:rPr>
        <w:t xml:space="preserve">rare </w:t>
      </w:r>
      <w:r w:rsidR="00AB71D8">
        <w:rPr>
          <w:rFonts w:eastAsiaTheme="minorEastAsia"/>
        </w:rPr>
        <w:t>to ch</w:t>
      </w:r>
      <w:r w:rsidR="001D5047">
        <w:rPr>
          <w:rFonts w:eastAsiaTheme="minorEastAsia"/>
        </w:rPr>
        <w:t xml:space="preserve">aracterize the depth-dependence </w:t>
      </w:r>
      <w:r w:rsidR="00AB71D8">
        <w:rPr>
          <w:rFonts w:eastAsiaTheme="minorEastAsia"/>
        </w:rPr>
        <w:t xml:space="preserve">of its frequency, but </w:t>
      </w:r>
      <w:r w:rsidR="00F23F4E">
        <w:rPr>
          <w:rFonts w:eastAsiaTheme="minorEastAsia"/>
        </w:rPr>
        <w:t xml:space="preserve">it </w:t>
      </w:r>
      <w:r w:rsidR="00505BAC">
        <w:rPr>
          <w:rFonts w:eastAsiaTheme="minorEastAsia"/>
        </w:rPr>
        <w:t xml:space="preserve">is </w:t>
      </w:r>
      <w:r w:rsidR="00AB71D8">
        <w:rPr>
          <w:rFonts w:eastAsiaTheme="minorEastAsia"/>
        </w:rPr>
        <w:t xml:space="preserve">common enough that </w:t>
      </w:r>
      <w:r w:rsidR="00526F00">
        <w:rPr>
          <w:rFonts w:eastAsiaTheme="minorEastAsia"/>
        </w:rPr>
        <w:t xml:space="preserve">it might be </w:t>
      </w:r>
      <w:r w:rsidR="00827B7F">
        <w:rPr>
          <w:rFonts w:eastAsiaTheme="minorEastAsia"/>
        </w:rPr>
        <w:t xml:space="preserve">characterizable </w:t>
      </w:r>
      <w:r w:rsidR="00526F00">
        <w:rPr>
          <w:rFonts w:eastAsiaTheme="minorEastAsia"/>
        </w:rPr>
        <w:t>with a larger dataset.</w:t>
      </w:r>
    </w:p>
    <w:p w:rsidR="00D60060" w:rsidRDefault="00085AFA" w:rsidP="006D50D5">
      <w:pPr>
        <w:rPr>
          <w:rFonts w:eastAsiaTheme="minorEastAsia"/>
        </w:rPr>
      </w:pPr>
      <w:r>
        <w:rPr>
          <w:rFonts w:eastAsiaTheme="minorEastAsia"/>
        </w:rPr>
        <w:tab/>
      </w:r>
      <w:r w:rsidR="002B1BFE">
        <w:rPr>
          <w:rFonts w:eastAsiaTheme="minorEastAsia"/>
        </w:rPr>
        <w:t xml:space="preserve">There </w:t>
      </w:r>
      <w:r w:rsidR="006D52D6">
        <w:rPr>
          <w:rFonts w:eastAsiaTheme="minorEastAsia"/>
        </w:rPr>
        <w:t xml:space="preserve">are </w:t>
      </w:r>
      <w:r w:rsidR="002B1BFE">
        <w:rPr>
          <w:rFonts w:eastAsiaTheme="minorEastAsia"/>
        </w:rPr>
        <w:t>plenty of available</w:t>
      </w:r>
      <w:r w:rsidR="007119AB">
        <w:rPr>
          <w:rFonts w:eastAsiaTheme="minorEastAsia"/>
        </w:rPr>
        <w:t xml:space="preserve"> sequences, though, from which additional structures can be guessed. There are a variety</w:t>
      </w:r>
      <w:r w:rsidR="00DC0346">
        <w:rPr>
          <w:rFonts w:eastAsiaTheme="minorEastAsia"/>
        </w:rPr>
        <w:t xml:space="preserve"> of methods that can </w:t>
      </w:r>
      <w:r w:rsidR="00712825">
        <w:rPr>
          <w:rFonts w:eastAsiaTheme="minorEastAsia"/>
        </w:rPr>
        <w:t xml:space="preserve">make decent guesses of the structure of the transmembrane strands </w:t>
      </w:r>
      <w:r w:rsidR="006D52D6">
        <w:rPr>
          <w:rFonts w:eastAsiaTheme="minorEastAsia"/>
        </w:rPr>
        <w:fldChar w:fldCharType="begin"/>
      </w:r>
      <w:r w:rsidR="00E026F4">
        <w:rPr>
          <w:rFonts w:eastAsiaTheme="minorEastAsia"/>
        </w:rPr>
        <w:instrText xml:space="preserve"> ADDIN ZOTERO_ITEM CSL_CITATION {"citationID":"N65Rzrf4","properties":{"formattedCitation":"(Forrest et al., 2006; Randall et al., 2008; Hayat and Elofsson, 2012; Naveed et al., 2012)","plainCitation":"(Forrest et al., 2006; Randall et al., 2008; Hayat and Elofsson, 2012; Naveed et al., 2012)"},"citationItems":[{"id":31,"uris":["http://zotero.org/users/local/xPq7q79Q/items/DI67C5UB"],"uri":["http://zotero.org/users/local/xPq7q79Q/items/DI67C5UB"],"itemData":{"id":31,"type":"article-journal","title":"On the Accuracy of Homology Modeling and Sequence Alignment Methods Applied to Membrane Proteins","container-title":"Biophysical Journal","page":"508-517","volume":"91","issue":"2","source":"PubMed Central","abstract":"In this study, we investigate the extent to which techniques for homology modeling that were developed for water-soluble proteins are appropriate for membrane proteins as well. To this end we present an assessment of current strategies for homology modeling of membrane proteins and introduce a benchmark data set of homologous membrane protein structures, called HOMEP. First, we use HOMEP to reveal the relationship between sequence identity and structural similarity in membrane proteins. This analysis indicates that homology modeling is at least as applicable to membrane proteins as it is to water-soluble proteins and that acceptable models (with Cα-RMSD values to the native of 2 Å or less in the transmembrane regions) may be obtained for template sequence identities of 30% or higher if an accurate alignment of the sequences is used. Second, we show that secondary-structure prediction algorithms that were developed for water-soluble proteins perform approximately as well for membrane proteins. Third, we provide a comparison of a set of commonly used sequence alignment algorithms as applied to membrane proteins. We find that high-accuracy alignments of membrane protein sequences can be obtained using state-of-the-art profile-to-profile methods that were developed for water-soluble proteins. Improvements are observed when weights derived from the secondary structure of the query and the template are used in the scoring of the alignment, a result which relies on the accuracy of the secondary-structure prediction of the query sequence. The most accurate alignments were obtained using template profiles constructed with the aid of structural alignments. In contrast, a simple sequence-to-sequence alignment algorithm, using a membrane protein-specific substitution matrix, shows no improvement in alignment accuracy. We suggest that profile-to-profile alignment methods should be adopted to maximize the accuracy of homology models of membrane proteins.","DOI":"10.1529/biophysj.106.082313","ISSN":"0006-3495","note":"PMID: 16648166\nPMCID: PMC1483079","journalAbbreviation":"Biophys J","author":[{"family":"Forrest","given":"Lucy R."},{"family":"Tang","given":"Christopher L."},{"family":"Honig","given":"Barry"}],"issued":{"date-parts":[[2006,7,15]]},"accessed":{"date-parts":[[2012,12,13]]}}},{"id":22,"uris":["http://zotero.org/users/local/xPq7q79Q/items/N4A94TTI"],"uri":["http://zotero.org/users/local/xPq7q79Q/items/N4A94TTI"],"itemData":{"id":22,"type":"article-journal","title":"TMBpro: secondary structure, β-contact and tertiary structure prediction of transmembrane β-barrel proteins","container-title":"Bioinformatics","page":"513-520","volume":"24","issue":"4","source":"bioinformatics.oxfordjournals.org","abstract":"Motivation: Transmembrane β-barrel (TMB) proteins are embedded in the outer membranes of mitochondria, Gram-negative bacteria and chloroplasts. These proteins perform critical functions, including active ion-transport and passive nutrient intake. Therefore, there is a need for accurate prediction of secondary and tertiary structure of TMB proteins. Traditional homology modeling methods, however, fail on most TMB proteins since very few non-homologous TMB structures have been determined. Yet, because TMB structures conform to specific construction rules that restrict the conformational space drastically, it should be possible for methods that do not depend on target-template homology to be applied successfully.\nResults: We develop a suite (TMBpro) of specialized predictors for predicting secondary structure (TMBpro-SS), β-contacts (TMBpro-CON) and tertiary structure (TMBpro-3D) of transmembrane β-barrel proteins. We compare our results to the recent state-of-the-art predictors transFold and PRED-TMBB using their respective benchmark datasets, and leave-one-out cross-validation. Using the transFold dataset TMBpro predicts secondary structure with per-residue accuracy (Q2) of 77.8%, a correlation coefficient of 0.54, and TMBpro predicts β-contacts with precision of 0.65 and recall of 0.67. Using the PRED-TMBB dataset, TMBpro predicts secondary structure with Q2 of 88.3% and a correlation coefficient of 0.75. All of these performance results exceed previously published results by 4% or more. Working with the PRED-TMBB dataset, TMBpro predicts the tertiary structure of transmembrane segments with RMSD &lt;6.0 Å for 9 of 14 proteins. For 6 of 14 predictions, the RMSD is &lt;5.0 Å, with a GDT_TS score greater than 60.0.\nAvailability: http://www.igb.uci.edu/servers/psss.html\nContact: pfbaldi@ics.uci.edu\nSupplementary information: Supplementary data are available at Bioinformatics online.","DOI":"10.1093/bioinformatics/btm548","ISSN":"1367-4803, 1460-2059","shortTitle":"TMBpro","journalAbbreviation":"Bioinformatics","language":"en","author":[{"family":"Randall","given":"Arlo"},{"family":"Cheng","given":"Jianlin"},{"family":"Sweredoski","given":"Michael"},{"family":"Baldi","given":"Pierre"}],"issued":{"date-parts":[[2008,2,15]]},"accessed":{"date-parts":[[2012,12,13]]}}},{"id":25,"uris":["http://zotero.org/users/local/xPq7q79Q/items/3W74QEC5"],"uri":["http://zotero.org/users/local/xPq7q79Q/items/3W74QEC5"],"itemData":{"id":25,"type":"article-journal","title":"Ranking models of transmembrane β-barrel proteins using Z-coordinate predictions","container-title":"Bioinformatics","page":"i90-i96","volume":"28","issue":"12","source":"bioinformatics.oxfordjournals.org","abstract":"Motivation: Transmembrane β-barrels exist in the outer membrane of gram-negative bacteria as well as in chloroplast and mitochondria. They are often involved in transport processes and are promising antimicrobial drug targets. Structures of only a few β-barrel protein families are known. Therefore, a method that could automatically generate such models would be valuable. The symmetrical arrangement of the barrels suggests that an approach based on idealized geometries may be successful.\nResults: Here, we present tobmodel; a method for generating 3D models of β-barrel transmembrane proteins. First, alternative topologies are obtained from the BOCTOPUS topology predictor. Thereafter, several 3D models are constructed by using different angles of the β-sheets. Finally, the best model is selected based on agreement with a novel predictor, ZPRED3, which predicts the distance from the center of the membrane for each residue, i.e. the Z-coordinate. The Z-coordinate prediction has an average error of 1.61 Å. Tobmodel predicts the correct topology for 75% of the proteins in the dataset which is a slight improvement over BOCTOPUS alone. More importantly, however, tobmodel provides a Cα template with an average RMSD of 7.24 Å from the native structure.\nAvailability: Tobmodel is freely available as a web server at: http://tobmodel.cbr.su.se/. The datasets used for training and evaluations are also available from this site.\nContact: arne@bioinfo.se","DOI":"10.1093/bioinformatics/bts233","ISSN":"1367-4803, 1460-2059","journalAbbreviation":"Bioinformatics","language":"en","author":[{"family":"Hayat","given":"Sikander"},{"family":"Elofsson","given":"Arne"}],"issued":{"date-parts":[[2012,6,15]]},"accessed":{"date-parts":[[2012,12,13]]}}},{"id":28,"uris":["http://zotero.org/users/local/xPq7q79Q/items/MXEIXT5U"],"uri":["http://zotero.org/users/local/xPq7q79Q/items/MXEIXT5U"],"itemData":{"id":28,"type":"article-journal","title":"Predicting Three-Dimensional Structures of Transmembrane Domains of β-Barrel Membrane Proteins","container-title":"Journal of the American Chemical Society","page":"1775-1781","volume":"134","issue":"3","source":"ACS Publications","abstract":"?-Barrel membrane proteins are found in the outer membrane of gram-negative bacteria, mitochondria, and chloroplasts. They are important for pore formation, membrane anchoring, and enzyme activity. These proteins are also often responsible for bacterial virulence. Due to difficulties in experimental structure determination, they are sparsely represented in the protein structure databank. We have developed a computational method for predicting structures of the transmembrane (TM) domains of ?-barrel membrane proteins. Based on physical principles, our method can predict structures of the TM domain of ?-barrel membrane proteins of novel topology, including those from eukaryotic mitochondria. Our method is based on a model of physical interactions, a discrete conformational state space, an empirical potential function, as well as a model to account for interstrand loop entropy. We are able to construct three-dimensional atomic structure of the TM domains from sequences for a set of 23 nonhomologous proteins (resolution 1.8?3.0 Å). The median rmsd of TM domains containing 75?222 residues between predicted and measured structures is 3.9 Å for main chain atoms. In addition, stability determinants and protein?protein interaction sites can be predicted. Such predictions on eukaryotic mitochondria outer membrane protein Tom40 and VDAC are confirmed by independent mutagenesis and chemical cross-linking studies. These results suggest that our model captures key components of the organization principles of ?-barrel membrane protein assembly.","DOI":"10.1021/ja209895m","ISSN":"0002-7863","journalAbbreviation":"J. Am. Chem. Soc.","author":[{"family":"Naveed","given":"Hammad"},{"family":"Xu","given":"Yun"},{"family":"Jackups","given":"Ronald"},{"family":"Liang","given":"Jie"}],"issued":{"date-parts":[["2012",1,25]]},"accessed":{"date-parts":[[2012,12,13]]}}}],"schema":"https://github.com/citation-style-language/schema/raw/master/csl-citation.json"} </w:instrText>
      </w:r>
      <w:r w:rsidR="006D52D6">
        <w:rPr>
          <w:rFonts w:eastAsiaTheme="minorEastAsia"/>
        </w:rPr>
        <w:fldChar w:fldCharType="separate"/>
      </w:r>
      <w:r w:rsidR="00E026F4" w:rsidRPr="00E026F4">
        <w:rPr>
          <w:rFonts w:ascii="Calibri" w:hAnsi="Calibri"/>
        </w:rPr>
        <w:t xml:space="preserve">(Forrest et al., 2006; Randall et al., 2008; Hayat and Elofsson, 2012; Naveed et </w:t>
      </w:r>
      <w:r w:rsidR="00E026F4" w:rsidRPr="00E026F4">
        <w:rPr>
          <w:rFonts w:ascii="Calibri" w:hAnsi="Calibri"/>
        </w:rPr>
        <w:lastRenderedPageBreak/>
        <w:t>al., 2012)</w:t>
      </w:r>
      <w:r w:rsidR="006D52D6">
        <w:rPr>
          <w:rFonts w:eastAsiaTheme="minorEastAsia"/>
        </w:rPr>
        <w:fldChar w:fldCharType="end"/>
      </w:r>
      <w:r w:rsidR="00CC0FB7">
        <w:rPr>
          <w:rFonts w:eastAsiaTheme="minorEastAsia"/>
        </w:rPr>
        <w:t xml:space="preserve">. </w:t>
      </w:r>
      <w:r w:rsidR="0002318D">
        <w:rPr>
          <w:rFonts w:eastAsiaTheme="minorEastAsia"/>
        </w:rPr>
        <w:t xml:space="preserve">This study </w:t>
      </w:r>
      <w:r w:rsidR="004E073B">
        <w:rPr>
          <w:rFonts w:eastAsiaTheme="minorEastAsia"/>
        </w:rPr>
        <w:t xml:space="preserve">concerns the evaluation of </w:t>
      </w:r>
      <w:r w:rsidR="00F30333">
        <w:rPr>
          <w:rFonts w:eastAsiaTheme="minorEastAsia"/>
        </w:rPr>
        <w:t>a specific protocol for one o</w:t>
      </w:r>
      <w:r w:rsidR="008B5874">
        <w:rPr>
          <w:rFonts w:eastAsiaTheme="minorEastAsia"/>
        </w:rPr>
        <w:t>f those methods: homology model</w:t>
      </w:r>
      <w:r w:rsidR="00F30333">
        <w:rPr>
          <w:rFonts w:eastAsiaTheme="minorEastAsia"/>
        </w:rPr>
        <w:t>ing.</w:t>
      </w:r>
    </w:p>
    <w:p w:rsidR="0096078E" w:rsidRDefault="0096078E" w:rsidP="006D50D5">
      <w:pPr>
        <w:rPr>
          <w:rFonts w:eastAsiaTheme="minorEastAsia"/>
        </w:rPr>
      </w:pPr>
      <w:r>
        <w:rPr>
          <w:rFonts w:eastAsiaTheme="minorEastAsia"/>
        </w:rPr>
        <w:tab/>
      </w:r>
      <w:r w:rsidR="00156229">
        <w:rPr>
          <w:rFonts w:eastAsiaTheme="minorEastAsia"/>
        </w:rPr>
        <w:t xml:space="preserve">This study </w:t>
      </w:r>
      <w:r w:rsidR="002C50E6">
        <w:rPr>
          <w:rFonts w:eastAsiaTheme="minorEastAsia"/>
        </w:rPr>
        <w:t>will explore a method of homol</w:t>
      </w:r>
      <w:r w:rsidR="00FB3943">
        <w:rPr>
          <w:rFonts w:eastAsiaTheme="minorEastAsia"/>
        </w:rPr>
        <w:t>o</w:t>
      </w:r>
      <w:r w:rsidR="002C50E6">
        <w:rPr>
          <w:rFonts w:eastAsiaTheme="minorEastAsia"/>
        </w:rPr>
        <w:t xml:space="preserve">gy </w:t>
      </w:r>
      <w:r w:rsidR="00185919">
        <w:rPr>
          <w:rFonts w:eastAsiaTheme="minorEastAsia"/>
        </w:rPr>
        <w:t>model</w:t>
      </w:r>
      <w:r w:rsidR="002C50E6">
        <w:rPr>
          <w:rFonts w:eastAsiaTheme="minorEastAsia"/>
        </w:rPr>
        <w:t xml:space="preserve">ing based purely on </w:t>
      </w:r>
      <w:r w:rsidR="00E37273">
        <w:rPr>
          <w:rFonts w:eastAsiaTheme="minorEastAsia"/>
        </w:rPr>
        <w:t xml:space="preserve">evolutionary information. </w:t>
      </w:r>
      <w:r w:rsidR="0033109E">
        <w:rPr>
          <w:rFonts w:eastAsiaTheme="minorEastAsia"/>
        </w:rPr>
        <w:t xml:space="preserve">There are two distinct advantages to this. </w:t>
      </w:r>
      <w:r w:rsidR="00CF75FD">
        <w:rPr>
          <w:rFonts w:eastAsiaTheme="minorEastAsia"/>
        </w:rPr>
        <w:t xml:space="preserve">One is that </w:t>
      </w:r>
      <w:r w:rsidR="00DF5F0A">
        <w:rPr>
          <w:rFonts w:eastAsiaTheme="minorEastAsia"/>
        </w:rPr>
        <w:t xml:space="preserve">it is very easy and can bed done with off-the-shelf </w:t>
      </w:r>
      <w:r w:rsidR="009357EE">
        <w:rPr>
          <w:rFonts w:eastAsiaTheme="minorEastAsia"/>
        </w:rPr>
        <w:t xml:space="preserve">general purpose </w:t>
      </w:r>
      <w:r w:rsidR="00DF5F0A">
        <w:rPr>
          <w:rFonts w:eastAsiaTheme="minorEastAsia"/>
        </w:rPr>
        <w:t>software</w:t>
      </w:r>
      <w:r w:rsidR="00D72AA2">
        <w:rPr>
          <w:rFonts w:eastAsiaTheme="minorEastAsia"/>
        </w:rPr>
        <w:t>, with a little scripting to tie it together</w:t>
      </w:r>
      <w:r w:rsidR="00DF5F0A">
        <w:rPr>
          <w:rFonts w:eastAsiaTheme="minorEastAsia"/>
        </w:rPr>
        <w:t>.</w:t>
      </w:r>
      <w:r w:rsidR="000744B7">
        <w:rPr>
          <w:rFonts w:eastAsiaTheme="minorEastAsia"/>
        </w:rPr>
        <w:t xml:space="preserve"> </w:t>
      </w:r>
      <w:r w:rsidR="009344C8">
        <w:rPr>
          <w:rFonts w:eastAsiaTheme="minorEastAsia"/>
        </w:rPr>
        <w:t xml:space="preserve">This also makes it easy to understand. </w:t>
      </w:r>
      <w:r w:rsidR="000744B7">
        <w:rPr>
          <w:rFonts w:eastAsiaTheme="minorEastAsia"/>
        </w:rPr>
        <w:t>The other</w:t>
      </w:r>
      <w:r w:rsidR="00B67432">
        <w:rPr>
          <w:rFonts w:eastAsiaTheme="minorEastAsia"/>
        </w:rPr>
        <w:t xml:space="preserve"> advantage</w:t>
      </w:r>
      <w:r w:rsidR="000744B7">
        <w:rPr>
          <w:rFonts w:eastAsiaTheme="minorEastAsia"/>
        </w:rPr>
        <w:t xml:space="preserve"> is </w:t>
      </w:r>
      <w:r w:rsidR="003C4F17">
        <w:rPr>
          <w:rFonts w:eastAsiaTheme="minorEastAsia"/>
        </w:rPr>
        <w:t>that</w:t>
      </w:r>
      <w:r w:rsidR="00646F58">
        <w:rPr>
          <w:rFonts w:eastAsiaTheme="minorEastAsia"/>
        </w:rPr>
        <w:t xml:space="preserve"> it embodies no prior assumptions about energies.</w:t>
      </w:r>
      <w:r w:rsidR="00637F83">
        <w:rPr>
          <w:rFonts w:eastAsiaTheme="minorEastAsia"/>
        </w:rPr>
        <w:t xml:space="preserve"> </w:t>
      </w:r>
      <w:r w:rsidR="0089378C">
        <w:rPr>
          <w:rFonts w:eastAsiaTheme="minorEastAsia"/>
        </w:rPr>
        <w:t xml:space="preserve">Some other methods </w:t>
      </w:r>
      <w:r w:rsidR="00603FC1">
        <w:rPr>
          <w:rFonts w:eastAsiaTheme="minorEastAsia"/>
        </w:rPr>
        <w:t>involve</w:t>
      </w:r>
      <w:r w:rsidR="004364A1">
        <w:rPr>
          <w:rFonts w:eastAsiaTheme="minorEastAsia"/>
        </w:rPr>
        <w:t xml:space="preserve"> </w:t>
      </w:r>
      <w:r w:rsidR="0044061E">
        <w:rPr>
          <w:rFonts w:eastAsiaTheme="minorEastAsia"/>
        </w:rPr>
        <w:t xml:space="preserve">a knowledge-based potential </w:t>
      </w:r>
      <w:r w:rsidR="00BF2D85">
        <w:rPr>
          <w:rFonts w:eastAsiaTheme="minorEastAsia"/>
        </w:rPr>
        <w:t>at some point during the process.</w:t>
      </w:r>
      <w:r w:rsidR="00932C8E">
        <w:rPr>
          <w:rFonts w:eastAsiaTheme="minorEastAsia"/>
        </w:rPr>
        <w:t xml:space="preserve"> In the homology modeling procedure, biases may emerge </w:t>
      </w:r>
      <w:r w:rsidR="00097601">
        <w:rPr>
          <w:rFonts w:eastAsiaTheme="minorEastAsia"/>
        </w:rPr>
        <w:t>due to the way</w:t>
      </w:r>
      <w:r w:rsidR="005B4367">
        <w:rPr>
          <w:rFonts w:eastAsiaTheme="minorEastAsia"/>
        </w:rPr>
        <w:t xml:space="preserve"> the sequences are handled, but at least </w:t>
      </w:r>
      <w:r w:rsidR="001D26B7">
        <w:rPr>
          <w:rFonts w:eastAsiaTheme="minorEastAsia"/>
        </w:rPr>
        <w:t xml:space="preserve">we will not end up with </w:t>
      </w:r>
      <w:r w:rsidR="00EF3782">
        <w:rPr>
          <w:rFonts w:eastAsiaTheme="minorEastAsia"/>
        </w:rPr>
        <w:t xml:space="preserve">energies of transfer that </w:t>
      </w:r>
      <w:r w:rsidR="008C6A4E">
        <w:rPr>
          <w:rFonts w:eastAsiaTheme="minorEastAsia"/>
        </w:rPr>
        <w:t xml:space="preserve">reflect </w:t>
      </w:r>
      <w:r w:rsidR="009B30A6">
        <w:rPr>
          <w:rFonts w:eastAsiaTheme="minorEastAsia"/>
        </w:rPr>
        <w:t>other energy functions that we fed into the structure prediction process.</w:t>
      </w:r>
    </w:p>
    <w:p w:rsidR="00856C7C" w:rsidRPr="002F0228" w:rsidRDefault="00192836" w:rsidP="006D50D5">
      <w:r>
        <w:rPr>
          <w:rFonts w:eastAsiaTheme="minorEastAsia"/>
        </w:rPr>
        <w:tab/>
      </w:r>
      <w:r w:rsidR="004F3D50">
        <w:rPr>
          <w:rFonts w:eastAsiaTheme="minorEastAsia"/>
        </w:rPr>
        <w:t xml:space="preserve">There are two fundamental </w:t>
      </w:r>
      <w:r w:rsidR="00AC5E7C">
        <w:rPr>
          <w:rFonts w:eastAsiaTheme="minorEastAsia"/>
        </w:rPr>
        <w:t>steps</w:t>
      </w:r>
      <w:r w:rsidR="00C702A1">
        <w:rPr>
          <w:rFonts w:eastAsiaTheme="minorEastAsia"/>
        </w:rPr>
        <w:t xml:space="preserve"> </w:t>
      </w:r>
      <w:r w:rsidR="00C14BDE">
        <w:rPr>
          <w:rFonts w:eastAsiaTheme="minorEastAsia"/>
        </w:rPr>
        <w:t xml:space="preserve">in homology modeling. </w:t>
      </w:r>
      <w:r w:rsidR="009F57CF">
        <w:rPr>
          <w:rFonts w:eastAsiaTheme="minorEastAsia"/>
        </w:rPr>
        <w:t xml:space="preserve">The first is finding a template for each sequence, and </w:t>
      </w:r>
      <w:r w:rsidR="001C2A16">
        <w:rPr>
          <w:rFonts w:eastAsiaTheme="minorEastAsia"/>
        </w:rPr>
        <w:t xml:space="preserve">the </w:t>
      </w:r>
      <w:r w:rsidR="009F57CF">
        <w:rPr>
          <w:rFonts w:eastAsiaTheme="minorEastAsia"/>
        </w:rPr>
        <w:t xml:space="preserve">second is mapping the structure onto each template. </w:t>
      </w:r>
      <w:r w:rsidR="008B6509">
        <w:rPr>
          <w:rFonts w:eastAsiaTheme="minorEastAsia"/>
        </w:rPr>
        <w:t xml:space="preserve">In this study I test investigate the effectiveness of </w:t>
      </w:r>
      <w:r w:rsidR="001C2A16">
        <w:rPr>
          <w:rFonts w:eastAsiaTheme="minorEastAsia"/>
        </w:rPr>
        <w:t>using the HHOMP database</w:t>
      </w:r>
      <w:r w:rsidR="00D5285A">
        <w:rPr>
          <w:rFonts w:eastAsiaTheme="minorEastAsia"/>
        </w:rPr>
        <w:t xml:space="preserve">'s search function to match </w:t>
      </w:r>
      <w:r w:rsidR="00194795">
        <w:rPr>
          <w:rFonts w:eastAsiaTheme="minorEastAsia"/>
        </w:rPr>
        <w:t>sequences with templates</w:t>
      </w:r>
      <w:r w:rsidR="00104880">
        <w:rPr>
          <w:rFonts w:eastAsiaTheme="minorEastAsia"/>
        </w:rPr>
        <w:t xml:space="preserve"> </w:t>
      </w:r>
      <w:r w:rsidR="002F0228">
        <w:rPr>
          <w:rFonts w:eastAsiaTheme="minorEastAsia"/>
        </w:rPr>
        <w:fldChar w:fldCharType="begin"/>
      </w:r>
      <w:r w:rsidR="002F0228">
        <w:rPr>
          <w:rFonts w:eastAsiaTheme="minorEastAsia"/>
        </w:rPr>
        <w:instrText xml:space="preserve"> ADDIN ZOTERO_ITEM CSL_CITATION {"citationID":"263j0b6f7h","properties":{"formattedCitation":"(Remmert et al., 2009)","plainCitation":"(Remmert et al., 2009)"},"citationItems":[{"id":34,"uris":["http://zotero.org/users/local/xPq7q79Q/items/W278ZZ77"],"uri":["http://zotero.org/users/local/xPq7q79Q/items/W278ZZ77"],"itemData":{"id":34,"type":"article-journal","title":"HHomp--prediction and classification of outer membrane proteins","container-title":"Nucleic Acids Research","page":"W446-W451","volume":"37","issue":"Web Server","source":"CrossRef","DOI":"10.1093/nar/gkp325","ISSN":"0305-1048, 1362-4962","author":[{"family":"Remmert","given":"M."},{"family":"Linke","given":"D."},{"family":"Lupas","given":"A. N."},{"family":"Soding","given":"J."}],"issued":{"date-parts":[[2009,5,8]]},"accessed":{"date-parts":[[2012,12,13]]}}}],"schema":"https://github.com/citation-style-language/schema/raw/master/csl-citation.json"} </w:instrText>
      </w:r>
      <w:r w:rsidR="002F0228">
        <w:rPr>
          <w:rFonts w:eastAsiaTheme="minorEastAsia"/>
        </w:rPr>
        <w:fldChar w:fldCharType="separate"/>
      </w:r>
      <w:r w:rsidR="002F0228" w:rsidRPr="002F0228">
        <w:rPr>
          <w:rFonts w:ascii="Calibri" w:hAnsi="Calibri"/>
        </w:rPr>
        <w:t>(Remmert et al., 2009)</w:t>
      </w:r>
      <w:r w:rsidR="002F0228">
        <w:rPr>
          <w:rFonts w:eastAsiaTheme="minorEastAsia"/>
        </w:rPr>
        <w:fldChar w:fldCharType="end"/>
      </w:r>
      <w:r w:rsidR="00194795">
        <w:rPr>
          <w:rFonts w:eastAsiaTheme="minorEastAsia"/>
        </w:rPr>
        <w:t xml:space="preserve">, </w:t>
      </w:r>
      <w:r w:rsidR="00056401">
        <w:rPr>
          <w:rFonts w:eastAsiaTheme="minorEastAsia"/>
        </w:rPr>
        <w:t xml:space="preserve">and </w:t>
      </w:r>
      <w:r w:rsidR="004B34BA">
        <w:rPr>
          <w:rFonts w:eastAsiaTheme="minorEastAsia"/>
        </w:rPr>
        <w:t xml:space="preserve">the </w:t>
      </w:r>
      <w:r w:rsidR="00104880">
        <w:rPr>
          <w:rFonts w:eastAsiaTheme="minorEastAsia"/>
        </w:rPr>
        <w:t>sequence alignment</w:t>
      </w:r>
      <w:r w:rsidR="002F0228">
        <w:rPr>
          <w:rFonts w:eastAsiaTheme="minorEastAsia"/>
        </w:rPr>
        <w:t xml:space="preserve"> program ClustalW</w:t>
      </w:r>
      <w:r w:rsidR="00191D48">
        <w:t xml:space="preserve"> </w:t>
      </w:r>
      <w:r w:rsidR="00191D48">
        <w:fldChar w:fldCharType="begin"/>
      </w:r>
      <w:r w:rsidR="00191D48">
        <w:instrText xml:space="preserve"> ADDIN ZOTERO_ITEM CSL_CITATION {"citationID":"22c0iu0ic","properties":{"formattedCitation":"(Larkin et al., 2007)","plainCitation":"(Larkin et al., 2007)"},"citationItems":[{"id":36,"uris":["http://zotero.org/users/local/xPq7q79Q/items/9KTZ2WNC"],"uri":["http://zotero.org/users/local/xPq7q79Q/items/9KTZ2WNC"],"itemData":{"id":36,"type":"article-journal","title":"Clustal W and Clustal X version 2.0","container-title":"Bioinformatics","page":"2947-2948","volume":"23","issue":"21","source":"bioinformatics.oxfordjournals.org","abstract":"Summary: The Clustal W and Clustal X multiple sequence alignment programs have been completely rewritten in C++. This will facilitate the further development of the alignment algorithms in the future and has allowed proper porting of the programs to the latest versions of Linux, Macintosh and Windows operating systems.\nAvailability: The programs can be run on-line from the EBI web server: http://www.ebi.ac.uk/tools/clustalw2. The source code and executables for Windows, Linux and Macintosh computers are available from the EBI ftp site ftp://ftp.ebi.ac.uk/pub/software/clustalw2/\nContact: clustalw@ucd.ie","DOI":"10.1093/bioinformatics/btm404","ISSN":"1367-4803, 1460-2059","journalAbbreviation":"Bioinformatics","language":"en","author":[{"family":"Larkin","given":"M. A."},{"family":"Blackshields","given":"G."},{"family":"Brown","given":"N. P."},{"family":"Chenna","given":"R."},{"family":"McGettigan","given":"P. A."},{"family":"McWilliam","given":"H."},{"family":"Valentin","given":"F."},{"family":"Wallace","given":"I. M."},{"family":"Wilm","given":"A."},{"family":"Lopez","given":"R."},{"family":"Thompson","given":"J. D."},{"family":"Gibson","given":"T. J."},{"family":"Higgins","given":"D. G."}],"issued":{"date-parts":[[2007,11,1]]},"accessed":{"date-parts":[[2012,12,13]]}}}],"schema":"https://github.com/citation-style-language/schema/raw/master/csl-citation.json"} </w:instrText>
      </w:r>
      <w:r w:rsidR="00191D48">
        <w:fldChar w:fldCharType="separate"/>
      </w:r>
      <w:r w:rsidR="00191D48" w:rsidRPr="00191D48">
        <w:rPr>
          <w:rFonts w:ascii="Calibri" w:hAnsi="Calibri"/>
        </w:rPr>
        <w:t>(Larkin et al., 2007)</w:t>
      </w:r>
      <w:r w:rsidR="00191D48">
        <w:fldChar w:fldCharType="end"/>
      </w:r>
      <w:r w:rsidR="00191D48">
        <w:t>.</w:t>
      </w:r>
    </w:p>
    <w:p w:rsidR="00483893" w:rsidRDefault="006E4CBF" w:rsidP="006E4CBF">
      <w:pPr>
        <w:pStyle w:val="Heading2"/>
        <w:rPr>
          <w:rFonts w:eastAsiaTheme="minorEastAsia"/>
        </w:rPr>
      </w:pPr>
      <w:r>
        <w:rPr>
          <w:rFonts w:eastAsiaTheme="minorEastAsia"/>
        </w:rPr>
        <w:t>Experiment 1</w:t>
      </w:r>
      <w:r w:rsidR="00C059C9">
        <w:rPr>
          <w:rFonts w:eastAsiaTheme="minorEastAsia"/>
        </w:rPr>
        <w:t>: Determination of the evolutionary distance between sequences in an HHOMP cluster</w:t>
      </w:r>
    </w:p>
    <w:p w:rsidR="00826316" w:rsidRDefault="00775EC9" w:rsidP="00775EC9">
      <w:pPr>
        <w:pStyle w:val="Heading3"/>
      </w:pPr>
      <w:r>
        <w:t>Introduction</w:t>
      </w:r>
    </w:p>
    <w:p w:rsidR="00775EC9" w:rsidRDefault="00B37640" w:rsidP="00775EC9">
      <w:pPr>
        <w:rPr>
          <w:rFonts w:eastAsiaTheme="minorEastAsia"/>
        </w:rPr>
      </w:pPr>
      <w:r>
        <w:tab/>
        <w:t>The HHOMP database</w:t>
      </w:r>
      <w:r w:rsidR="0064503B">
        <w:t xml:space="preserve"> is a database of sequences predicted to be OMPs </w:t>
      </w:r>
      <w:r w:rsidR="0064503B">
        <w:rPr>
          <w:rFonts w:eastAsiaTheme="minorEastAsia"/>
        </w:rPr>
        <w:fldChar w:fldCharType="begin"/>
      </w:r>
      <w:r w:rsidR="00733C65">
        <w:rPr>
          <w:rFonts w:eastAsiaTheme="minorEastAsia"/>
        </w:rPr>
        <w:instrText xml:space="preserve"> ADDIN ZOTERO_ITEM CSL_CITATION {"citationID":"fhyMSaTF","properties":{"formattedCitation":"(Remmert et al., 2009)","plainCitation":"(Remmert et al., 2009)"},"citationItems":[{"id":34,"uris":["http://zotero.org/users/local/xPq7q79Q/items/W278ZZ77"],"uri":["http://zotero.org/users/local/xPq7q79Q/items/W278ZZ77"],"itemData":{"id":34,"type":"article-journal","title":"HHomp--prediction and classification of outer membrane proteins","container-title":"Nucleic Acids Research","page":"W446-W451","volume":"37","issue":"Web Server","source":"CrossRef","DOI":"10.1093/nar/gkp325","ISSN":"0305-1048, 1362-4962","author":[{"family":"Remmert","given":"M."},{"family":"Linke","given":"D."},{"family":"Lupas","given":"A. N."},{"family":"Soding","given":"J."}],"issued":{"date-parts":[[2009,5,8]]},"accessed":{"date-parts":[[2012,12,13]]}}}],"schema":"https://github.com/citation-style-language/schema/raw/master/csl-citation.json"} </w:instrText>
      </w:r>
      <w:r w:rsidR="0064503B">
        <w:rPr>
          <w:rFonts w:eastAsiaTheme="minorEastAsia"/>
        </w:rPr>
        <w:fldChar w:fldCharType="separate"/>
      </w:r>
      <w:r w:rsidR="0064503B" w:rsidRPr="002F0228">
        <w:rPr>
          <w:rFonts w:ascii="Calibri" w:hAnsi="Calibri"/>
        </w:rPr>
        <w:t>(Remmert et al., 2009)</w:t>
      </w:r>
      <w:r w:rsidR="0064503B">
        <w:rPr>
          <w:rFonts w:eastAsiaTheme="minorEastAsia"/>
        </w:rPr>
        <w:fldChar w:fldCharType="end"/>
      </w:r>
      <w:r w:rsidR="0064503B">
        <w:rPr>
          <w:rFonts w:eastAsiaTheme="minorEastAsia"/>
        </w:rPr>
        <w:t>.</w:t>
      </w:r>
      <w:r w:rsidR="007F2330">
        <w:rPr>
          <w:rFonts w:eastAsiaTheme="minorEastAsia"/>
        </w:rPr>
        <w:t xml:space="preserve"> </w:t>
      </w:r>
      <w:r w:rsidR="00733C65">
        <w:rPr>
          <w:rFonts w:eastAsiaTheme="minorEastAsia"/>
        </w:rPr>
        <w:t>The sequences have been divided into clusters by the program CLANS</w:t>
      </w:r>
      <w:r w:rsidR="006B45D8">
        <w:rPr>
          <w:rFonts w:eastAsiaTheme="minorEastAsia"/>
        </w:rPr>
        <w:t xml:space="preserve">, </w:t>
      </w:r>
      <w:r w:rsidR="008E00C7">
        <w:rPr>
          <w:rFonts w:eastAsiaTheme="minorEastAsia"/>
        </w:rPr>
        <w:t xml:space="preserve">to produce clusters of proteins </w:t>
      </w:r>
      <w:r w:rsidR="003C6F62">
        <w:rPr>
          <w:rFonts w:eastAsiaTheme="minorEastAsia"/>
        </w:rPr>
        <w:t>related proteins</w:t>
      </w:r>
      <w:r w:rsidR="00733C65">
        <w:rPr>
          <w:rFonts w:eastAsiaTheme="minorEastAsia"/>
        </w:rPr>
        <w:t xml:space="preserve"> </w:t>
      </w:r>
      <w:r w:rsidR="00733C65">
        <w:rPr>
          <w:rFonts w:eastAsiaTheme="minorEastAsia"/>
        </w:rPr>
        <w:fldChar w:fldCharType="begin"/>
      </w:r>
      <w:r w:rsidR="00733C65">
        <w:rPr>
          <w:rFonts w:eastAsiaTheme="minorEastAsia"/>
        </w:rPr>
        <w:instrText xml:space="preserve"> ADDIN ZOTERO_ITEM CSL_CITATION {"citationID":"17e0oc9bf8","properties":{"formattedCitation":"(Frickey and Lupas, 2004)","plainCitation":"(Frickey and Lupas, 2004)"},"citationItems":[{"id":39,"uris":["http://zotero.org/users/local/xPq7q79Q/items/DBX7VTD5"],"uri":["http://zotero.org/users/local/xPq7q79Q/items/DBX7VTD5"],"itemData":{"id":39,"type":"article-journal","title":"CLANS: a Java application for visualizing protein families based on pairwise similarity","container-title":"Bioinformatics","page":"3702-3704","volume":"20","issue":"18","source":"bioinformatics.oxfordjournals.org","abstract":"Summary: The main source of hypotheses on the structure and function of new proteins is their homology to proteins with known properties. Homologous relationships are typically established through sequence similarity searches, multiple alignments and phylogenetic reconstruction. In cases where the number of potential relationships is large, for example in P-loop NTPases with many thousands of members, alignments and phylogenies become computationally demanding, accumulate errors and lose resolution. In search of a better way to analyze relationships in large sequence datasets we have developed a Java application, CLANS (CLuster ANalysis of Sequences), which uses a version of the Fruchterman–Reingold graph layout algorithm to visualize pairwise sequence similarities in either two-dimensional or three-dimensional space.\nAvailability: CLANS can be downloaded at http://protevo.eb.tuebingen.mpg.de/download","DOI":"10.1093/bioinformatics/bth444","ISSN":"1367-4803, 1460-2059","shortTitle":"CLANS","journalAbbreviation":"Bioinformatics","language":"en","author":[{"family":"Frickey","given":"Tancred"},{"family":"Lupas","given":"Andrei"}],"issued":{"date-parts":[[2004,12,12]]},"accessed":{"date-parts":[[2012,12,13]]}}}],"schema":"https://github.com/citation-style-language/schema/raw/master/csl-citation.json"} </w:instrText>
      </w:r>
      <w:r w:rsidR="00733C65">
        <w:rPr>
          <w:rFonts w:eastAsiaTheme="minorEastAsia"/>
        </w:rPr>
        <w:fldChar w:fldCharType="separate"/>
      </w:r>
      <w:r w:rsidR="00733C65" w:rsidRPr="00733C65">
        <w:rPr>
          <w:rFonts w:ascii="Calibri" w:hAnsi="Calibri"/>
        </w:rPr>
        <w:t>(Frickey and Lupas, 2004)</w:t>
      </w:r>
      <w:r w:rsidR="00733C65">
        <w:rPr>
          <w:rFonts w:eastAsiaTheme="minorEastAsia"/>
        </w:rPr>
        <w:fldChar w:fldCharType="end"/>
      </w:r>
      <w:r w:rsidR="00733C65">
        <w:rPr>
          <w:rFonts w:eastAsiaTheme="minorEastAsia"/>
        </w:rPr>
        <w:t>.</w:t>
      </w:r>
      <w:r w:rsidR="00750DF6">
        <w:rPr>
          <w:rFonts w:eastAsiaTheme="minorEastAsia"/>
        </w:rPr>
        <w:t xml:space="preserve"> Many clusters contain </w:t>
      </w:r>
      <w:r w:rsidR="0072067B">
        <w:rPr>
          <w:rFonts w:eastAsiaTheme="minorEastAsia"/>
        </w:rPr>
        <w:t>a sequence of known structure</w:t>
      </w:r>
      <w:r w:rsidR="007A23C9">
        <w:rPr>
          <w:rFonts w:eastAsiaTheme="minorEastAsia"/>
        </w:rPr>
        <w:t>.</w:t>
      </w:r>
      <w:r w:rsidR="009B7010" w:rsidRPr="009B7010">
        <w:rPr>
          <w:rFonts w:eastAsiaTheme="minorEastAsia"/>
        </w:rPr>
        <w:t xml:space="preserve"> </w:t>
      </w:r>
    </w:p>
    <w:p w:rsidR="001879F8" w:rsidRDefault="001879F8" w:rsidP="00775EC9">
      <w:pPr>
        <w:rPr>
          <w:rFonts w:eastAsiaTheme="minorEastAsia"/>
        </w:rPr>
      </w:pPr>
      <w:r>
        <w:rPr>
          <w:rFonts w:eastAsiaTheme="minorEastAsia"/>
        </w:rPr>
        <w:tab/>
        <w:t xml:space="preserve">A strategy that immediately springs to mind is </w:t>
      </w:r>
      <w:r w:rsidR="00AE4594">
        <w:rPr>
          <w:rFonts w:eastAsiaTheme="minorEastAsia"/>
        </w:rPr>
        <w:t xml:space="preserve">to solve the </w:t>
      </w:r>
      <w:r w:rsidR="00C91CFC">
        <w:rPr>
          <w:rFonts w:eastAsiaTheme="minorEastAsia"/>
        </w:rPr>
        <w:t>template-finding step</w:t>
      </w:r>
      <w:r w:rsidR="000A30AF">
        <w:rPr>
          <w:rFonts w:eastAsiaTheme="minorEastAsia"/>
        </w:rPr>
        <w:t xml:space="preserve"> is to </w:t>
      </w:r>
      <w:r w:rsidR="000610CE">
        <w:rPr>
          <w:rFonts w:eastAsiaTheme="minorEastAsia"/>
        </w:rPr>
        <w:t xml:space="preserve">use </w:t>
      </w:r>
      <w:r w:rsidR="00370F2B">
        <w:rPr>
          <w:rFonts w:eastAsiaTheme="minorEastAsia"/>
        </w:rPr>
        <w:t>each protein</w:t>
      </w:r>
      <w:r w:rsidR="000610CE">
        <w:rPr>
          <w:rFonts w:eastAsiaTheme="minorEastAsia"/>
        </w:rPr>
        <w:t xml:space="preserve"> of known structure</w:t>
      </w:r>
      <w:r w:rsidR="002539D1">
        <w:rPr>
          <w:rFonts w:eastAsiaTheme="minorEastAsia"/>
        </w:rPr>
        <w:t xml:space="preserve"> as a template for all sequences </w:t>
      </w:r>
      <w:r w:rsidR="0090624D">
        <w:rPr>
          <w:rFonts w:eastAsiaTheme="minorEastAsia"/>
        </w:rPr>
        <w:t>with which it shares a cluster.</w:t>
      </w:r>
      <w:r w:rsidR="00E8487A">
        <w:rPr>
          <w:rFonts w:eastAsiaTheme="minorEastAsia"/>
        </w:rPr>
        <w:t xml:space="preserve"> </w:t>
      </w:r>
      <w:r w:rsidR="00630D5B">
        <w:rPr>
          <w:rFonts w:eastAsiaTheme="minorEastAsia"/>
        </w:rPr>
        <w:t>In previous work, I found that proteins of known structure in nearby clusters are highly structurally similar suggesting that structural divergence in OMPs is slow enough for homology modeling to be viable.</w:t>
      </w:r>
      <w:r w:rsidR="00663F6D">
        <w:rPr>
          <w:rFonts w:eastAsiaTheme="minorEastAsia"/>
        </w:rPr>
        <w:t xml:space="preserve"> However, </w:t>
      </w:r>
      <w:r w:rsidR="005460FC">
        <w:rPr>
          <w:rFonts w:eastAsiaTheme="minorEastAsia"/>
        </w:rPr>
        <w:t xml:space="preserve">if the sequence identities </w:t>
      </w:r>
      <w:r w:rsidR="009F7E92">
        <w:rPr>
          <w:rFonts w:eastAsiaTheme="minorEastAsia"/>
        </w:rPr>
        <w:t xml:space="preserve">with the template are too low, </w:t>
      </w:r>
      <w:r w:rsidR="003152FE">
        <w:rPr>
          <w:rFonts w:eastAsiaTheme="minorEastAsia"/>
        </w:rPr>
        <w:t xml:space="preserve">it may </w:t>
      </w:r>
      <w:r w:rsidR="00317CB5">
        <w:rPr>
          <w:rFonts w:eastAsiaTheme="minorEastAsia"/>
        </w:rPr>
        <w:t>nevertheless</w:t>
      </w:r>
      <w:r w:rsidR="0025617B">
        <w:rPr>
          <w:rFonts w:eastAsiaTheme="minorEastAsia"/>
        </w:rPr>
        <w:t xml:space="preserve"> </w:t>
      </w:r>
      <w:r w:rsidR="003152FE">
        <w:rPr>
          <w:rFonts w:eastAsiaTheme="minorEastAsia"/>
        </w:rPr>
        <w:t xml:space="preserve">be impossible </w:t>
      </w:r>
      <w:r w:rsidR="00685F2D">
        <w:rPr>
          <w:rFonts w:eastAsiaTheme="minorEastAsia"/>
        </w:rPr>
        <w:t xml:space="preserve">to </w:t>
      </w:r>
      <w:r w:rsidR="0025617B">
        <w:rPr>
          <w:rFonts w:eastAsiaTheme="minorEastAsia"/>
        </w:rPr>
        <w:t xml:space="preserve">map the structures onto the </w:t>
      </w:r>
      <w:r w:rsidR="002C4C4A">
        <w:rPr>
          <w:rFonts w:eastAsiaTheme="minorEastAsia"/>
        </w:rPr>
        <w:t>template properly</w:t>
      </w:r>
      <w:r w:rsidR="00741D81">
        <w:rPr>
          <w:rFonts w:eastAsiaTheme="minorEastAsia"/>
        </w:rPr>
        <w:t>.</w:t>
      </w:r>
    </w:p>
    <w:p w:rsidR="00483893" w:rsidRDefault="007C12FD" w:rsidP="006D50D5">
      <w:pPr>
        <w:rPr>
          <w:rFonts w:eastAsiaTheme="minorEastAsia"/>
        </w:rPr>
      </w:pPr>
      <w:r>
        <w:rPr>
          <w:rFonts w:eastAsiaTheme="minorEastAsia"/>
        </w:rPr>
        <w:tab/>
      </w:r>
      <w:r w:rsidR="00053F61">
        <w:rPr>
          <w:rFonts w:eastAsiaTheme="minorEastAsia"/>
        </w:rPr>
        <w:t xml:space="preserve">To address this concern, </w:t>
      </w:r>
      <w:r w:rsidR="00FF2C0A">
        <w:rPr>
          <w:rFonts w:eastAsiaTheme="minorEastAsia"/>
        </w:rPr>
        <w:t xml:space="preserve">I </w:t>
      </w:r>
      <w:r w:rsidR="003A040D">
        <w:rPr>
          <w:rFonts w:eastAsiaTheme="minorEastAsia"/>
        </w:rPr>
        <w:t>picked a cluster, considered a known protein within it to be a template for the others, and checked the sequence identity of each other sequence in the cluster with this template.</w:t>
      </w:r>
    </w:p>
    <w:p w:rsidR="00F34BDA" w:rsidRDefault="00A33287" w:rsidP="00A33287">
      <w:pPr>
        <w:pStyle w:val="Heading3"/>
        <w:rPr>
          <w:rFonts w:eastAsiaTheme="minorEastAsia"/>
        </w:rPr>
      </w:pPr>
      <w:r>
        <w:rPr>
          <w:rFonts w:eastAsiaTheme="minorEastAsia"/>
        </w:rPr>
        <w:t>Methods</w:t>
      </w:r>
    </w:p>
    <w:p w:rsidR="00A33287" w:rsidRDefault="00397076" w:rsidP="00591CC6">
      <w:pPr>
        <w:ind w:firstLine="720"/>
      </w:pPr>
      <w:r>
        <w:t xml:space="preserve">I downloaded a sequence alignment of each sequence in the </w:t>
      </w:r>
      <w:r w:rsidR="00790974">
        <w:t xml:space="preserve">cluster OMP.12.6.1 from HHOMP. </w:t>
      </w:r>
      <w:r w:rsidR="00AA0522">
        <w:t xml:space="preserve">This sequence alignment contained </w:t>
      </w:r>
      <w:r w:rsidR="005F6395">
        <w:t xml:space="preserve">a sequence </w:t>
      </w:r>
      <w:r w:rsidR="00E56021">
        <w:t xml:space="preserve">of chain A </w:t>
      </w:r>
      <w:r w:rsidR="005F6395">
        <w:t xml:space="preserve">from the PDB entry </w:t>
      </w:r>
      <w:r w:rsidR="00285156">
        <w:t>1FW3</w:t>
      </w:r>
      <w:r w:rsidR="00534561">
        <w:t>.</w:t>
      </w:r>
      <w:r w:rsidR="00C95236">
        <w:t xml:space="preserve"> </w:t>
      </w:r>
      <w:r w:rsidR="00224855">
        <w:t xml:space="preserve">A </w:t>
      </w:r>
      <w:r w:rsidR="00A74133">
        <w:t xml:space="preserve">script </w:t>
      </w:r>
      <w:r w:rsidR="00224855">
        <w:t xml:space="preserve">written </w:t>
      </w:r>
      <w:r w:rsidR="00A74133">
        <w:t xml:space="preserve">using Biopython </w:t>
      </w:r>
      <w:r w:rsidR="00A74133">
        <w:fldChar w:fldCharType="begin"/>
      </w:r>
      <w:r w:rsidR="00A74133">
        <w:instrText xml:space="preserve"> ADDIN ZOTERO_ITEM CSL_CITATION {"citationID":"2puslosqt5","properties":{"formattedCitation":"(Cock et al., 2009)","plainCitation":"(Cock et al., 2009)"},"citationItems":[{"id":42,"uris":["http://zotero.org/users/local/xPq7q79Q/items/3NQ6G2TG"],"uri":["http://zotero.org/users/local/xPq7q79Q/items/3NQ6G2TG"],"itemData":{"id":42,"type":"article-journal","title":"Biopython: freely available Python tools for computational molecular biology and bioinformatics","container-title":"Bioinformatics","page":"1422-1423","volume":"25","issue":"11","source":"bioinformatics.oxfordjournals.org","abstract":"Summary: The Biopython project is a mature open source international collaboration of volunteer developers, providing Python libraries for a wide range of bioinformatics problems. Biopython includes modules for reading and writing different sequence file formats and multiple sequence alignments, dealing with 3D macro molecular structures, interacting with common tools such as BLAST, ClustalW and EMBOSS, accessing key online databases, as well as providing numerical methods for statistical learning.\nAvailability: Biopython is freely available, with documentation and source code at www.biopython.org under the Biopython license.\nContact: All queries should be directed to the Biopython mailing lists, see www.biopython.org/wiki/_Mailing_listspeter.cock@scri.ac.uk.","DOI":"10.1093/bioinformatics/btp163","ISSN":"1367-4803, 1460-2059","shortTitle":"Biopython","journalAbbreviation":"Bioinformatics","language":"en","author":[{"family":"Cock","given":"Peter J. A."},{"family":"Antao","given":"Tiago"},{"family":"Chang","given":"Jeffrey T."},{"family":"Chapman","given":"Brad A."},{"family":"Cox","given":"Cymon J."},{"family":"Dalke","given":"Andrew"},{"family":"Friedberg","given":"Iddo"},{"family":"Hamelryck","given":"Thomas"},{"family":"Kauff","given":"Frank"},{"family":"Wilczynski","given":"Bartek"},{"family":"Hoon","given":"Michiel J. L. de"}],"issued":{"date-parts":[[2009,6,1]]},"accessed":{"date-parts":[[2012,12,13]]}}}],"schema":"https://github.com/citation-style-language/schema/raw/master/csl-citation.json"} </w:instrText>
      </w:r>
      <w:r w:rsidR="00A74133">
        <w:fldChar w:fldCharType="separate"/>
      </w:r>
      <w:r w:rsidR="00A74133" w:rsidRPr="00A74133">
        <w:rPr>
          <w:rFonts w:ascii="Calibri" w:hAnsi="Calibri"/>
        </w:rPr>
        <w:t>(Cock et al., 2009)</w:t>
      </w:r>
      <w:r w:rsidR="00A74133">
        <w:fldChar w:fldCharType="end"/>
      </w:r>
      <w:r w:rsidR="00250EFA">
        <w:t xml:space="preserve"> </w:t>
      </w:r>
      <w:r w:rsidR="00224855">
        <w:t xml:space="preserve">was used to </w:t>
      </w:r>
      <w:r w:rsidR="0082180F">
        <w:t xml:space="preserve">calculate the </w:t>
      </w:r>
      <w:r w:rsidR="00F444D8">
        <w:t xml:space="preserve">fraction of </w:t>
      </w:r>
      <w:r w:rsidR="00E216B2">
        <w:t>positions in</w:t>
      </w:r>
      <w:r w:rsidR="00946C10">
        <w:t xml:space="preserve"> each sequence that were aligned with identical residues in the 1FW3 sequence.</w:t>
      </w:r>
    </w:p>
    <w:p w:rsidR="00405ED6" w:rsidRDefault="00405ED6" w:rsidP="00405ED6">
      <w:pPr>
        <w:pStyle w:val="Heading3"/>
      </w:pPr>
      <w:r>
        <w:lastRenderedPageBreak/>
        <w:t>Results</w:t>
      </w:r>
    </w:p>
    <w:p w:rsidR="009461E6" w:rsidRDefault="000D04EC" w:rsidP="009461E6">
      <w:r>
        <w:tab/>
      </w:r>
      <w:r w:rsidR="0042736E">
        <w:t xml:space="preserve">There are 85 sequences in OMP.12.6.1. </w:t>
      </w:r>
      <w:r w:rsidR="008B0CF7">
        <w:t xml:space="preserve">As shown in Figure 1, </w:t>
      </w:r>
      <w:r w:rsidR="0078264D">
        <w:t>almost all of the sequences have very low</w:t>
      </w:r>
      <w:r w:rsidR="00994ADD">
        <w:t xml:space="preserve"> sequence identity</w:t>
      </w:r>
      <w:r w:rsidR="00F4185C">
        <w:t xml:space="preserve"> with the </w:t>
      </w:r>
      <w:r w:rsidR="009E206F">
        <w:t>template</w:t>
      </w:r>
      <w:r w:rsidR="00AA74B6">
        <w:t>.</w:t>
      </w:r>
      <w:r w:rsidR="009E206F">
        <w:t xml:space="preserve"> </w:t>
      </w:r>
    </w:p>
    <w:p w:rsidR="009461E6" w:rsidRPr="009461E6" w:rsidRDefault="009461E6" w:rsidP="009461E6"/>
    <w:tbl>
      <w:tblPr>
        <w:tblStyle w:val="TableGrid"/>
        <w:tblW w:w="0" w:type="auto"/>
        <w:tblLook w:val="04A0" w:firstRow="1" w:lastRow="0" w:firstColumn="1" w:lastColumn="0" w:noHBand="0" w:noVBand="1"/>
      </w:tblPr>
      <w:tblGrid>
        <w:gridCol w:w="9576"/>
      </w:tblGrid>
      <w:tr w:rsidR="00655038" w:rsidTr="009461E6">
        <w:tc>
          <w:tcPr>
            <w:tcW w:w="9576" w:type="dxa"/>
            <w:tcBorders>
              <w:top w:val="nil"/>
              <w:left w:val="nil"/>
              <w:bottom w:val="nil"/>
              <w:right w:val="nil"/>
            </w:tcBorders>
          </w:tcPr>
          <w:p w:rsidR="00655038" w:rsidRDefault="00655038" w:rsidP="00405ED6">
            <w:r>
              <w:rPr>
                <w:noProof/>
              </w:rPr>
              <w:drawing>
                <wp:inline distT="0" distB="0" distL="0" distR="0" wp14:anchorId="7103E3B0" wp14:editId="3D42D830">
                  <wp:extent cx="5883215" cy="2743200"/>
                  <wp:effectExtent l="0" t="0" r="2286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655038" w:rsidTr="009461E6">
        <w:tc>
          <w:tcPr>
            <w:tcW w:w="9576" w:type="dxa"/>
            <w:tcBorders>
              <w:top w:val="nil"/>
              <w:left w:val="nil"/>
              <w:bottom w:val="nil"/>
              <w:right w:val="nil"/>
            </w:tcBorders>
          </w:tcPr>
          <w:p w:rsidR="00655038" w:rsidRPr="00655038" w:rsidRDefault="00655038" w:rsidP="00405ED6">
            <w:r>
              <w:rPr>
                <w:b/>
              </w:rPr>
              <w:t xml:space="preserve">Figure 1. </w:t>
            </w:r>
            <w:r>
              <w:t xml:space="preserve">A histogram showing </w:t>
            </w:r>
            <w:r w:rsidR="00AA5966">
              <w:t xml:space="preserve">fraction identity with </w:t>
            </w:r>
            <w:r w:rsidR="006D6B41">
              <w:t xml:space="preserve">the template </w:t>
            </w:r>
            <w:r w:rsidR="00D13A98">
              <w:t>in the cluster OMP.12.6.1.</w:t>
            </w:r>
          </w:p>
        </w:tc>
      </w:tr>
    </w:tbl>
    <w:p w:rsidR="00405ED6" w:rsidRPr="00405ED6" w:rsidRDefault="00405ED6" w:rsidP="00405ED6"/>
    <w:p w:rsidR="00483893" w:rsidRDefault="00485E0E" w:rsidP="00485E0E">
      <w:pPr>
        <w:pStyle w:val="Heading3"/>
        <w:rPr>
          <w:rFonts w:eastAsiaTheme="minorEastAsia"/>
        </w:rPr>
      </w:pPr>
      <w:r>
        <w:rPr>
          <w:rFonts w:eastAsiaTheme="minorEastAsia"/>
        </w:rPr>
        <w:t>Discussion</w:t>
      </w:r>
    </w:p>
    <w:p w:rsidR="00485E0E" w:rsidRDefault="00B45AD5" w:rsidP="00485E0E">
      <w:r>
        <w:tab/>
      </w:r>
      <w:r w:rsidR="00AA74B6">
        <w:t xml:space="preserve">The most common sequence identities are </w:t>
      </w:r>
      <w:r w:rsidR="00AA74B6">
        <w:t xml:space="preserve">beyond the point at which homology modeling of membrane proteins tends to become less accurate </w:t>
      </w:r>
      <w:r w:rsidR="00AA74B6">
        <w:fldChar w:fldCharType="begin"/>
      </w:r>
      <w:r w:rsidR="00AA74B6">
        <w:instrText xml:space="preserve"> ADDIN ZOTERO_ITEM CSL_CITATION {"citationID":"174vm869pi","properties":{"formattedCitation":"(Forrest et al., 2006)","plainCitation":"(Forrest et al., 2006)"},"citationItems":[{"id":31,"uris":["http://zotero.org/users/local/xPq7q79Q/items/DI67C5UB"],"uri":["http://zotero.org/users/local/xPq7q79Q/items/DI67C5UB"],"itemData":{"id":31,"type":"article-journal","title":"On the Accuracy of Homology Modeling and Sequence Alignment Methods Applied to Membrane Proteins","container-title":"Biophysical Journal","page":"508-517","volume":"91","issue":"2","source":"PubMed Central","abstract":"In this study, we investigate the extent to which techniques for homology modeling that were developed for water-soluble proteins are appropriate for membrane proteins as well. To this end we present an assessment of current strategies for homology modeling of membrane proteins and introduce a benchmark data set of homologous membrane protein structures, called HOMEP. First, we use HOMEP to reveal the relationship between sequence identity and structural similarity in membrane proteins. This analysis indicates that homology modeling is at least as applicable to membrane proteins as it is to water-soluble proteins and that acceptable models (with Cα-RMSD values to the native of 2 Å or less in the transmembrane regions) may be obtained for template sequence identities of 30% or higher if an accurate alignment of the sequences is used. Second, we show that secondary-structure prediction algorithms that were developed for water-soluble proteins perform approximately as well for membrane proteins. Third, we provide a comparison of a set of commonly used sequence alignment algorithms as applied to membrane proteins. We find that high-accuracy alignments of membrane protein sequences can be obtained using state-of-the-art profile-to-profile methods that were developed for water-soluble proteins. Improvements are observed when weights derived from the secondary structure of the query and the template are used in the scoring of the alignment, a result which relies on the accuracy of the secondary-structure prediction of the query sequence. The most accurate alignments were obtained using template profiles constructed with the aid of structural alignments. In contrast, a simple sequence-to-sequence alignment algorithm, using a membrane protein-specific substitution matrix, shows no improvement in alignment accuracy. We suggest that profile-to-profile alignment methods should be adopted to maximize the accuracy of homology models of membrane proteins.","DOI":"10.1529/biophysj.106.082313","ISSN":"0006-3495","note":"PMID: 16648166\nPMCID: PMC1483079","journalAbbreviation":"Biophys J","author":[{"family":"Forrest","given":"Lucy R."},{"family":"Tang","given":"Christopher L."},{"family":"Honig","given":"Barry"}],"issued":{"date-parts":[[2006,7,15]]},"accessed":{"date-parts":[[2012,12,13]]}}}],"schema":"https://github.com/citation-style-language/schema/raw/master/csl-citation.json"} </w:instrText>
      </w:r>
      <w:r w:rsidR="00AA74B6">
        <w:fldChar w:fldCharType="separate"/>
      </w:r>
      <w:r w:rsidR="00AA74B6" w:rsidRPr="00A40C23">
        <w:rPr>
          <w:rFonts w:ascii="Calibri" w:hAnsi="Calibri"/>
        </w:rPr>
        <w:t>(Forrest et al., 2006)</w:t>
      </w:r>
      <w:r w:rsidR="00AA74B6">
        <w:fldChar w:fldCharType="end"/>
      </w:r>
      <w:r w:rsidR="00AA74B6">
        <w:t>.</w:t>
      </w:r>
      <w:r w:rsidR="000557F0">
        <w:t xml:space="preserve"> </w:t>
      </w:r>
      <w:r w:rsidR="00E90C0C">
        <w:t xml:space="preserve">This seems to suggest that the homology modeling scheme cannot be successful. </w:t>
      </w:r>
      <w:r w:rsidR="000557F0">
        <w:t xml:space="preserve">However, in </w:t>
      </w:r>
      <w:r w:rsidR="005C1228">
        <w:t xml:space="preserve">Experiment 2 I </w:t>
      </w:r>
      <w:r w:rsidR="001F1B63">
        <w:t xml:space="preserve">found that even at </w:t>
      </w:r>
      <w:r w:rsidR="00E44600">
        <w:t xml:space="preserve">such </w:t>
      </w:r>
      <w:r w:rsidR="00687498">
        <w:t xml:space="preserve">low sequence identities homology </w:t>
      </w:r>
      <w:r w:rsidR="00A459A1">
        <w:t>models can be successfully built.</w:t>
      </w:r>
    </w:p>
    <w:p w:rsidR="00A459A1" w:rsidRDefault="00A459A1" w:rsidP="00485E0E"/>
    <w:p w:rsidR="00A459A1" w:rsidRDefault="006779D9" w:rsidP="006779D9">
      <w:pPr>
        <w:pStyle w:val="Heading2"/>
      </w:pPr>
      <w:r>
        <w:t>Experiment 2</w:t>
      </w:r>
      <w:r w:rsidR="002B1D25">
        <w:t xml:space="preserve">: </w:t>
      </w:r>
      <w:r w:rsidR="000C7701">
        <w:t>The error of predicted z values from homology models</w:t>
      </w:r>
    </w:p>
    <w:p w:rsidR="003D18DF" w:rsidRDefault="003D18DF" w:rsidP="003D18DF"/>
    <w:p w:rsidR="003D18DF" w:rsidRDefault="003D18DF" w:rsidP="003D18DF">
      <w:pPr>
        <w:pStyle w:val="Heading3"/>
      </w:pPr>
      <w:r>
        <w:t>Introduction</w:t>
      </w:r>
    </w:p>
    <w:p w:rsidR="003D18DF" w:rsidRPr="009A7EEC" w:rsidRDefault="003D18DF" w:rsidP="003D18DF">
      <w:r>
        <w:tab/>
      </w:r>
      <w:r w:rsidR="008371A2">
        <w:t xml:space="preserve">The structural information </w:t>
      </w:r>
      <w:r w:rsidR="009A7EEC">
        <w:t>used to derive E</w:t>
      </w:r>
      <w:r w:rsidR="009A7EEC">
        <w:rPr>
          <w:vertAlign w:val="subscript"/>
        </w:rPr>
        <w:t>z</w:t>
      </w:r>
      <w:r w:rsidR="00B77B41">
        <w:t xml:space="preserve">β is, for each amino acid, </w:t>
      </w:r>
      <w:r w:rsidR="006C4674">
        <w:t xml:space="preserve">the </w:t>
      </w:r>
      <w:r w:rsidR="005568FB">
        <w:t xml:space="preserve">distance between </w:t>
      </w:r>
      <w:r w:rsidR="00B10526">
        <w:t>its Cα</w:t>
      </w:r>
      <w:r w:rsidR="00CD0C46">
        <w:t xml:space="preserve"> and </w:t>
      </w:r>
      <w:r w:rsidR="00D0348F">
        <w:t>the center of the membrane</w:t>
      </w:r>
      <w:r w:rsidR="000C6110">
        <w:t xml:space="preserve">, with a positive </w:t>
      </w:r>
      <w:r w:rsidR="008166D6">
        <w:t xml:space="preserve">or a negative sign to represent that the </w:t>
      </w:r>
      <w:r w:rsidR="00555CB1">
        <w:t>Cα is on the extracellular or the periplasmic side, respectively.</w:t>
      </w:r>
      <w:r w:rsidR="00FE1F41">
        <w:t xml:space="preserve"> This can be</w:t>
      </w:r>
      <w:r w:rsidR="00016F2D">
        <w:t xml:space="preserve"> imagined as the z coordinate in a 3 dimensional coordinate system in which </w:t>
      </w:r>
      <w:r w:rsidR="003E19A9">
        <w:t>the xy plane</w:t>
      </w:r>
      <w:r w:rsidR="00800D22">
        <w:t xml:space="preserve"> is the center of the membrane.</w:t>
      </w:r>
    </w:p>
    <w:p w:rsidR="006779D9" w:rsidRDefault="008C538F" w:rsidP="006779D9">
      <w:r>
        <w:tab/>
      </w:r>
      <w:r w:rsidR="006E2582">
        <w:t xml:space="preserve">The most direct possible way to evaluate the </w:t>
      </w:r>
      <w:r w:rsidR="00B40AC1">
        <w:t>effectiveness</w:t>
      </w:r>
      <w:r w:rsidR="00941D76">
        <w:t xml:space="preserve">, for this purpose, </w:t>
      </w:r>
      <w:r w:rsidR="00B40AC1">
        <w:t xml:space="preserve">of </w:t>
      </w:r>
      <w:r w:rsidR="00E66AED">
        <w:t xml:space="preserve">a modeling procedure </w:t>
      </w:r>
      <w:r w:rsidR="00655BDE">
        <w:t xml:space="preserve">is to carry out the procedure on a protein whose structure is already known, </w:t>
      </w:r>
      <w:r w:rsidR="00DA7221">
        <w:t xml:space="preserve">and </w:t>
      </w:r>
      <w:r w:rsidR="001B5C2B">
        <w:t>compare the predicted z coordinates to the real ones.</w:t>
      </w:r>
    </w:p>
    <w:p w:rsidR="00764E01" w:rsidRDefault="00764E01" w:rsidP="00764E01">
      <w:pPr>
        <w:pStyle w:val="Heading3"/>
      </w:pPr>
      <w:r>
        <w:lastRenderedPageBreak/>
        <w:t>Methods</w:t>
      </w:r>
    </w:p>
    <w:p w:rsidR="006D67DE" w:rsidRDefault="000903C9" w:rsidP="00764E01">
      <w:r>
        <w:tab/>
        <w:t>Outer membrane proteins of known structure were entered into HHOMP's search function</w:t>
      </w:r>
      <w:r w:rsidR="008F3A3E">
        <w:t xml:space="preserve">, which returned the cluster with which </w:t>
      </w:r>
      <w:r w:rsidR="00777D70">
        <w:t xml:space="preserve">each </w:t>
      </w:r>
      <w:r w:rsidR="008F3A3E">
        <w:t xml:space="preserve">sequences most closely matched. </w:t>
      </w:r>
      <w:r w:rsidR="00BD470C">
        <w:t xml:space="preserve">A list </w:t>
      </w:r>
      <w:r w:rsidR="00A36C7D">
        <w:t>was compiled of proteins that matched</w:t>
      </w:r>
      <w:r w:rsidR="006D67DE">
        <w:t xml:space="preserve"> clusters containing a distinct, known structure.</w:t>
      </w:r>
      <w:r w:rsidR="001B2103">
        <w:t xml:space="preserve"> The </w:t>
      </w:r>
      <w:r w:rsidR="00D61877">
        <w:t xml:space="preserve">protein entered in the search was used as </w:t>
      </w:r>
      <w:r w:rsidR="00565EBF">
        <w:t xml:space="preserve">the template for homology modeling, and the protein of known structure already in the database </w:t>
      </w:r>
      <w:r w:rsidR="008816E6">
        <w:t xml:space="preserve">was </w:t>
      </w:r>
      <w:r w:rsidR="002E20C3">
        <w:t>the target structure to be predicted.</w:t>
      </w:r>
    </w:p>
    <w:p w:rsidR="00525218" w:rsidRDefault="006D6163" w:rsidP="006D6163">
      <w:pPr>
        <w:ind w:firstLine="720"/>
      </w:pPr>
      <w:r>
        <w:t xml:space="preserve">The z coordinates of each protein </w:t>
      </w:r>
      <w:r w:rsidR="00E43FFC">
        <w:t>in the template</w:t>
      </w:r>
      <w:r w:rsidR="00216113">
        <w:t xml:space="preserve"> </w:t>
      </w:r>
      <w:r w:rsidR="009C5C96">
        <w:t xml:space="preserve">structure </w:t>
      </w:r>
      <w:r w:rsidR="00216113">
        <w:t xml:space="preserve">was determined </w:t>
      </w:r>
      <w:r w:rsidR="00C95FCA">
        <w:t xml:space="preserve">by alignment of the barrel along the z axis </w:t>
      </w:r>
      <w:r w:rsidR="00C95FCA">
        <w:fldChar w:fldCharType="begin"/>
      </w:r>
      <w:r w:rsidR="00C95FCA">
        <w:instrText xml:space="preserve"> ADDIN ZOTERO_ITEM CSL_CITATION {"citationID":"qsgu3uej6","properties":{"formattedCitation":"(Hsieh et al., 2012)","plainCitation":"(Hsieh et al., 2012)"},"citationItems":[{"id":15,"uris":["http://zotero.org/users/local/xPq7q79Q/items/7GM24T7G"],"uri":["http://zotero.org/users/local/xPq7q79Q/items/7GM24T7G"],"itemData":{"id":15,"type":"article-journal","title":"A knowledge-based potential highlights unique features of membrane α-helical and β-barrel protein insertion and folding","container-title":"Protein science: a publication of the Protein Society","page":"50-62","volume":"21","issue":"1","source":"NCBI PubMed","abstract":"Outer membrane β-barrel proteins differ from α-helical inner membrane proteins in lipid environment, secondary structure, and the proposed processes of folding and insertion. It is reasonable to expect that outer membrane proteins may contain primary sequence information specific for their folding and insertion behavior. In previous work, a depth-dependent insertion potential, E(z) , was derived for α-helical inner membrane proteins. We have generated an equivalent potential for TM β-barrel proteins. The similarities and differences between these two potentials provide insight into unique aspects of the folding and insertion of β-barrel membrane proteins. This potential can predict orientation within the membrane and identify functional residues involved in intermolecular interactions.","DOI":"10.1002/pro.758","ISSN":"1469-896X","note":"PMID: 22031179","journalAbbreviation":"Protein Sci.","author":[{"family":"Hsieh","given":"Daniel"},{"family":"Davis","given":"Alexander"},{"family":"Nanda","given":"Vikas"}],"issued":{"date-parts":[["2012",1]]}}}],"schema":"https://github.com/citation-style-language/schema/raw/master/csl-citation.json"} </w:instrText>
      </w:r>
      <w:r w:rsidR="00C95FCA">
        <w:fldChar w:fldCharType="separate"/>
      </w:r>
      <w:r w:rsidR="00C95FCA" w:rsidRPr="00C95FCA">
        <w:rPr>
          <w:rFonts w:ascii="Calibri" w:hAnsi="Calibri"/>
        </w:rPr>
        <w:t>(Hsieh et al., 2012)</w:t>
      </w:r>
      <w:r w:rsidR="00C95FCA">
        <w:fldChar w:fldCharType="end"/>
      </w:r>
      <w:r w:rsidR="00C95FCA">
        <w:t xml:space="preserve">. </w:t>
      </w:r>
      <w:r w:rsidR="009C5C96">
        <w:t xml:space="preserve">The true z coordinates of the target structure were determined by structural alignment to </w:t>
      </w:r>
      <w:r w:rsidR="00672FB9">
        <w:t xml:space="preserve">the z-aligned template protein using PyMOL's "super" command. </w:t>
      </w:r>
    </w:p>
    <w:p w:rsidR="00483893" w:rsidRDefault="00C552A6" w:rsidP="00DF7831">
      <w:pPr>
        <w:ind w:firstLine="720"/>
      </w:pPr>
      <w:r>
        <w:t xml:space="preserve">The sequences in the cluster </w:t>
      </w:r>
      <w:r w:rsidR="00904375">
        <w:t xml:space="preserve">obtained by downloading the </w:t>
      </w:r>
      <w:r w:rsidR="00CA41D6">
        <w:t xml:space="preserve">complete </w:t>
      </w:r>
      <w:r w:rsidR="00904375">
        <w:t xml:space="preserve">multiple sequence alignment from the cluster's page. </w:t>
      </w:r>
      <w:r w:rsidR="0091500E">
        <w:t xml:space="preserve">The </w:t>
      </w:r>
      <w:r w:rsidR="00462015">
        <w:t xml:space="preserve">sequence of the template protein was extracted from its PDB structure and added to this alignment. </w:t>
      </w:r>
      <w:r w:rsidR="007379F6">
        <w:t xml:space="preserve">Though </w:t>
      </w:r>
      <w:r w:rsidR="00CC4E85">
        <w:t xml:space="preserve">the </w:t>
      </w:r>
      <w:r w:rsidR="00146889">
        <w:t xml:space="preserve">cluster annotation reported which protein of known structure was included in the cluster, </w:t>
      </w:r>
      <w:r w:rsidR="007C220B">
        <w:t xml:space="preserve">the sequences of such proteins </w:t>
      </w:r>
      <w:r w:rsidR="00006C95">
        <w:t xml:space="preserve">were not </w:t>
      </w:r>
      <w:r w:rsidR="000C7538">
        <w:t>found in the alignments</w:t>
      </w:r>
      <w:r w:rsidR="0055663D">
        <w:t xml:space="preserve">. Therefore, </w:t>
      </w:r>
      <w:r w:rsidR="001F1095">
        <w:t>the sequence of the target structure h</w:t>
      </w:r>
      <w:r w:rsidR="00845ACC">
        <w:t xml:space="preserve">ad </w:t>
      </w:r>
      <w:r w:rsidR="00224BE5">
        <w:t xml:space="preserve">to be added to the alignment </w:t>
      </w:r>
      <w:r w:rsidR="00AD0855">
        <w:t xml:space="preserve">in the same way as </w:t>
      </w:r>
      <w:r w:rsidR="00051FA8">
        <w:t>that of the template structure.</w:t>
      </w:r>
      <w:r w:rsidR="00D34386">
        <w:t xml:space="preserve"> Then, all these sequences—cluster, template, and target—were realigned using Cl</w:t>
      </w:r>
      <w:r w:rsidR="00CF28AE">
        <w:t>ustalW2 with default parameters.</w:t>
      </w:r>
    </w:p>
    <w:p w:rsidR="00D82D07" w:rsidRDefault="00485346" w:rsidP="00EA1437">
      <w:pPr>
        <w:ind w:firstLine="720"/>
      </w:pPr>
      <w:r>
        <w:t xml:space="preserve">z coordinates </w:t>
      </w:r>
      <w:r w:rsidR="00511538">
        <w:t xml:space="preserve">of Cα's in the target were predicted by checking the z coordinates of the Cα of the position in the </w:t>
      </w:r>
      <w:r w:rsidR="00705C10">
        <w:t>template to which</w:t>
      </w:r>
      <w:r w:rsidR="0015533E">
        <w:t xml:space="preserve"> they were aligned by ClustalW2. The absolute values of the differences between these predicted coordinates and the actual ones taken from the structural alignment of the target </w:t>
      </w:r>
      <w:r w:rsidR="00487F88">
        <w:t>structure</w:t>
      </w:r>
      <w:r w:rsidR="00661838">
        <w:t xml:space="preserve"> were recorded.</w:t>
      </w:r>
      <w:r w:rsidR="00EA1437">
        <w:t xml:space="preserve"> The results were visualized using PyMOL.</w:t>
      </w:r>
    </w:p>
    <w:p w:rsidR="00EA1437" w:rsidRDefault="00CA370E" w:rsidP="00CA370E">
      <w:pPr>
        <w:pStyle w:val="Heading3"/>
        <w:rPr>
          <w:rFonts w:eastAsiaTheme="minorHAnsi"/>
        </w:rPr>
      </w:pPr>
      <w:r>
        <w:rPr>
          <w:rFonts w:eastAsiaTheme="minorHAnsi"/>
        </w:rPr>
        <w:t>Results</w:t>
      </w:r>
    </w:p>
    <w:p w:rsidR="00CA370E" w:rsidRDefault="005F2774" w:rsidP="00CA370E">
      <w:r>
        <w:tab/>
      </w:r>
      <w:r w:rsidR="00C868CB">
        <w:t>The accuracy of the models</w:t>
      </w:r>
      <w:r w:rsidR="00C20D38">
        <w:t xml:space="preserve"> in the transmembrane strands was very high, even for very distant sequence. </w:t>
      </w:r>
      <w:r w:rsidR="003056FC">
        <w:t xml:space="preserve">A large number of sequences </w:t>
      </w:r>
      <w:r w:rsidR="00D97D5D">
        <w:t xml:space="preserve">in each of their clusters have </w:t>
      </w:r>
      <w:r w:rsidR="000E4C65">
        <w:t>more sequence identity</w:t>
      </w:r>
      <w:r w:rsidR="006775B1">
        <w:t xml:space="preserve"> with the template</w:t>
      </w:r>
      <w:r w:rsidR="00283AF5">
        <w:t xml:space="preserve"> than the representative tested</w:t>
      </w:r>
      <w:r w:rsidR="00C10091">
        <w:t xml:space="preserve"> (Table 1).</w:t>
      </w:r>
    </w:p>
    <w:p w:rsidR="008B5034" w:rsidRDefault="00AB4F8F" w:rsidP="003F5D61">
      <w:r>
        <w:tab/>
      </w:r>
      <w:r w:rsidR="004D3080">
        <w:t xml:space="preserve">When the alignment is off by a single position, </w:t>
      </w:r>
      <w:r w:rsidR="003D5F16">
        <w:t xml:space="preserve">the error in z is very roughly 3 Angstroms. </w:t>
      </w:r>
      <w:r w:rsidR="00AC37DA">
        <w:t xml:space="preserve">In several of the proteins, </w:t>
      </w:r>
      <w:r w:rsidR="00687432">
        <w:t xml:space="preserve">a great deal of </w:t>
      </w:r>
      <w:r w:rsidR="00DA3EEA">
        <w:t xml:space="preserve">the residues that were off </w:t>
      </w:r>
      <w:r w:rsidR="005C79B4">
        <w:t xml:space="preserve">by 3 Angstroms were not off by 6 Angstroms, suggesting </w:t>
      </w:r>
      <w:r w:rsidR="00D11DD4">
        <w:t>that parts of the protein were misaligned by a single position.</w:t>
      </w:r>
      <w:r w:rsidR="003F5D61">
        <w:t xml:space="preserve"> </w:t>
      </w:r>
    </w:p>
    <w:tbl>
      <w:tblPr>
        <w:tblStyle w:val="TableGrid"/>
        <w:tblpPr w:leftFromText="180" w:rightFromText="180" w:vertAnchor="text" w:horzAnchor="margin" w:tblpY="133"/>
        <w:tblW w:w="0" w:type="auto"/>
        <w:tblLook w:val="04A0" w:firstRow="1" w:lastRow="0" w:firstColumn="1" w:lastColumn="0" w:noHBand="0" w:noVBand="1"/>
      </w:tblPr>
      <w:tblGrid>
        <w:gridCol w:w="6138"/>
      </w:tblGrid>
      <w:tr w:rsidR="001C7DAA" w:rsidTr="001C7DAA">
        <w:tc>
          <w:tcPr>
            <w:tcW w:w="6138" w:type="dxa"/>
            <w:tcBorders>
              <w:top w:val="nil"/>
              <w:left w:val="nil"/>
              <w:bottom w:val="nil"/>
              <w:right w:val="nil"/>
            </w:tcBorders>
          </w:tcPr>
          <w:p w:rsidR="001C7DAA" w:rsidRDefault="001C7DAA" w:rsidP="001C7DAA">
            <w:r>
              <w:rPr>
                <w:noProof/>
              </w:rPr>
              <w:lastRenderedPageBreak/>
              <w:drawing>
                <wp:inline distT="0" distB="0" distL="0" distR="0" wp14:anchorId="5D94B6CA" wp14:editId="2D3542D8">
                  <wp:extent cx="3749040" cy="3561109"/>
                  <wp:effectExtent l="0" t="0" r="3810" b="1270"/>
                  <wp:docPr id="3" name="Picture 3" descr="C:\cygwin\home\alex\beta-barrel-oligomerization\fall 2012 final paper\2m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ygwin\home\alex\beta-barrel-oligomerization\fall 2012 final paper\2mpr.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5255" t="5769" r="21218" b="13803"/>
                          <a:stretch/>
                        </pic:blipFill>
                        <pic:spPr bwMode="auto">
                          <a:xfrm>
                            <a:off x="0" y="0"/>
                            <a:ext cx="3775896" cy="358661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C7DAA" w:rsidTr="008A6AB9">
        <w:trPr>
          <w:trHeight w:val="2396"/>
        </w:trPr>
        <w:tc>
          <w:tcPr>
            <w:tcW w:w="6138" w:type="dxa"/>
            <w:tcBorders>
              <w:top w:val="nil"/>
              <w:left w:val="nil"/>
              <w:bottom w:val="nil"/>
              <w:right w:val="nil"/>
            </w:tcBorders>
          </w:tcPr>
          <w:p w:rsidR="001C7DAA" w:rsidRPr="00E40BDA" w:rsidRDefault="001C7DAA" w:rsidP="00686591">
            <w:r>
              <w:rPr>
                <w:b/>
              </w:rPr>
              <w:t xml:space="preserve">Figure 2. </w:t>
            </w:r>
            <w:r w:rsidR="0061012C">
              <w:t xml:space="preserve">The true structure of 2MPR, colored according to the </w:t>
            </w:r>
            <w:r w:rsidR="00EF3B47">
              <w:t>deviations</w:t>
            </w:r>
            <w:r w:rsidR="002A2795">
              <w:t xml:space="preserve"> in the z values predicted for each residue. </w:t>
            </w:r>
            <w:r w:rsidR="00DE0976">
              <w:t xml:space="preserve">The colors are on a spectrum from cyan to magenta, </w:t>
            </w:r>
            <w:r w:rsidR="005A3E4C">
              <w:t>with cyan</w:t>
            </w:r>
            <w:r w:rsidR="0081771A">
              <w:t xml:space="preserve"> corresponding to no error, </w:t>
            </w:r>
            <w:r w:rsidR="003B1BF8">
              <w:t xml:space="preserve">magenta corresponding to 3 Å error or greater, </w:t>
            </w:r>
            <w:r w:rsidR="00E40BDA">
              <w:t>and lighter shares or white for intermediate errors.</w:t>
            </w:r>
            <w:r w:rsidR="00BC7897">
              <w:t xml:space="preserve"> </w:t>
            </w:r>
            <w:r w:rsidR="00686591">
              <w:t>Black residues are those for which no prediction could be made.</w:t>
            </w:r>
            <w:r w:rsidR="0057393D">
              <w:t xml:space="preserve"> The pattern illustrates</w:t>
            </w:r>
            <w:r w:rsidR="00F7502E">
              <w:t xml:space="preserve"> that </w:t>
            </w:r>
            <w:r w:rsidR="00BA55CF">
              <w:t>misalignments in the transmembrane strands tend to cover entire strands.</w:t>
            </w:r>
          </w:p>
        </w:tc>
      </w:tr>
    </w:tbl>
    <w:p w:rsidR="000D3F0B" w:rsidRDefault="001C7DAA" w:rsidP="00CA370E">
      <w:r>
        <w:t xml:space="preserve"> </w:t>
      </w:r>
      <w:r w:rsidR="008A0939">
        <w:t>Errors in the transmembrane strands tended to be misalignments of entire stran</w:t>
      </w:r>
      <w:r w:rsidR="00553EB9">
        <w:t>ds</w:t>
      </w:r>
      <w:r w:rsidR="005F4BDA">
        <w:t>. Elsew</w:t>
      </w:r>
      <w:r w:rsidR="00E24C68">
        <w:t>here, they were more fragmented (Figure 2).</w:t>
      </w:r>
    </w:p>
    <w:p w:rsidR="001C7DAA" w:rsidRDefault="00162248" w:rsidP="00162248">
      <w:pPr>
        <w:pStyle w:val="Heading3"/>
      </w:pPr>
      <w:r>
        <w:t>Discussion</w:t>
      </w:r>
    </w:p>
    <w:p w:rsidR="005E3673" w:rsidRDefault="00256029" w:rsidP="00162248">
      <w:r>
        <w:tab/>
      </w:r>
      <w:r w:rsidR="004A5777">
        <w:t>The results are very encouraging</w:t>
      </w:r>
      <w:r w:rsidR="000B78D0">
        <w:t xml:space="preserve">. The method of alignment as it stands could </w:t>
      </w:r>
      <w:r w:rsidR="007B3747">
        <w:t xml:space="preserve">probably provide a </w:t>
      </w:r>
      <w:r w:rsidR="00E31F2C">
        <w:t xml:space="preserve">good approximation of </w:t>
      </w:r>
      <w:r w:rsidR="005E3673">
        <w:t>the real depth-dependent frequencies.</w:t>
      </w:r>
    </w:p>
    <w:p w:rsidR="00BB4EBE" w:rsidRDefault="00BB4EBE" w:rsidP="00162248">
      <w:r>
        <w:tab/>
        <w:t xml:space="preserve">There is, of course, room for improvement. </w:t>
      </w:r>
      <w:r w:rsidR="00AA370B">
        <w:t xml:space="preserve">The most obvious is correcting a </w:t>
      </w:r>
      <w:r w:rsidR="0001751E">
        <w:t>mistake in the procedure</w:t>
      </w:r>
      <w:r w:rsidR="0079781F">
        <w:t>. The sequences of the proteins of known structure were extracted from the PDB structure files, which means</w:t>
      </w:r>
      <w:r w:rsidR="00193EE6">
        <w:t xml:space="preserve"> that </w:t>
      </w:r>
      <w:r w:rsidR="003153EF">
        <w:t xml:space="preserve">any </w:t>
      </w:r>
      <w:r w:rsidR="002428D3">
        <w:t>parts of the protein too flexible or disordered to be resolved</w:t>
      </w:r>
      <w:r w:rsidR="00DC3BA3">
        <w:t xml:space="preserve"> are missing from the sequence</w:t>
      </w:r>
      <w:r w:rsidR="0070288D">
        <w:t>.</w:t>
      </w:r>
    </w:p>
    <w:p w:rsidR="006B36C5" w:rsidRDefault="006B36C5" w:rsidP="00162248">
      <w:r>
        <w:tab/>
      </w:r>
      <w:r w:rsidR="008A6AB9">
        <w:t xml:space="preserve">Another easy fix is using any sequence alignment program besides ClustalW. </w:t>
      </w:r>
      <w:r w:rsidR="008F6DBD">
        <w:t xml:space="preserve">ClustalW </w:t>
      </w:r>
      <w:r w:rsidR="00EF05A1">
        <w:t xml:space="preserve">is the least accurate among </w:t>
      </w:r>
      <w:r w:rsidR="009E313E">
        <w:t>popular</w:t>
      </w:r>
      <w:r w:rsidR="00942779">
        <w:t xml:space="preserve"> sequence alignment programs </w:t>
      </w:r>
      <w:r w:rsidR="000A4C1E">
        <w:fldChar w:fldCharType="begin"/>
      </w:r>
      <w:r w:rsidR="000A4C1E">
        <w:instrText xml:space="preserve"> ADDIN ZOTERO_ITEM CSL_CITATION {"citationID":"1cuvvejoul","properties":{"formattedCitation":"(Forrest et al., 2006; Nuin et al., 2006)","plainCitation":"(Forrest et al., 2006; Nuin et al., 2006)"},"citationItems":[{"id":31,"uris":["http://zotero.org/users/local/xPq7q79Q/items/DI67C5UB"],"uri":["http://zotero.org/users/local/xPq7q79Q/items/DI67C5UB"],"itemData":{"id":31,"type":"article-journal","title":"On the Accuracy of Homology Modeling and Sequence Alignment Methods Applied to Membrane Proteins","container-title":"Biophysical Journal","page":"508-517","volume":"91","issue":"2","source":"PubMed Central","abstract":"In this study, we investigate the extent to which techniques for homology modeling that were developed for water-soluble proteins are appropriate for membrane proteins as well. To this end we present an assessment of current strategies for homology modeling of membrane proteins and introduce a benchmark data set of homologous membrane protein structures, called HOMEP. First, we use HOMEP to reveal the relationship between sequence identity and structural similarity in membrane proteins. This analysis indicates that homology modeling is at least as applicable to membrane proteins as it is to water-soluble proteins and that acceptable models (with Cα-RMSD values to the native of 2 Å or less in the transmembrane regions) may be obtained for template sequence identities of 30% or higher if an accurate alignment of the sequences is used. Second, we show that secondary-structure prediction algorithms that were developed for water-soluble proteins perform approximately as well for membrane proteins. Third, we provide a comparison of a set of commonly used sequence alignment algorithms as applied to membrane proteins. We find that high-accuracy alignments of membrane protein sequences can be obtained using state-of-the-art profile-to-profile methods that were developed for water-soluble proteins. Improvements are observed when weights derived from the secondary structure of the query and the template are used in the scoring of the alignment, a result which relies on the accuracy of the secondary-structure prediction of the query sequence. The most accurate alignments were obtained using template profiles constructed with the aid of structural alignments. In contrast, a simple sequence-to-sequence alignment algorithm, using a membrane protein-specific substitution matrix, shows no improvement in alignment accuracy. We suggest that profile-to-profile alignment methods should be adopted to maximize the accuracy of homology models of membrane proteins.","DOI":"10.1529/biophysj.106.082313","ISSN":"0006-3495","note":"PMID: 16648166\nPMCID: PMC1483079","journalAbbreviation":"Biophys J","author":[{"family":"Forrest","given":"Lucy R."},{"family":"Tang","given":"Christopher L."},{"family":"Honig","given":"Barry"}],"issued":{"date-parts":[[2006,7,15]]},"accessed":{"date-parts":[[2012,12,13]]}}},{"id":45,"uris":["http://zotero.org/users/local/xPq7q79Q/items/AXP3QWTZ"],"uri":["http://zotero.org/users/local/xPq7q79Q/items/AXP3QWTZ"],"itemData":{"id":45,"type":"article-journal","title":"The accuracy of several multiple sequence alignment programs for proteins","container-title":"BMC Bioinformatics","page":"471","volume":"7","issue":"1","source":"www.biomedcentral.com","abstract":"There have been many algorithms and software programs implemented for the inference of multiple sequence alignments of protein and DNA sequences. The","DOI":"10.1186/1471-2105-7-471","ISSN":"1471-2105","language":"en","author":[{"family":"Nuin","given":"Paulo AS"},{"family":"Wang","given":"Zhouzhi"},{"family":"Tillier","given":"Elisabeth RM"}],"issued":{"date-parts":[[2006,10,24]]},"accessed":{"date-parts":[[2012,12,13]]}}}],"schema":"https://github.com/citation-style-language/schema/raw/master/csl-citation.json"} </w:instrText>
      </w:r>
      <w:r w:rsidR="000A4C1E">
        <w:fldChar w:fldCharType="separate"/>
      </w:r>
      <w:r w:rsidR="000A4C1E" w:rsidRPr="000A4C1E">
        <w:rPr>
          <w:rFonts w:ascii="Calibri" w:hAnsi="Calibri"/>
        </w:rPr>
        <w:t>(Forrest et al., 2006; Nuin et al., 2006)</w:t>
      </w:r>
      <w:r w:rsidR="000A4C1E">
        <w:fldChar w:fldCharType="end"/>
      </w:r>
      <w:r w:rsidR="000A4C1E">
        <w:t xml:space="preserve">. </w:t>
      </w:r>
    </w:p>
    <w:p w:rsidR="00A314AC" w:rsidRDefault="000A4C1E" w:rsidP="00470A4E">
      <w:r>
        <w:tab/>
      </w:r>
      <w:r w:rsidR="005D36A3">
        <w:t>T</w:t>
      </w:r>
      <w:r>
        <w:t>he best tool for the job is ClustalΩ</w:t>
      </w:r>
      <w:r w:rsidR="004E5CC1">
        <w:t xml:space="preserve"> </w:t>
      </w:r>
      <w:r w:rsidR="004E5CC1">
        <w:fldChar w:fldCharType="begin"/>
      </w:r>
      <w:r w:rsidR="004E5CC1">
        <w:instrText xml:space="preserve"> ADDIN ZOTERO_ITEM CSL_CITATION {"citationID":"18deb4a6kl","properties":{"formattedCitation":"(Sievers et al., 2011)","plainCitation":"(Sievers et al., 2011)"},"citationItems":[{"id":48,"uris":["http://zotero.org/users/local/xPq7q79Q/items/3ZKUSET5"],"uri":["http://zotero.org/users/local/xPq7q79Q/items/3ZKUSET5"],"itemData":{"id":48,"type":"article-journal","title":"Fast, scalable generation of high-quality protein multiple sequence alignments using Clustal Omega","container-title":"Molecular Systems Biology","volume":"7","issue":"1","source":"www.nature.com","abstract":"Multiple sequence alignments are fundamental to many sequence analysis methods. Most alignments are computed using the progressive alignment heuristic. These methods are starting to become a bottleneck in some analysis pipelines when faced with data sets of the size of many thousands of sequences. Some methods allow computation of larger data sets while sacrificing quality, and others produce high-quality alignments, but scale badly with the number of sequences. In this paper, we describe a new program called Clustal Omega, which can align virtually any number of protein sequences quickly and that delivers accurate alignments. The accuracy of the package on smaller test cases is similar to that of the high-quality aligners. On larger data sets, Clustal Omega outperforms other packages in terms of execution time and quality. Clustal Omega also has powerful features for adding sequences to and exploiting information in existing alignments, making use of the vast amount of precomputed information in public databases like Pfam.","URL":"http://www.nature.com/msb/journal/v7/n1/full/msb201175.html","DOI":"10.1038/msb.2011.75","ISSN":"false","language":"en","author":[{"family":"Sievers","given":"Fabian"},{"family":"Wilm","given":"Andreas"},{"family":"Dineen","given":"David"},{"family":"Gibson","given":"Toby J."},{"family":"Karplus","given":"Kevin"},{"family":"Li","given":"Weizhong"},{"family":"Lopez","given":"Rodrigo"},{"family":"McWilliam","given":"Hamish"},{"family":"Remmert","given":"Michael"},{"family":"Söding","given":"Johannes"},{"family":"Thompson","given":"Julie D."},{"family":"Higgins","given":"Desmond G."}],"issued":{"date-parts":[[2011,10,11]]},"accessed":{"date-parts":[[2012,12,13]]}}}],"schema":"https://github.com/citation-style-language/schema/raw/master/csl-citation.json"} </w:instrText>
      </w:r>
      <w:r w:rsidR="004E5CC1">
        <w:fldChar w:fldCharType="separate"/>
      </w:r>
      <w:r w:rsidR="004E5CC1" w:rsidRPr="004E5CC1">
        <w:rPr>
          <w:rFonts w:ascii="Calibri" w:hAnsi="Calibri"/>
        </w:rPr>
        <w:t>(Sievers et al., 2011)</w:t>
      </w:r>
      <w:r w:rsidR="004E5CC1">
        <w:fldChar w:fldCharType="end"/>
      </w:r>
      <w:r>
        <w:t xml:space="preserve">. </w:t>
      </w:r>
      <w:r w:rsidR="004E5CC1">
        <w:t>The most accurate sequence alignment programs are also the slowest, and will not be able to handle alignment of the larger clusters</w:t>
      </w:r>
      <w:r w:rsidR="00E5607A">
        <w:t xml:space="preserve">. </w:t>
      </w:r>
      <w:r w:rsidR="00211C3C">
        <w:t>Though it is not the most accurate alignment program, ClustalΩ is the most accurate among the programs with enough speed.</w:t>
      </w:r>
    </w:p>
    <w:p w:rsidR="00A314AC" w:rsidRDefault="00A314AC">
      <w:r>
        <w:br w:type="page"/>
      </w:r>
    </w:p>
    <w:p w:rsidR="00083740" w:rsidRDefault="00083740" w:rsidP="00470A4E"/>
    <w:p w:rsidR="003F5D61" w:rsidRDefault="003F5D61" w:rsidP="003F5D61"/>
    <w:tbl>
      <w:tblPr>
        <w:tblStyle w:val="TableGrid"/>
        <w:tblW w:w="0" w:type="auto"/>
        <w:tblLook w:val="04A0" w:firstRow="1" w:lastRow="0" w:firstColumn="1" w:lastColumn="0" w:noHBand="0" w:noVBand="1"/>
      </w:tblPr>
      <w:tblGrid>
        <w:gridCol w:w="9576"/>
      </w:tblGrid>
      <w:tr w:rsidR="003F5D61" w:rsidTr="00D636AC">
        <w:tc>
          <w:tcPr>
            <w:tcW w:w="9576" w:type="dxa"/>
            <w:tcBorders>
              <w:bottom w:val="nil"/>
            </w:tcBorders>
          </w:tcPr>
          <w:tbl>
            <w:tblPr>
              <w:tblW w:w="10188" w:type="dxa"/>
              <w:tblCellMar>
                <w:left w:w="10" w:type="dxa"/>
                <w:right w:w="10" w:type="dxa"/>
              </w:tblCellMar>
              <w:tblLook w:val="04A0" w:firstRow="1" w:lastRow="0" w:firstColumn="1" w:lastColumn="0" w:noHBand="0" w:noVBand="1"/>
            </w:tblPr>
            <w:tblGrid>
              <w:gridCol w:w="824"/>
              <w:gridCol w:w="1075"/>
              <w:gridCol w:w="1295"/>
              <w:gridCol w:w="1121"/>
              <w:gridCol w:w="1248"/>
              <w:gridCol w:w="1471"/>
              <w:gridCol w:w="769"/>
              <w:gridCol w:w="832"/>
              <w:gridCol w:w="1553"/>
            </w:tblGrid>
            <w:tr w:rsidR="003F5D61" w:rsidTr="00D636AC">
              <w:tblPrEx>
                <w:tblCellMar>
                  <w:top w:w="0" w:type="dxa"/>
                  <w:bottom w:w="0" w:type="dxa"/>
                </w:tblCellMar>
              </w:tblPrEx>
              <w:trPr>
                <w:trHeight w:val="1061"/>
              </w:trPr>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b/>
                    </w:rPr>
                    <w:t xml:space="preserve">a) </w:t>
                  </w:r>
                  <w:r>
                    <w:rPr>
                      <w:rFonts w:ascii="Calibri" w:eastAsia="Times New Roman" w:hAnsi="Calibri" w:cs="Times New Roman"/>
                    </w:rPr>
                    <w:t>PDBID</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b/>
                    </w:rPr>
                    <w:t xml:space="preserve">b) </w:t>
                  </w:r>
                  <w:r>
                    <w:rPr>
                      <w:rFonts w:ascii="Calibri" w:eastAsia="Times New Roman" w:hAnsi="Calibri" w:cs="Times New Roman"/>
                    </w:rPr>
                    <w:t>%id w/ template</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Pr="00C41FCC" w:rsidRDefault="003F5D61" w:rsidP="00D636AC">
                  <w:pPr>
                    <w:rPr>
                      <w:rFonts w:ascii="Calibri" w:eastAsia="Times New Roman" w:hAnsi="Calibri" w:cs="Times New Roman"/>
                    </w:rPr>
                  </w:pPr>
                  <w:r>
                    <w:rPr>
                      <w:rFonts w:ascii="Calibri" w:eastAsia="Times New Roman" w:hAnsi="Calibri" w:cs="Times New Roman"/>
                      <w:b/>
                    </w:rPr>
                    <w:t xml:space="preserve">c) </w:t>
                  </w:r>
                  <w:r>
                    <w:rPr>
                      <w:rFonts w:ascii="Calibri" w:eastAsia="Times New Roman" w:hAnsi="Calibri" w:cs="Times New Roman"/>
                    </w:rPr>
                    <w:t>TM strands w/in 3 Å</w:t>
                  </w:r>
                </w:p>
              </w:tc>
              <w:tc>
                <w:tcPr>
                  <w:tcW w:w="11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b/>
                    </w:rPr>
                    <w:t xml:space="preserve">d) </w:t>
                  </w:r>
                  <w:r>
                    <w:rPr>
                      <w:rFonts w:ascii="Calibri" w:eastAsia="Times New Roman" w:hAnsi="Calibri" w:cs="Times New Roman"/>
                    </w:rPr>
                    <w:t>TM strands w/in 6 Å</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Pr="001E07EE" w:rsidRDefault="003F5D61" w:rsidP="00D636AC">
                  <w:pPr>
                    <w:rPr>
                      <w:rFonts w:ascii="Calibri" w:eastAsia="Times New Roman" w:hAnsi="Calibri" w:cs="Times New Roman"/>
                    </w:rPr>
                  </w:pPr>
                  <w:r>
                    <w:rPr>
                      <w:rFonts w:ascii="Calibri" w:eastAsia="Times New Roman" w:hAnsi="Calibri" w:cs="Times New Roman"/>
                      <w:b/>
                    </w:rPr>
                    <w:t xml:space="preserve">e) </w:t>
                  </w:r>
                  <w:r>
                    <w:rPr>
                      <w:rFonts w:ascii="Calibri" w:eastAsia="Times New Roman" w:hAnsi="Calibri" w:cs="Times New Roman"/>
                    </w:rPr>
                    <w:t>TM strands % no pred</w:t>
                  </w:r>
                </w:p>
              </w:tc>
              <w:tc>
                <w:tcPr>
                  <w:tcW w:w="14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Pr="00BB6242" w:rsidRDefault="003F5D61" w:rsidP="00D636AC">
                  <w:pPr>
                    <w:rPr>
                      <w:rFonts w:ascii="Calibri" w:eastAsia="Times New Roman" w:hAnsi="Calibri" w:cs="Times New Roman"/>
                    </w:rPr>
                  </w:pPr>
                  <w:r>
                    <w:rPr>
                      <w:rFonts w:ascii="Calibri" w:eastAsia="Times New Roman" w:hAnsi="Calibri" w:cs="Times New Roman"/>
                      <w:b/>
                    </w:rPr>
                    <w:t xml:space="preserve">f) </w:t>
                  </w:r>
                  <w:r>
                    <w:rPr>
                      <w:rFonts w:ascii="Calibri" w:eastAsia="Times New Roman" w:hAnsi="Calibri" w:cs="Times New Roman"/>
                    </w:rPr>
                    <w:t>All w/in 3 Å</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Pr="00BB6242" w:rsidRDefault="003F5D61" w:rsidP="00D636AC">
                  <w:pPr>
                    <w:rPr>
                      <w:rFonts w:ascii="Calibri" w:eastAsia="Times New Roman" w:hAnsi="Calibri" w:cs="Times New Roman"/>
                    </w:rPr>
                  </w:pPr>
                  <w:r>
                    <w:rPr>
                      <w:rFonts w:ascii="Calibri" w:eastAsia="Times New Roman" w:hAnsi="Calibri" w:cs="Times New Roman"/>
                      <w:b/>
                    </w:rPr>
                    <w:t xml:space="preserve">g) </w:t>
                  </w:r>
                  <w:r>
                    <w:rPr>
                      <w:rFonts w:ascii="Calibri" w:eastAsia="Times New Roman" w:hAnsi="Calibri" w:cs="Times New Roman"/>
                    </w:rPr>
                    <w:t>All w/in 6 Å</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Pr="00BB6242" w:rsidRDefault="003F5D61" w:rsidP="00D636AC">
                  <w:pPr>
                    <w:rPr>
                      <w:rFonts w:ascii="Calibri" w:eastAsia="Times New Roman" w:hAnsi="Calibri" w:cs="Times New Roman"/>
                    </w:rPr>
                  </w:pPr>
                  <w:r>
                    <w:rPr>
                      <w:rFonts w:ascii="Calibri" w:eastAsia="Times New Roman" w:hAnsi="Calibri" w:cs="Times New Roman"/>
                      <w:b/>
                    </w:rPr>
                    <w:t xml:space="preserve">h) </w:t>
                  </w:r>
                  <w:r>
                    <w:rPr>
                      <w:rFonts w:ascii="Calibri" w:eastAsia="Times New Roman" w:hAnsi="Calibri" w:cs="Times New Roman"/>
                    </w:rPr>
                    <w:t>All % no pred</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Pr="00BB6242" w:rsidRDefault="003F5D61" w:rsidP="00D636AC">
                  <w:pPr>
                    <w:rPr>
                      <w:rFonts w:ascii="Calibri" w:eastAsia="Times New Roman" w:hAnsi="Calibri" w:cs="Times New Roman"/>
                    </w:rPr>
                  </w:pPr>
                  <w:r>
                    <w:rPr>
                      <w:rFonts w:ascii="Calibri" w:eastAsia="Times New Roman" w:hAnsi="Calibri" w:cs="Times New Roman"/>
                      <w:b/>
                    </w:rPr>
                    <w:t xml:space="preserve">i) </w:t>
                  </w:r>
                  <w:r>
                    <w:rPr>
                      <w:rFonts w:ascii="Calibri" w:eastAsia="Times New Roman" w:hAnsi="Calibri" w:cs="Times New Roman"/>
                    </w:rPr>
                    <w:t>Seqs</w:t>
                  </w:r>
                  <w:r>
                    <w:rPr>
                      <w:rFonts w:ascii="Calibri" w:eastAsia="Times New Roman" w:hAnsi="Calibri" w:cs="Times New Roman"/>
                    </w:rPr>
                    <w:br/>
                    <w:t>above</w:t>
                  </w:r>
                </w:p>
              </w:tc>
            </w:tr>
            <w:tr w:rsidR="003F5D61" w:rsidTr="00D636AC">
              <w:tblPrEx>
                <w:tblCellMar>
                  <w:top w:w="0" w:type="dxa"/>
                  <w:bottom w:w="0" w:type="dxa"/>
                </w:tblCellMar>
              </w:tblPrEx>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1BY5</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13.3</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93.4</w:t>
                  </w:r>
                </w:p>
              </w:tc>
              <w:tc>
                <w:tcPr>
                  <w:tcW w:w="11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97.1</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2.8</w:t>
                  </w:r>
                </w:p>
              </w:tc>
              <w:tc>
                <w:tcPr>
                  <w:tcW w:w="14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81.2</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92.0</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46.3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338</w:t>
                  </w:r>
                </w:p>
              </w:tc>
            </w:tr>
            <w:tr w:rsidR="003F5D61" w:rsidTr="00D636AC">
              <w:tblPrEx>
                <w:tblCellMar>
                  <w:top w:w="0" w:type="dxa"/>
                  <w:bottom w:w="0" w:type="dxa"/>
                </w:tblCellMar>
              </w:tblPrEx>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1T16</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12.4</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98.6</w:t>
                  </w:r>
                </w:p>
              </w:tc>
              <w:tc>
                <w:tcPr>
                  <w:tcW w:w="11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100</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.8</w:t>
                  </w:r>
                </w:p>
              </w:tc>
              <w:tc>
                <w:tcPr>
                  <w:tcW w:w="14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74.9</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85.7</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25.4</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108</w:t>
                  </w:r>
                </w:p>
              </w:tc>
            </w:tr>
            <w:tr w:rsidR="003F5D61" w:rsidTr="00D636AC">
              <w:tblPrEx>
                <w:tblCellMar>
                  <w:top w:w="0" w:type="dxa"/>
                  <w:bottom w:w="0" w:type="dxa"/>
                </w:tblCellMar>
              </w:tblPrEx>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2MPR</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19.1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89.4</w:t>
                  </w:r>
                </w:p>
              </w:tc>
              <w:tc>
                <w:tcPr>
                  <w:tcW w:w="11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100</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1.9</w:t>
                  </w:r>
                </w:p>
              </w:tc>
              <w:tc>
                <w:tcPr>
                  <w:tcW w:w="14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77.0</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92.5</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29.6</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19</w:t>
                  </w:r>
                </w:p>
              </w:tc>
            </w:tr>
            <w:tr w:rsidR="003F5D61" w:rsidTr="00D636AC">
              <w:tblPrEx>
                <w:tblCellMar>
                  <w:top w:w="0" w:type="dxa"/>
                  <w:bottom w:w="0" w:type="dxa"/>
                </w:tblCellMar>
              </w:tblPrEx>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1PHO</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56.0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100</w:t>
                  </w:r>
                </w:p>
              </w:tc>
              <w:tc>
                <w:tcPr>
                  <w:tcW w:w="11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100</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.6</w:t>
                  </w:r>
                </w:p>
              </w:tc>
              <w:tc>
                <w:tcPr>
                  <w:tcW w:w="14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96.0</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100</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7.9</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18</w:t>
                  </w:r>
                </w:p>
              </w:tc>
            </w:tr>
            <w:tr w:rsidR="003F5D61" w:rsidTr="00D636AC">
              <w:tblPrEx>
                <w:tblCellMar>
                  <w:top w:w="0" w:type="dxa"/>
                  <w:bottom w:w="0" w:type="dxa"/>
                </w:tblCellMar>
              </w:tblPrEx>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2OMF</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55.6</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100</w:t>
                  </w:r>
                </w:p>
              </w:tc>
              <w:tc>
                <w:tcPr>
                  <w:tcW w:w="11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100</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0</w:t>
                  </w:r>
                </w:p>
              </w:tc>
              <w:tc>
                <w:tcPr>
                  <w:tcW w:w="14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95.1</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95.6</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24.0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18</w:t>
                  </w:r>
                </w:p>
              </w:tc>
            </w:tr>
          </w:tbl>
          <w:p w:rsidR="003F5D61" w:rsidRDefault="003F5D61" w:rsidP="00D636AC"/>
        </w:tc>
      </w:tr>
      <w:tr w:rsidR="003F5D61" w:rsidTr="00D636AC">
        <w:tc>
          <w:tcPr>
            <w:tcW w:w="9576" w:type="dxa"/>
            <w:tcBorders>
              <w:top w:val="nil"/>
              <w:left w:val="nil"/>
              <w:bottom w:val="nil"/>
              <w:right w:val="nil"/>
            </w:tcBorders>
          </w:tcPr>
          <w:p w:rsidR="003F5D61" w:rsidRPr="00197FCA" w:rsidRDefault="003F5D61" w:rsidP="00D636AC">
            <w:r>
              <w:rPr>
                <w:b/>
              </w:rPr>
              <w:t>Table 1. a)</w:t>
            </w:r>
            <w:r>
              <w:t xml:space="preserve"> PDBID of the target structure. </w:t>
            </w:r>
            <w:r>
              <w:rPr>
                <w:b/>
              </w:rPr>
              <w:t xml:space="preserve">b) </w:t>
            </w:r>
            <w:r>
              <w:t xml:space="preserve">Percent sequence identity between the target structure and the template structure. </w:t>
            </w:r>
            <w:r>
              <w:rPr>
                <w:b/>
              </w:rPr>
              <w:t xml:space="preserve">c) </w:t>
            </w:r>
            <w:r>
              <w:t xml:space="preserve">Percent of predicted z coordinates within 3 </w:t>
            </w:r>
            <w:r>
              <w:rPr>
                <w:rFonts w:ascii="Calibri" w:eastAsia="Times New Roman" w:hAnsi="Calibri" w:cs="Times New Roman"/>
              </w:rPr>
              <w:t xml:space="preserve">Å vertical distance of the real value in the transmembrane strands. </w:t>
            </w:r>
            <w:r>
              <w:rPr>
                <w:rFonts w:ascii="Calibri" w:eastAsia="Times New Roman" w:hAnsi="Calibri" w:cs="Times New Roman"/>
                <w:b/>
              </w:rPr>
              <w:t xml:space="preserve">d) </w:t>
            </w:r>
            <w:r>
              <w:rPr>
                <w:rFonts w:ascii="Calibri" w:eastAsia="Times New Roman" w:hAnsi="Calibri" w:cs="Times New Roman"/>
              </w:rPr>
              <w:t xml:space="preserve">Percent of predicted z coordinates within 6 Å vertical distance of the real value. </w:t>
            </w:r>
            <w:r>
              <w:rPr>
                <w:rFonts w:ascii="Calibri" w:eastAsia="Times New Roman" w:hAnsi="Calibri" w:cs="Times New Roman"/>
                <w:b/>
              </w:rPr>
              <w:t xml:space="preserve">e) </w:t>
            </w:r>
            <w:r>
              <w:rPr>
                <w:rFonts w:ascii="Calibri" w:eastAsia="Times New Roman" w:hAnsi="Calibri" w:cs="Times New Roman"/>
              </w:rPr>
              <w:t xml:space="preserve">Percent of transmembrane strand residues for which no prediction could be made. </w:t>
            </w:r>
            <w:r>
              <w:rPr>
                <w:rFonts w:ascii="Calibri" w:eastAsia="Times New Roman" w:hAnsi="Calibri" w:cs="Times New Roman"/>
                <w:b/>
              </w:rPr>
              <w:t xml:space="preserve">f) </w:t>
            </w:r>
            <w:r>
              <w:rPr>
                <w:rFonts w:ascii="Calibri" w:eastAsia="Times New Roman" w:hAnsi="Calibri" w:cs="Times New Roman"/>
              </w:rPr>
              <w:t xml:space="preserve">Percent of predicted z coordinates within 3 Å vertical distance of the real value in the whole protein. </w:t>
            </w:r>
            <w:r>
              <w:rPr>
                <w:rFonts w:ascii="Calibri" w:eastAsia="Times New Roman" w:hAnsi="Calibri" w:cs="Times New Roman"/>
                <w:b/>
              </w:rPr>
              <w:t xml:space="preserve">g) </w:t>
            </w:r>
            <w:r>
              <w:rPr>
                <w:rFonts w:ascii="Calibri" w:eastAsia="Times New Roman" w:hAnsi="Calibri" w:cs="Times New Roman"/>
              </w:rPr>
              <w:t xml:space="preserve">Percent of predicted z coordinates within 6 Å vertical distance of the real value in the whole protein. </w:t>
            </w:r>
            <w:r>
              <w:rPr>
                <w:rFonts w:ascii="Calibri" w:eastAsia="Times New Roman" w:hAnsi="Calibri" w:cs="Times New Roman"/>
                <w:b/>
              </w:rPr>
              <w:t xml:space="preserve">h) </w:t>
            </w:r>
            <w:r>
              <w:rPr>
                <w:rFonts w:ascii="Calibri" w:eastAsia="Times New Roman" w:hAnsi="Calibri" w:cs="Times New Roman"/>
              </w:rPr>
              <w:t xml:space="preserve">Percent of residues in the whole protein for which no prediction could be made. </w:t>
            </w:r>
            <w:r>
              <w:rPr>
                <w:rFonts w:ascii="Calibri" w:eastAsia="Times New Roman" w:hAnsi="Calibri" w:cs="Times New Roman"/>
                <w:b/>
              </w:rPr>
              <w:t xml:space="preserve">i) </w:t>
            </w:r>
            <w:r>
              <w:rPr>
                <w:rFonts w:ascii="Calibri" w:eastAsia="Times New Roman" w:hAnsi="Calibri" w:cs="Times New Roman"/>
              </w:rPr>
              <w:t>Sequences in the cluster with more sequence identity with the template.</w:t>
            </w:r>
          </w:p>
        </w:tc>
      </w:tr>
    </w:tbl>
    <w:p w:rsidR="003F5D61" w:rsidRDefault="003F5D61" w:rsidP="00470A4E"/>
    <w:p w:rsidR="00144BB4" w:rsidRDefault="00144BB4" w:rsidP="00470A4E">
      <w:r>
        <w:tab/>
      </w:r>
      <w:r w:rsidR="00095653">
        <w:t xml:space="preserve">Another opportunity for improvement is in the measure of performance. </w:t>
      </w:r>
      <w:r w:rsidR="00537A20">
        <w:t xml:space="preserve">It is difficult to explain the </w:t>
      </w:r>
      <w:r w:rsidR="008A1FE4">
        <w:t>z error</w:t>
      </w:r>
      <w:r w:rsidR="007870C9">
        <w:t>; people tend to get confused</w:t>
      </w:r>
      <w:r w:rsidR="005E0A4D">
        <w:t xml:space="preserve"> by it</w:t>
      </w:r>
      <w:r w:rsidR="007870C9">
        <w:t xml:space="preserve">. </w:t>
      </w:r>
      <w:r w:rsidR="00D77FEE">
        <w:t xml:space="preserve">A simpler or more familiar measure, such as  </w:t>
      </w:r>
      <w:r w:rsidR="00F655ED">
        <w:t xml:space="preserve">RMSD, or percentage of aligned </w:t>
      </w:r>
      <w:r w:rsidR="00F3630C">
        <w:t xml:space="preserve">positions </w:t>
      </w:r>
      <w:r w:rsidR="00F555F6">
        <w:t>that match an ideal alignment built from a structure</w:t>
      </w:r>
      <w:r w:rsidR="00F3630C">
        <w:t xml:space="preserve">, </w:t>
      </w:r>
      <w:r w:rsidR="00B20849">
        <w:t>would make it easier to communicate the results.</w:t>
      </w:r>
      <w:r w:rsidR="00720AFB">
        <w:t xml:space="preserve"> </w:t>
      </w:r>
      <w:r w:rsidR="00DA3028">
        <w:t xml:space="preserve">Since z </w:t>
      </w:r>
      <w:r w:rsidR="001A3A48">
        <w:t xml:space="preserve">error </w:t>
      </w:r>
      <w:r w:rsidR="001E16CF">
        <w:t>varies in discontin</w:t>
      </w:r>
      <w:r w:rsidR="003B133B">
        <w:t>u</w:t>
      </w:r>
      <w:r w:rsidR="001E16CF">
        <w:t>ous jumps</w:t>
      </w:r>
      <w:r w:rsidR="00A842C9">
        <w:t xml:space="preserve">, a small cutoff of z error is essentially </w:t>
      </w:r>
      <w:r w:rsidR="00816464">
        <w:t xml:space="preserve">just a measurement of </w:t>
      </w:r>
      <w:r w:rsidR="007534B9">
        <w:t>the number of correctly aligned positions anyway.</w:t>
      </w:r>
    </w:p>
    <w:p w:rsidR="004B6287" w:rsidRDefault="008D7CF1" w:rsidP="008D7CF1">
      <w:pPr>
        <w:pStyle w:val="Heading2"/>
        <w:rPr>
          <w:rFonts w:eastAsiaTheme="minorEastAsia"/>
        </w:rPr>
      </w:pPr>
      <w:r>
        <w:rPr>
          <w:rFonts w:eastAsiaTheme="minorEastAsia"/>
        </w:rPr>
        <w:t>Other future work</w:t>
      </w:r>
    </w:p>
    <w:p w:rsidR="008D7CF1" w:rsidRDefault="008D7CF1" w:rsidP="008D7CF1"/>
    <w:p w:rsidR="008D7CF1" w:rsidRDefault="008A0B03" w:rsidP="008A0B03">
      <w:pPr>
        <w:pStyle w:val="Heading3"/>
      </w:pPr>
      <w:r>
        <w:t>Detection of protein-protein interfaces</w:t>
      </w:r>
    </w:p>
    <w:p w:rsidR="008A0B03" w:rsidRDefault="00E06D99" w:rsidP="008A0B03">
      <w:r>
        <w:tab/>
        <w:t>E</w:t>
      </w:r>
      <w:r>
        <w:rPr>
          <w:vertAlign w:val="subscript"/>
        </w:rPr>
        <w:t>z</w:t>
      </w:r>
      <w:r>
        <w:t xml:space="preserve">β has been applied to the detection of protein-protein interfaces in the outer membrane </w:t>
      </w:r>
      <w:r>
        <w:fldChar w:fldCharType="begin"/>
      </w:r>
      <w:r>
        <w:instrText xml:space="preserve"> ADDIN ZOTERO_ITEM CSL_CITATION {"citationID":"1so9u7dilk","properties":{"formattedCitation":"(Hsieh et al., 2012)","plainCitation":"(Hsieh et al., 2012)"},"citationItems":[{"id":15,"uris":["http://zotero.org/users/local/xPq7q79Q/items/7GM24T7G"],"uri":["http://zotero.org/users/local/xPq7q79Q/items/7GM24T7G"],"itemData":{"id":15,"type":"article-journal","title":"A knowledge-based potential highlights unique features of membrane α-helical and β-barrel protein insertion and folding","container-title":"Protein science: a publication of the Protein Society","page":"50-62","volume":"21","issue":"1","source":"NCBI PubMed","abstract":"Outer membrane β-barrel proteins differ from α-helical inner membrane proteins in lipid environment, secondary structure, and the proposed processes of folding and insertion. It is reasonable to expect that outer membrane proteins may contain primary sequence information specific for their folding and insertion behavior. In previous work, a depth-dependent insertion potential, E(z) , was derived for α-helical inner membrane proteins. We have generated an equivalent potential for TM β-barrel proteins. The similarities and differences between these two potentials provide insight into unique aspects of the folding and insertion of β-barrel membrane proteins. This potential can predict orientation within the membrane and identify functional residues involved in intermolecular interactions.","DOI":"10.1002/pro.758","ISSN":"1469-896X","note":"PMID: 22031179","journalAbbreviation":"Protein Sci.","author":[{"family":"Hsieh","given":"Daniel"},{"family":"Davis","given":"Alexander"},{"family":"Nanda","given":"Vikas"}],"issued":{"date-parts":[["2012",1]]}}}],"schema":"https://github.com/citation-style-language/schema/raw/master/csl-citation.json"} </w:instrText>
      </w:r>
      <w:r>
        <w:fldChar w:fldCharType="separate"/>
      </w:r>
      <w:r w:rsidRPr="00E06D99">
        <w:rPr>
          <w:rFonts w:ascii="Calibri" w:hAnsi="Calibri"/>
        </w:rPr>
        <w:t>(Hsieh et al., 2012)</w:t>
      </w:r>
      <w:r>
        <w:fldChar w:fldCharType="end"/>
      </w:r>
      <w:r>
        <w:t>.</w:t>
      </w:r>
      <w:r w:rsidR="00CA4C73">
        <w:t xml:space="preserve"> However, my previous work showed that it is incapable of detecting interfaces using only the strand regions as data</w:t>
      </w:r>
      <w:r w:rsidR="002E1276">
        <w:t xml:space="preserve">. Since these are the regions that are reliably predictable from sequence, </w:t>
      </w:r>
      <w:r w:rsidR="001331CC">
        <w:t>this rules out any practical application.</w:t>
      </w:r>
    </w:p>
    <w:p w:rsidR="000C6064" w:rsidRDefault="00830ED0" w:rsidP="008A0B03">
      <w:r>
        <w:tab/>
        <w:t>There are two reasons to expect insertion energy to be elevated at permanent OMP interfaces. One reason</w:t>
      </w:r>
      <w:r w:rsidR="00993EEE">
        <w:t xml:space="preserve"> - </w:t>
      </w:r>
      <w:r w:rsidR="00B74CBD">
        <w:t xml:space="preserve">it could be called the </w:t>
      </w:r>
      <w:r w:rsidR="00C07B2B">
        <w:t xml:space="preserve">stickyness argument </w:t>
      </w:r>
      <w:r w:rsidR="00845BB0">
        <w:t xml:space="preserve">- is that </w:t>
      </w:r>
      <w:r w:rsidR="00F15ABA">
        <w:t xml:space="preserve">polar residues </w:t>
      </w:r>
      <w:r w:rsidR="00164CFF">
        <w:t>are expected to be responsible for oligomerization. The stickyness argument extends intuition</w:t>
      </w:r>
      <w:r w:rsidR="00037D56">
        <w:t xml:space="preserve"> from the study of transmembrane helices, whose association is driven by polar residues </w:t>
      </w:r>
      <w:r w:rsidR="00C80019">
        <w:fldChar w:fldCharType="begin"/>
      </w:r>
      <w:r w:rsidR="00C80019">
        <w:instrText xml:space="preserve"> ADDIN ZOTERO_ITEM CSL_CITATION {"citationID":"11k4nv44rf","properties":{"formattedCitation":"(Tatko et al., 2006)","plainCitation":"(Tatko et al., 2006)"},"citationItems":[{"id":50,"uris":["http://zotero.org/users/local/xPq7q79Q/items/J9CGITIE"],"uri":["http://zotero.org/users/local/xPq7q79Q/items/J9CGITIE"],"itemData":{"id":50,"type":"article-journal","title":"Polar Networks Control Oligomeric Assembly in Membranes","container-title":"Journal of the American Chemical Society","page":"4170-4171","volume":"128","issue":"13","source":"ACS Publications","abstract":"Polar interactions have a profound influence on membrane stability and structure. A membrane-solubilized GCN4 peptide, MS-1, is used to study the impact of polar networks. Amide functionalities from amino acid side chains have been shown to promote peptide oligomerization, but lacked specificity. Herein, the hydrogen bonding interactions of an Asn side chain are coupled with the hydroxyl of Ser or Thr to generate a polar network. Analytical ultracentrifugation and fluorescence resonance energy transfer studies indicate that a trimer assembly is established where each membrane-embedded hydrogen bond contributes 1 kcal mol-1.","DOI":"10.1021/ja055561a","ISSN":"0002-7863","journalAbbreviation":"J. Am. Chem. Soc.","author":[{"family":"Tatko","given":"Chad D."},{"family":"Nanda","given":"Vikas"},{"family":"Lear","given":"James D."},{"family":"DeGrado","given":"William F."}],"issued":{"date-parts":[["2006",4,1]]},"accessed":{"date-parts":[[2012,12,13]]}}}],"schema":"https://github.com/citation-style-language/schema/raw/master/csl-citation.json"} </w:instrText>
      </w:r>
      <w:r w:rsidR="00C80019">
        <w:fldChar w:fldCharType="separate"/>
      </w:r>
      <w:r w:rsidR="00C80019" w:rsidRPr="00C80019">
        <w:rPr>
          <w:rFonts w:ascii="Calibri" w:hAnsi="Calibri"/>
        </w:rPr>
        <w:t>(Tatko et al., 2006)</w:t>
      </w:r>
      <w:r w:rsidR="00C80019">
        <w:fldChar w:fldCharType="end"/>
      </w:r>
      <w:r w:rsidR="00C80019">
        <w:t xml:space="preserve">. </w:t>
      </w:r>
      <w:r w:rsidR="00982CE7">
        <w:t xml:space="preserve">In fact, polar </w:t>
      </w:r>
      <w:r w:rsidR="00982CE7">
        <w:lastRenderedPageBreak/>
        <w:t xml:space="preserve">contacts are </w:t>
      </w:r>
      <w:r w:rsidR="00E701EB">
        <w:t>very important to the oligomerization of porins</w:t>
      </w:r>
      <w:r w:rsidR="00EB45AD">
        <w:t xml:space="preserve">, but </w:t>
      </w:r>
      <w:r w:rsidR="00012ABD">
        <w:t xml:space="preserve">these contacts </w:t>
      </w:r>
      <w:r w:rsidR="006C4A9C">
        <w:t xml:space="preserve">are not formed by </w:t>
      </w:r>
      <w:r w:rsidR="00586F45">
        <w:t xml:space="preserve">the </w:t>
      </w:r>
      <w:r w:rsidR="00B17842">
        <w:t>outward-facing residues on transmembrane strands</w:t>
      </w:r>
      <w:r w:rsidR="00EB45AD">
        <w:t xml:space="preserve"> </w:t>
      </w:r>
      <w:r w:rsidR="00EB45AD">
        <w:fldChar w:fldCharType="begin"/>
      </w:r>
      <w:r w:rsidR="00EB45AD">
        <w:instrText xml:space="preserve"> ADDIN ZOTERO_ITEM CSL_CITATION {"citationID":"2kmkek8ddb","properties":{"formattedCitation":"(Phale et al., 1998)","plainCitation":"(Phale et al., 1998)"},"citationItems":[{"id":53,"uris":["http://zotero.org/users/local/xPq7q79Q/items/CINR7Z6I"],"uri":["http://zotero.org/users/local/xPq7q79Q/items/CINR7Z6I"],"itemData":{"id":53,"type":"article-journal","title":"Stability of Trimeric OmpF Porin:  The Contributions of the Latching Loop L2†","container-title":"Biochemistry","page":"15663-15670","volume":"37","issue":"45","source":"ACS Publications","abstract":"The channel-forming protein OmpF porin from Escherichia coli spans the bacterial outer membrane. Each of the three monomers comprises a hollow, 16-stranded ?-barrel. These are associated to homotrimers which are unusually stable, due mostly to hydrophobic interactions between the ?-barrels. In addition, a loop, L2 connects one subunit to its neighbor by latching into its channel. Residue E71 on loop 2 is integrated into an ionic network and forms salt bridges and hydrogen bonds with R100 and R132 on the channel wall in the adjacent subunit. To examine these contributions quantitatively, six single-site, two double, and one deletion mutant were constructed on the basis of the atomic coordinates of the protein. Differential scanning calorimetric analysis showed that the salt-bridge, E71-R100, contributes significantly to trimer stability:? the substitution E71Q causes a decrease of the transition temperature from 72 to 48 °C, with ?Hcal diminishing from 430 to 201 kcal mol-1. A nearby substitution in the loop, D74N, has lesser effects on thermal stability, while the deletion in L2 (?69?77) has an effect comparable to that of E71Q. X-ray structure analysis to 3.0 Å resolution revealed only local structural differences in the mutants except for the substitution R100A, where another residue, R132, is found to fill the gap left by the truncated side chain of A100. Functional assays in planar lipid bilayers show significantly increased cation selectivities if the charge distribution was affected.","DOI":"10.1021/bi981215c","ISSN":"0006-2960","shortTitle":"Stability of Trimeric OmpF Porin","journalAbbreviation":"Biochemistry","author":[{"family":"Phale","given":"Prashant S."},{"family":"Philippsen","given":"Ansgar"},{"family":"Kiefhaber","given":"Thomas"},{"family":"Koebnik","given":"Ralf"},{"family":"Phale","given":"Vrishali P."},{"family":"Schirmer","given":"Tilman"},{"family":"Rosenbusch","given":"Jurg P."}],"issued":{"date-parts":[["1998",11,1]]},"accessed":{"date-parts":[[2012,12,13]]}}}],"schema":"https://github.com/citation-style-language/schema/raw/master/csl-citation.json"} </w:instrText>
      </w:r>
      <w:r w:rsidR="00EB45AD">
        <w:fldChar w:fldCharType="separate"/>
      </w:r>
      <w:r w:rsidR="00EB45AD" w:rsidRPr="00EB45AD">
        <w:rPr>
          <w:rFonts w:ascii="Calibri" w:hAnsi="Calibri"/>
        </w:rPr>
        <w:t>(Phale et al., 1998)</w:t>
      </w:r>
      <w:r w:rsidR="00EB45AD">
        <w:fldChar w:fldCharType="end"/>
      </w:r>
      <w:r w:rsidR="00EB45AD">
        <w:t>.</w:t>
      </w:r>
      <w:r w:rsidR="004E322D">
        <w:t xml:space="preserve"> Crystallographers</w:t>
      </w:r>
      <w:r w:rsidR="00B22AC4">
        <w:t xml:space="preserve"> who discover porin structures </w:t>
      </w:r>
      <w:r w:rsidR="00C02451">
        <w:t xml:space="preserve">often </w:t>
      </w:r>
      <w:r w:rsidR="00EB2710">
        <w:t>comment</w:t>
      </w:r>
      <w:r w:rsidR="00F027E0">
        <w:t xml:space="preserve"> on the hydrophobicity of the interface </w:t>
      </w:r>
      <w:r w:rsidR="001313EC">
        <w:fldChar w:fldCharType="begin"/>
      </w:r>
      <w:r w:rsidR="001313EC">
        <w:instrText xml:space="preserve"> ADDIN ZOTERO_ITEM CSL_CITATION {"citationID":"k7v36aeo0","properties":{"formattedCitation":"{\\rtf (Cowan et al., 1992; Forst et al., 1998; Basl\\uc0\\u233{} et al., 2006)}","plainCitation":"(Cowan et al., 1992; Forst et al., 1998; Baslé et al., 2006)"},"citationItems":[{"id":60,"uris":["http://zotero.org/users/local/xPq7q79Q/items/H7RRGRAR"],"uri":["http://zotero.org/users/local/xPq7q79Q/items/H7RRGRAR"],"itemData":{"id":60,"type":"article-journal","title":"Crystal structures explain functional properties of two E. coli porins","container-title":"Nature","page":"727-733","volume":"358","issue":"6389","source":"NCBI PubMed","abstract":"Porins form aqueous channels that aid the diffusion of small hydrophilic molecules across the outer membrane of Gram-negative bacteria. The crystal structures of matrix porin and phosphoporin both reveal trimers of identical subunits, each subunit consisting of a 16-stranded anti-parallel beta-barrel containing a pore. A long loop inside the barrel contributes to a constriction of the channel where the charge distribution affects ion selectivity. The structures explain at the molecular level functional characteristics and their alterations by known mutations.","DOI":"10.1038/358727a0","ISSN":"0028-0836","note":"PMID: 1380671","journalAbbreviation":"Nature","author":[{"family":"Cowan","given":"S W"},{"family":"Schirmer","given":"T"},{"family":"Rummel","given":"G"},{"family":"Steiert","given":"M"},{"family":"Ghosh","given":"R"},{"family":"Pauptit","given":"R A"},{"family":"Jansonius","given":"J N"},{"family":"Rosenbusch","given":"J P"}],"issued":{"date-parts":[["1992",8,27]]}}},{"id":56,"uris":["http://zotero.org/users/local/xPq7q79Q/items/4ITHQUFF"],"uri":["http://zotero.org/users/local/xPq7q79Q/items/4ITHQUFF"],"itemData":{"id":56,"type":"article-journal","title":"Structure of the sucrose-specific porin ScrY from Salmonella typhimurium and its complex with sucrose","container-title":"Nature Structural &amp; Molecular Biology","page":"37-46","volume":"5","issue":"1","source":"www.nature.com","DOI":"10.1038/nsb0198-37","language":"en","author":[{"family":"Forst","given":"Doris"},{"family":"Welte","given":"Wolfram"},{"family":"Wacker","given":"Thomas"},{"family":"Diederichs","given":"Kay"}],"issued":{"date-parts":[[1998,1,1]]},"accessed":{"date-parts":[[2012,12,13]]}}},{"id":62,"uris":["http://zotero.org/users/local/xPq7q79Q/items/JIPGDR7V"],"uri":["http://zotero.org/users/local/xPq7q79Q/items/JIPGDR7V"],"itemData":{"id":62,"type":"article-journal","title":"Crystal Structure of Osmoporin OmpC from E. coli at 2.0 Å","container-title":"Journal of Molecular Biology","page":"933-942","volume":"362","issue":"5","source":"ScienceDirect","abstract":"Porins form transmembrane pores in the outer membrane of Gram-negative bacteria with matrix porin OmpF and osmoporin OmpC from Escherichia coli being differentially expressed depending on environmental conditions. The three-dimensional structure of OmpC has been determined to 2.0 Å resolution by X-ray crystallography. As expected from the high sequence similarity, OmpC adopts the OmpF-like 16-stranded hollow β-barrel fold with three β-barrels associated to form a tight trimer. Unlike in OmpF, the extracellular loops form a continuous wall at the perimeter of the vestibule common to the three pores, due to a 14-residues insertion in loop L4. The pore constriction and the periplasmic outlet are very similar to OmpF with 74% of the pore lining residues being conserved. Overall, only few ionizable residues are exchanged at the pore lining. The OmpC structure suggests that not pore size, but electrostatic pore potential and particular atomic details of the pore linings are the critical parameters that physiologically distinguish OmpC from OmpF.","DOI":"10.1016/j.jmb.2006.08.002","ISSN":"0022-2836","journalAbbreviation":"Journal of Molecular Biology","author":[{"family":"Baslé","given":"Arnaud"},{"family":"Rummel","given":"Gabriele"},{"family":"Storici","given":"Paola"},{"family":"Rosenbusch","given":"Juerg P."},{"family":"Schirmer","given":"Tilman"}],"issued":{"date-parts":[["2006",10,6]]},"accessed":{"date-parts":[[2012,12,13]]}}}],"schema":"https://github.com/citation-style-language/schema/raw/master/csl-citation.json"} </w:instrText>
      </w:r>
      <w:r w:rsidR="001313EC">
        <w:fldChar w:fldCharType="separate"/>
      </w:r>
      <w:r w:rsidR="001313EC" w:rsidRPr="001313EC">
        <w:rPr>
          <w:rFonts w:ascii="Calibri" w:hAnsi="Calibri" w:cs="Times New Roman"/>
          <w:szCs w:val="24"/>
        </w:rPr>
        <w:t>(Cowan et al., 1992; Forst et al., 1998; Baslé et al., 2006)</w:t>
      </w:r>
      <w:r w:rsidR="001313EC">
        <w:fldChar w:fldCharType="end"/>
      </w:r>
      <w:r w:rsidR="001313EC">
        <w:t>, but never mention</w:t>
      </w:r>
      <w:r w:rsidR="00CC5303">
        <w:t xml:space="preserve"> any polar contacts in the strands.</w:t>
      </w:r>
      <w:r w:rsidR="00515F00">
        <w:t xml:space="preserve"> </w:t>
      </w:r>
      <w:r w:rsidR="00B9482E">
        <w:t xml:space="preserve">In fact, a computational study found that </w:t>
      </w:r>
      <w:r w:rsidR="00D16212">
        <w:t>porin</w:t>
      </w:r>
      <w:r w:rsidR="00B05562">
        <w:t xml:space="preserve"> interfaces </w:t>
      </w:r>
      <w:r w:rsidR="00B403F9">
        <w:t xml:space="preserve">are just as hydrophobic as the rest of the monomer surface </w:t>
      </w:r>
      <w:r w:rsidR="005D6414">
        <w:fldChar w:fldCharType="begin"/>
      </w:r>
      <w:r w:rsidR="005D6414">
        <w:instrText xml:space="preserve"> ADDIN ZOTERO_ITEM CSL_CITATION {"citationID":"2m3ejnei7j","properties":{"formattedCitation":"(Hayat et al., 2011)","plainCitation":"(Hayat et al., 2011)"},"citationItems":[{"id":65,"uris":["http://zotero.org/users/local/xPq7q79Q/items/58I5N8QX"],"uri":["http://zotero.org/users/local/xPq7q79Q/items/58I5N8QX"],"itemData":{"id":65,"type":"article-journal","title":"PREDICTION OF THE EXPOSURE STATUS OF TRANSMEMBRANE BETA BARREL RESIDUES FROM PROTEIN SEQUENCE","container-title":"Journal of Bioinformatics and Computational Biology","page":"43-65","volume":"09","issue":"01","source":"CrossRef","DOI":"10.1142/S0219720011005240","ISSN":"0219-7200, 1757-6334","author":[{"family":"Hayat","given":"Sikander"},{"family":"Walter","given":"Peter"},{"family":"Park","given":"Yungki"},{"family":"Helms","given":"Volkhard"}],"issued":{"date-parts":[[2011,2]]},"accessed":{"date-parts":[[2012,12,13]]}}}],"schema":"https://github.com/citation-style-language/schema/raw/master/csl-citation.json"} </w:instrText>
      </w:r>
      <w:r w:rsidR="005D6414">
        <w:fldChar w:fldCharType="separate"/>
      </w:r>
      <w:r w:rsidR="005D6414" w:rsidRPr="005D6414">
        <w:rPr>
          <w:rFonts w:ascii="Calibri" w:hAnsi="Calibri"/>
        </w:rPr>
        <w:t>(Hayat et al., 2011)</w:t>
      </w:r>
      <w:r w:rsidR="005D6414">
        <w:fldChar w:fldCharType="end"/>
      </w:r>
      <w:r w:rsidR="000C6064">
        <w:t>.</w:t>
      </w:r>
      <w:r w:rsidR="00F939F1">
        <w:t xml:space="preserve"> If E</w:t>
      </w:r>
      <w:r w:rsidR="00F939F1">
        <w:rPr>
          <w:vertAlign w:val="subscript"/>
        </w:rPr>
        <w:t>z</w:t>
      </w:r>
      <w:r w:rsidR="00F939F1">
        <w:t>β can, in fact, be used to detect interfaces, it is not established by the stickyness argument.</w:t>
      </w:r>
    </w:p>
    <w:p w:rsidR="00BF3FB0" w:rsidRDefault="00BF3FB0" w:rsidP="008A0B03">
      <w:r>
        <w:tab/>
      </w:r>
      <w:r w:rsidR="003A2741">
        <w:t>Another reason</w:t>
      </w:r>
      <w:r w:rsidR="00765809">
        <w:t xml:space="preserve">—this one could be called the </w:t>
      </w:r>
      <w:r w:rsidR="00297E91">
        <w:t xml:space="preserve">entropy </w:t>
      </w:r>
      <w:r w:rsidR="00765809">
        <w:t>argument—</w:t>
      </w:r>
      <w:r w:rsidR="005B5937">
        <w:t xml:space="preserve">is that </w:t>
      </w:r>
      <w:r w:rsidR="00A86A3B">
        <w:t xml:space="preserve">most of the surface should </w:t>
      </w:r>
      <w:r w:rsidR="00534492">
        <w:t>have selection pressure for low insertion energy</w:t>
      </w:r>
      <w:r w:rsidR="00435F0F">
        <w:t xml:space="preserve">, but the </w:t>
      </w:r>
      <w:r w:rsidR="00BE5F70">
        <w:t xml:space="preserve">part that's buried in the interface, where such selection pressure is </w:t>
      </w:r>
      <w:r w:rsidR="00D3590A">
        <w:t>lessened or absent,</w:t>
      </w:r>
      <w:r w:rsidR="002F5DA8">
        <w:t xml:space="preserve"> will have higher </w:t>
      </w:r>
      <w:r w:rsidR="00EA5BE2">
        <w:t>insertion energy, simply due to a lack of selection.</w:t>
      </w:r>
      <w:r w:rsidR="00BD6F72">
        <w:t xml:space="preserve"> </w:t>
      </w:r>
      <w:r w:rsidR="00EC0A3D">
        <w:t xml:space="preserve">The entropy argument can recover from the observation of hydrophobic interfaces with the </w:t>
      </w:r>
      <w:r w:rsidR="007D659E">
        <w:t xml:space="preserve">theory that they are </w:t>
      </w:r>
      <w:r w:rsidR="001514BA">
        <w:t xml:space="preserve">hydrophobic for a different reason, besides insertion - </w:t>
      </w:r>
      <w:r w:rsidR="00F53D11">
        <w:t>and therefore</w:t>
      </w:r>
      <w:r w:rsidR="003F7262">
        <w:t>,</w:t>
      </w:r>
      <w:r w:rsidR="002A1634">
        <w:t xml:space="preserve"> will still be distinguishable by higher E</w:t>
      </w:r>
      <w:r w:rsidR="002A1634">
        <w:rPr>
          <w:vertAlign w:val="subscript"/>
        </w:rPr>
        <w:t>z</w:t>
      </w:r>
      <w:r w:rsidR="002A1634">
        <w:t xml:space="preserve">β. </w:t>
      </w:r>
      <w:r w:rsidR="00B8615C">
        <w:t xml:space="preserve">Evidence for this comes in the form </w:t>
      </w:r>
      <w:r w:rsidR="00E57247">
        <w:t xml:space="preserve">of </w:t>
      </w:r>
      <w:r w:rsidR="00F0498B">
        <w:t xml:space="preserve">the observation </w:t>
      </w:r>
      <w:r w:rsidR="00A30651">
        <w:t xml:space="preserve">that the strict segregation </w:t>
      </w:r>
      <w:r w:rsidR="00D7770F">
        <w:t>of aromatic residues into two aromatic belts tends to break down at interfaces</w:t>
      </w:r>
      <w:r w:rsidR="00855FAA">
        <w:t xml:space="preserve"> </w:t>
      </w:r>
      <w:r w:rsidR="00855FAA">
        <w:fldChar w:fldCharType="begin"/>
      </w:r>
      <w:r w:rsidR="00855FAA">
        <w:instrText xml:space="preserve"> ADDIN ZOTERO_ITEM CSL_CITATION {"citationID":"13v2f4u7ps","properties":{"formattedCitation":"(Cowan et al., 1992)","plainCitation":"(Cowan et al., 1992)"},"citationItems":[{"id":60,"uris":["http://zotero.org/users/local/xPq7q79Q/items/H7RRGRAR"],"uri":["http://zotero.org/users/local/xPq7q79Q/items/H7RRGRAR"],"itemData":{"id":60,"type":"article-journal","title":"Crystal structures explain functional properties of two E. coli porins","container-title":"Nature","page":"727-733","volume":"358","issue":"6389","source":"NCBI PubMed","abstract":"Porins form aqueous channels that aid the diffusion of small hydrophilic molecules across the outer membrane of Gram-negative bacteria. The crystal structures of matrix porin and phosphoporin both reveal trimers of identical subunits, each subunit consisting of a 16-stranded anti-parallel beta-barrel containing a pore. A long loop inside the barrel contributes to a constriction of the channel where the charge distribution affects ion selectivity. The structures explain at the molecular level functional characteristics and their alterations by known mutations.","DOI":"10.1038/358727a0","ISSN":"0028-0836","note":"PMID: 1380671","journalAbbreviation":"Nature","author":[{"family":"Cowan","given":"S W"},{"family":"Schirmer","given":"T"},{"family":"Rummel","given":"G"},{"family":"Steiert","given":"M"},{"family":"Ghosh","given":"R"},{"family":"Pauptit","given":"R A"},{"family":"Jansonius","given":"J N"},{"family":"Rosenbusch","given":"J P"}],"issued":{"date-parts":[["1992",8,27]]}}}],"schema":"https://github.com/citation-style-language/schema/raw/master/csl-citation.json"} </w:instrText>
      </w:r>
      <w:r w:rsidR="00855FAA">
        <w:fldChar w:fldCharType="separate"/>
      </w:r>
      <w:r w:rsidR="00855FAA" w:rsidRPr="00855FAA">
        <w:rPr>
          <w:rFonts w:ascii="Calibri" w:hAnsi="Calibri"/>
        </w:rPr>
        <w:t>(Cowan et al., 1992)</w:t>
      </w:r>
      <w:r w:rsidR="00855FAA">
        <w:fldChar w:fldCharType="end"/>
      </w:r>
      <w:r w:rsidR="00AC31E5">
        <w:t>, suggesting that despite the shared hydrophobicity</w:t>
      </w:r>
      <w:r w:rsidR="009149E5">
        <w:t xml:space="preserve">, the </w:t>
      </w:r>
      <w:r w:rsidR="003C3DC2">
        <w:t>depth-dependence of the frequencies is not quite the s</w:t>
      </w:r>
      <w:r w:rsidR="00726C88">
        <w:t>ame.</w:t>
      </w:r>
    </w:p>
    <w:p w:rsidR="00726C88" w:rsidRPr="00B843B8" w:rsidRDefault="00726C88" w:rsidP="008A0B03">
      <w:r>
        <w:tab/>
      </w:r>
      <w:r w:rsidR="00B843B8">
        <w:t>It is possible, then, that there is a signal, but it is a weak signal, because</w:t>
      </w:r>
      <w:r w:rsidR="00A73E1A">
        <w:t xml:space="preserve"> of the hydrophobicity of the interface. However, </w:t>
      </w:r>
      <w:r w:rsidR="00D77043">
        <w:t xml:space="preserve">by looking for a trend among the homology </w:t>
      </w:r>
      <w:r w:rsidR="00EF1F9F">
        <w:t>models</w:t>
      </w:r>
      <w:r w:rsidR="008C5272">
        <w:t xml:space="preserve"> </w:t>
      </w:r>
      <w:r w:rsidR="005A60CE">
        <w:t xml:space="preserve">of an OMP family, </w:t>
      </w:r>
      <w:r w:rsidR="009E0B79">
        <w:t>it may be amplified.</w:t>
      </w:r>
    </w:p>
    <w:p w:rsidR="002E595B" w:rsidRPr="002E595B" w:rsidRDefault="002E595B" w:rsidP="002E595B">
      <w:pPr>
        <w:pStyle w:val="Heading3"/>
        <w:rPr>
          <w:rFonts w:eastAsiaTheme="minorEastAsia"/>
        </w:rPr>
      </w:pPr>
      <w:r>
        <w:rPr>
          <w:rFonts w:eastAsiaTheme="minorEastAsia"/>
        </w:rPr>
        <w:t>Interpretation of Knowledge-Based Potentials</w:t>
      </w:r>
    </w:p>
    <w:p w:rsidR="00C564B7" w:rsidRDefault="004A60FE" w:rsidP="00821A42">
      <w:pPr>
        <w:rPr>
          <w:rFonts w:eastAsiaTheme="minorEastAsia"/>
        </w:rPr>
      </w:pPr>
      <w:r>
        <w:rPr>
          <w:rFonts w:eastAsiaTheme="minorEastAsia"/>
        </w:rPr>
        <w:tab/>
      </w:r>
      <w:r w:rsidR="00FA2884">
        <w:rPr>
          <w:rFonts w:eastAsiaTheme="minorEastAsia"/>
        </w:rPr>
        <w:t xml:space="preserve">The justification </w:t>
      </w:r>
      <w:r w:rsidR="00AB05BE">
        <w:rPr>
          <w:rFonts w:eastAsiaTheme="minorEastAsia"/>
        </w:rPr>
        <w:t>for using the Boltzmann law to derive</w:t>
      </w:r>
      <w:r w:rsidR="00EE7922">
        <w:rPr>
          <w:rFonts w:eastAsiaTheme="minorEastAsia"/>
        </w:rPr>
        <w:t xml:space="preserve"> energies from frequencies</w:t>
      </w:r>
      <w:r w:rsidR="00505322">
        <w:rPr>
          <w:rFonts w:eastAsiaTheme="minorEastAsia"/>
        </w:rPr>
        <w:t xml:space="preserve"> </w:t>
      </w:r>
      <w:r w:rsidR="00E41600">
        <w:rPr>
          <w:rFonts w:eastAsiaTheme="minorEastAsia"/>
        </w:rPr>
        <w:t xml:space="preserve">is </w:t>
      </w:r>
      <w:r w:rsidR="00707520">
        <w:rPr>
          <w:rFonts w:eastAsiaTheme="minorEastAsia"/>
        </w:rPr>
        <w:t>difficult and technical</w:t>
      </w:r>
      <w:r w:rsidR="00E47592">
        <w:rPr>
          <w:rFonts w:eastAsiaTheme="minorEastAsia"/>
        </w:rPr>
        <w:t>, an</w:t>
      </w:r>
      <w:r w:rsidR="006065E7">
        <w:rPr>
          <w:rFonts w:eastAsiaTheme="minorEastAsia"/>
        </w:rPr>
        <w:t xml:space="preserve">d it may not, in fact, be justified in the case of an insertion potential </w:t>
      </w:r>
      <w:r w:rsidR="00280635">
        <w:rPr>
          <w:rFonts w:eastAsiaTheme="minorEastAsia"/>
        </w:rPr>
        <w:fldChar w:fldCharType="begin"/>
      </w:r>
      <w:r w:rsidR="00280635">
        <w:rPr>
          <w:rFonts w:eastAsiaTheme="minorEastAsia"/>
        </w:rPr>
        <w:instrText xml:space="preserve"> ADDIN ZOTERO_ITEM CSL_CITATION {"citationID":"10luvma9jo","properties":{"formattedCitation":"(Borg et al., 2012)","plainCitation":"(Borg et al., 2012)"},"citationItems":[{"id":18,"uris":["http://zotero.org/users/local/xPq7q79Q/items/PEP5Q7KU"],"uri":["http://zotero.org/users/local/xPq7q79Q/items/PEP5Q7KU"],"itemData":{"id":18,"type":"chapter","title":"On the Physical Relevance and Statistical Interpretation of Knowledge-Based Potentials","container-title":"Bayesian Methods in Structural Bioinformatics","collection-title":"Statistics for Biology and Health","publisher":"Springer Berlin Heidelberg","page":"97-124","source":"link.springer.com","abstract":"Knowledge based potentials (KBP) are energy functions that are obtained from databases of known protein structures, rather than by physical or chemical analysis. While KBPs have been successfully used in protein structure prediction, their physical interpretation remains unclear. Often KBPs are loosely justified as a type of inverse Boltzmann construction or by analogies to the construction of the potential of mean force (PMF) in statistical mechanics. The chapter provides an overview of various types of KBPs and discusses conceptual differences with the construction and use of PMFs in statistical mechanics, with particular emphasis on the key role played by the reference state. Although essential to the construction of both types of potentials, its precise definition has been elusive in the context of KBPs. We discuss the construction of the reference state of KBPs both in the traditional ‘energy’-oriented approach as well as in a probabilistic framework. In particular, we show by simple Bayesian reasoning that the reference state in fact is uniquely defined by the choice of statistics and mode of application. This view provides a statistical rigorous basis for various possible extensions and generalizations of KBPs.","URL":"http://link.springer.com/chapter/10.1007/978-3-642-27225-7_3","ISBN":"978-3-642-27224-0, 978-3-642-27225-7","language":"en","author":[{"family":"Borg","given":"Mikael"},{"family":"Hamelryck","given":"Thomas"},{"family":"Ferkinghoff-Borg","given":"Jesper"}],"editor":[{"family":"Hamelryck","given":"Thomas"},{"family":"Mardia","given":"Kanti"},{"family":"Ferkinghoff-Borg","given":"Jesper"}],"issued":{"date-parts":[[2012,1,1]]},"accessed":{"date-parts":[[2012,12,13]]}}}],"schema":"https://github.com/citation-style-language/schema/raw/master/csl-citation.json"} </w:instrText>
      </w:r>
      <w:r w:rsidR="00280635">
        <w:rPr>
          <w:rFonts w:eastAsiaTheme="minorEastAsia"/>
        </w:rPr>
        <w:fldChar w:fldCharType="separate"/>
      </w:r>
      <w:r w:rsidR="00280635" w:rsidRPr="00280635">
        <w:rPr>
          <w:rFonts w:ascii="Calibri" w:hAnsi="Calibri"/>
        </w:rPr>
        <w:t>(Borg et al., 2012)</w:t>
      </w:r>
      <w:r w:rsidR="00280635">
        <w:rPr>
          <w:rFonts w:eastAsiaTheme="minorEastAsia"/>
        </w:rPr>
        <w:fldChar w:fldCharType="end"/>
      </w:r>
      <w:r w:rsidR="00280635">
        <w:rPr>
          <w:rFonts w:eastAsiaTheme="minorEastAsia"/>
        </w:rPr>
        <w:t xml:space="preserve">. </w:t>
      </w:r>
      <w:r w:rsidR="00B41CF4">
        <w:rPr>
          <w:rFonts w:eastAsiaTheme="minorEastAsia"/>
        </w:rPr>
        <w:t>To a certain degree, it does not matter.</w:t>
      </w:r>
      <w:r w:rsidR="00251CDF">
        <w:rPr>
          <w:rFonts w:eastAsiaTheme="minorEastAsia"/>
        </w:rPr>
        <w:t xml:space="preserve"> Documenting </w:t>
      </w:r>
      <w:r w:rsidR="008000B0">
        <w:rPr>
          <w:rFonts w:eastAsiaTheme="minorEastAsia"/>
        </w:rPr>
        <w:t xml:space="preserve">the depth-dependence of frequencies </w:t>
      </w:r>
      <w:r w:rsidR="00607284">
        <w:rPr>
          <w:rFonts w:eastAsiaTheme="minorEastAsia"/>
        </w:rPr>
        <w:t xml:space="preserve">has its own interest, </w:t>
      </w:r>
      <w:r w:rsidR="008000B0">
        <w:rPr>
          <w:rFonts w:eastAsiaTheme="minorEastAsia"/>
        </w:rPr>
        <w:t xml:space="preserve">and </w:t>
      </w:r>
      <w:r w:rsidR="004703BF">
        <w:rPr>
          <w:rFonts w:eastAsiaTheme="minorEastAsia"/>
        </w:rPr>
        <w:t>t</w:t>
      </w:r>
      <w:r w:rsidR="00BE6347">
        <w:rPr>
          <w:rFonts w:eastAsiaTheme="minorEastAsia"/>
        </w:rPr>
        <w:t>his knowledge</w:t>
      </w:r>
      <w:r w:rsidR="00BF5CA0">
        <w:rPr>
          <w:rFonts w:eastAsiaTheme="minorEastAsia"/>
        </w:rPr>
        <w:t xml:space="preserve"> can guide design without being formalized </w:t>
      </w:r>
      <w:r w:rsidR="00062429">
        <w:rPr>
          <w:rFonts w:eastAsiaTheme="minorEastAsia"/>
        </w:rPr>
        <w:t>as a scoring function.</w:t>
      </w:r>
      <w:r w:rsidR="00821A42">
        <w:rPr>
          <w:rFonts w:eastAsiaTheme="minorEastAsia"/>
        </w:rPr>
        <w:t xml:space="preserve"> And </w:t>
      </w:r>
      <w:r w:rsidR="008E217B">
        <w:rPr>
          <w:rFonts w:eastAsiaTheme="minorEastAsia"/>
        </w:rPr>
        <w:t xml:space="preserve">it seems that most jobs which an energy can do, </w:t>
      </w:r>
      <w:r w:rsidR="00845743">
        <w:rPr>
          <w:rFonts w:eastAsiaTheme="minorEastAsia"/>
        </w:rPr>
        <w:t>a heuristic scoring function that is loosely related to an energy can do as well.</w:t>
      </w:r>
    </w:p>
    <w:p w:rsidR="00FA1DFD" w:rsidRPr="00284D31" w:rsidRDefault="00FA1DFD" w:rsidP="00821A42">
      <w:pPr>
        <w:rPr>
          <w:rFonts w:eastAsiaTheme="minorEastAsia"/>
        </w:rPr>
      </w:pPr>
      <w:r>
        <w:rPr>
          <w:rFonts w:eastAsiaTheme="minorEastAsia"/>
        </w:rPr>
        <w:tab/>
        <w:t>One reason</w:t>
      </w:r>
      <w:r w:rsidR="001C18BE">
        <w:rPr>
          <w:rFonts w:eastAsiaTheme="minorEastAsia"/>
        </w:rPr>
        <w:t xml:space="preserve"> </w:t>
      </w:r>
      <w:r w:rsidR="00E76BF9">
        <w:rPr>
          <w:rFonts w:eastAsiaTheme="minorEastAsia"/>
        </w:rPr>
        <w:t xml:space="preserve">to look for a physical </w:t>
      </w:r>
      <w:r w:rsidR="00FF7FCB">
        <w:rPr>
          <w:rFonts w:eastAsiaTheme="minorEastAsia"/>
        </w:rPr>
        <w:t>interpreta</w:t>
      </w:r>
      <w:r w:rsidR="00E76BF9">
        <w:rPr>
          <w:rFonts w:eastAsiaTheme="minorEastAsia"/>
        </w:rPr>
        <w:t xml:space="preserve">tion, as an energy or otherwise, is to facilitate comparison and combination </w:t>
      </w:r>
      <w:r w:rsidR="00F44058">
        <w:rPr>
          <w:rFonts w:eastAsiaTheme="minorEastAsia"/>
        </w:rPr>
        <w:t xml:space="preserve">with other physical scales. </w:t>
      </w:r>
      <w:r w:rsidR="00A501B7">
        <w:rPr>
          <w:rFonts w:eastAsiaTheme="minorEastAsia"/>
        </w:rPr>
        <w:t xml:space="preserve">It would be helpful to have physical scales </w:t>
      </w:r>
      <w:r w:rsidR="00284D31">
        <w:rPr>
          <w:rFonts w:eastAsiaTheme="minorEastAsia"/>
        </w:rPr>
        <w:t>that we know should correlate well with E</w:t>
      </w:r>
      <w:r w:rsidR="00284D31">
        <w:rPr>
          <w:rFonts w:eastAsiaTheme="minorEastAsia"/>
          <w:vertAlign w:val="subscript"/>
        </w:rPr>
        <w:t>z</w:t>
      </w:r>
      <w:r w:rsidR="00284D31">
        <w:rPr>
          <w:rFonts w:eastAsiaTheme="minorEastAsia"/>
        </w:rPr>
        <w:t xml:space="preserve">β, </w:t>
      </w:r>
      <w:r w:rsidR="001412B5">
        <w:rPr>
          <w:rFonts w:eastAsiaTheme="minorEastAsia"/>
        </w:rPr>
        <w:t>and to know what it makes sense to sum it with.</w:t>
      </w:r>
    </w:p>
    <w:p w:rsidR="0025633E" w:rsidRPr="00D35FD7" w:rsidRDefault="001412B5" w:rsidP="001412B5">
      <w:pPr>
        <w:ind w:firstLine="720"/>
        <w:rPr>
          <w:rFonts w:eastAsiaTheme="minorEastAsia"/>
        </w:rPr>
      </w:pPr>
      <w:r>
        <w:rPr>
          <w:rFonts w:eastAsiaTheme="minorEastAsia"/>
        </w:rPr>
        <w:t>Another reason to look for an energetic interpretation is ease of use</w:t>
      </w:r>
      <w:r w:rsidR="00E3071D">
        <w:rPr>
          <w:rFonts w:eastAsiaTheme="minorEastAsia"/>
        </w:rPr>
        <w:t>.</w:t>
      </w:r>
      <w:r w:rsidR="00341242">
        <w:rPr>
          <w:rFonts w:eastAsiaTheme="minorEastAsia"/>
        </w:rPr>
        <w:t xml:space="preserve"> </w:t>
      </w:r>
      <w:r w:rsidR="00910539">
        <w:rPr>
          <w:rFonts w:eastAsiaTheme="minorEastAsia"/>
        </w:rPr>
        <w:t xml:space="preserve">Humans are analogical reasoners, not calculators; and it is </w:t>
      </w:r>
      <w:r w:rsidR="00403E37">
        <w:rPr>
          <w:rFonts w:eastAsiaTheme="minorEastAsia"/>
        </w:rPr>
        <w:t>hard to use math that we cannot relate to something familiar.</w:t>
      </w:r>
      <w:r w:rsidR="00AC321E">
        <w:rPr>
          <w:rFonts w:eastAsiaTheme="minorEastAsia"/>
        </w:rPr>
        <w:t xml:space="preserve"> </w:t>
      </w:r>
      <w:r w:rsidR="00E3071D">
        <w:rPr>
          <w:rFonts w:eastAsiaTheme="minorEastAsia"/>
        </w:rPr>
        <w:t>Without a good analogy</w:t>
      </w:r>
      <w:r w:rsidR="00DF3549">
        <w:rPr>
          <w:rFonts w:eastAsiaTheme="minorEastAsia"/>
        </w:rPr>
        <w:t>, I make mistakes</w:t>
      </w:r>
      <w:r w:rsidR="0034654A">
        <w:rPr>
          <w:rFonts w:eastAsiaTheme="minorEastAsia"/>
        </w:rPr>
        <w:t>.</w:t>
      </w:r>
      <w:r w:rsidR="00B0289E">
        <w:rPr>
          <w:rFonts w:eastAsiaTheme="minorEastAsia"/>
        </w:rPr>
        <w:t xml:space="preserve"> For example, I </w:t>
      </w:r>
      <w:r w:rsidR="00144345">
        <w:rPr>
          <w:rFonts w:eastAsiaTheme="minorEastAsia"/>
        </w:rPr>
        <w:t>used to mistakenly think of E</w:t>
      </w:r>
      <w:r w:rsidR="00144345">
        <w:rPr>
          <w:rFonts w:eastAsiaTheme="minorEastAsia"/>
          <w:vertAlign w:val="subscript"/>
        </w:rPr>
        <w:t>z</w:t>
      </w:r>
      <w:r w:rsidR="00144345">
        <w:rPr>
          <w:rFonts w:eastAsiaTheme="minorEastAsia"/>
        </w:rPr>
        <w:t xml:space="preserve">β as an energy of interaction with solvent, rather than a </w:t>
      </w:r>
      <w:r w:rsidR="00D05B1F">
        <w:rPr>
          <w:rFonts w:eastAsiaTheme="minorEastAsia"/>
        </w:rPr>
        <w:t xml:space="preserve">change in interaction energy </w:t>
      </w:r>
      <w:r w:rsidR="00FB6F32">
        <w:rPr>
          <w:rFonts w:eastAsiaTheme="minorEastAsia"/>
        </w:rPr>
        <w:t xml:space="preserve">after transfer from water. </w:t>
      </w:r>
      <w:r w:rsidR="00C42878">
        <w:rPr>
          <w:rFonts w:eastAsiaTheme="minorEastAsia"/>
        </w:rPr>
        <w:t>Because of this</w:t>
      </w:r>
      <w:r w:rsidR="005F29F0">
        <w:rPr>
          <w:rFonts w:eastAsiaTheme="minorEastAsia"/>
        </w:rPr>
        <w:t>, I thought that the E</w:t>
      </w:r>
      <w:r w:rsidR="005F29F0">
        <w:rPr>
          <w:rFonts w:eastAsiaTheme="minorEastAsia"/>
          <w:vertAlign w:val="subscript"/>
        </w:rPr>
        <w:t>z</w:t>
      </w:r>
      <w:r w:rsidR="005F29F0">
        <w:rPr>
          <w:rFonts w:eastAsiaTheme="minorEastAsia"/>
        </w:rPr>
        <w:t xml:space="preserve">β moment would be sensitive to the </w:t>
      </w:r>
      <w:r w:rsidR="001A38D9">
        <w:rPr>
          <w:rFonts w:eastAsiaTheme="minorEastAsia"/>
        </w:rPr>
        <w:t xml:space="preserve">hydrophobic residues </w:t>
      </w:r>
      <w:r w:rsidR="00B44277">
        <w:rPr>
          <w:rFonts w:eastAsiaTheme="minorEastAsia"/>
        </w:rPr>
        <w:t>found at the top and bottom of the ScrY</w:t>
      </w:r>
      <w:r w:rsidR="0028248D">
        <w:rPr>
          <w:rFonts w:eastAsiaTheme="minorEastAsia"/>
        </w:rPr>
        <w:t xml:space="preserve"> interface, when in fact </w:t>
      </w:r>
      <w:r w:rsidR="00797386">
        <w:rPr>
          <w:rFonts w:eastAsiaTheme="minorEastAsia"/>
        </w:rPr>
        <w:t>their E</w:t>
      </w:r>
      <w:r w:rsidR="00797386">
        <w:rPr>
          <w:rFonts w:eastAsiaTheme="minorEastAsia"/>
          <w:vertAlign w:val="subscript"/>
        </w:rPr>
        <w:t>z</w:t>
      </w:r>
      <w:r w:rsidR="00797386">
        <w:rPr>
          <w:rFonts w:eastAsiaTheme="minorEastAsia"/>
        </w:rPr>
        <w:t xml:space="preserve">β is little different than </w:t>
      </w:r>
      <w:r w:rsidR="008A3C3F">
        <w:rPr>
          <w:rFonts w:eastAsiaTheme="minorEastAsia"/>
        </w:rPr>
        <w:t xml:space="preserve">it would be </w:t>
      </w:r>
      <w:r w:rsidR="00797386">
        <w:rPr>
          <w:rFonts w:eastAsiaTheme="minorEastAsia"/>
        </w:rPr>
        <w:t xml:space="preserve">if they were </w:t>
      </w:r>
      <w:r w:rsidR="008A3C3F">
        <w:rPr>
          <w:rFonts w:eastAsiaTheme="minorEastAsia"/>
        </w:rPr>
        <w:t>a</w:t>
      </w:r>
      <w:r w:rsidR="00325B84">
        <w:rPr>
          <w:rFonts w:eastAsiaTheme="minorEastAsia"/>
        </w:rPr>
        <w:t>ll aspartates.</w:t>
      </w:r>
    </w:p>
    <w:p w:rsidR="00D64123" w:rsidRDefault="001B4809" w:rsidP="00F74D7F">
      <w:pPr>
        <w:rPr>
          <w:rFonts w:eastAsiaTheme="minorEastAsia"/>
        </w:rPr>
      </w:pPr>
      <w:r>
        <w:rPr>
          <w:rFonts w:eastAsiaTheme="minorEastAsia"/>
        </w:rPr>
        <w:tab/>
        <w:t xml:space="preserve">We could be making </w:t>
      </w:r>
      <w:r w:rsidR="007A088B">
        <w:rPr>
          <w:rFonts w:eastAsiaTheme="minorEastAsia"/>
        </w:rPr>
        <w:t>such errors of interpretation in our application of E</w:t>
      </w:r>
      <w:r w:rsidR="007A088B">
        <w:rPr>
          <w:rFonts w:eastAsiaTheme="minorEastAsia"/>
          <w:vertAlign w:val="subscript"/>
        </w:rPr>
        <w:t>z</w:t>
      </w:r>
      <w:r w:rsidR="007A088B">
        <w:rPr>
          <w:rFonts w:eastAsiaTheme="minorEastAsia"/>
        </w:rPr>
        <w:t>β</w:t>
      </w:r>
      <w:r w:rsidR="007A02BF">
        <w:rPr>
          <w:rFonts w:eastAsiaTheme="minorEastAsia"/>
        </w:rPr>
        <w:t xml:space="preserve">. In fact, I think </w:t>
      </w:r>
      <w:r w:rsidR="00B74DDA">
        <w:rPr>
          <w:rFonts w:eastAsiaTheme="minorEastAsia"/>
        </w:rPr>
        <w:t>I have a plausible candidate</w:t>
      </w:r>
      <w:r w:rsidR="008C72D9">
        <w:rPr>
          <w:rFonts w:eastAsiaTheme="minorEastAsia"/>
        </w:rPr>
        <w:t xml:space="preserve"> for such an error</w:t>
      </w:r>
      <w:r w:rsidR="00B74DDA">
        <w:rPr>
          <w:rFonts w:eastAsiaTheme="minorEastAsia"/>
        </w:rPr>
        <w:t xml:space="preserve">. </w:t>
      </w:r>
      <w:r w:rsidR="009231DD">
        <w:rPr>
          <w:rFonts w:eastAsiaTheme="minorEastAsia"/>
        </w:rPr>
        <w:t>Jim used E</w:t>
      </w:r>
      <w:r w:rsidR="009231DD">
        <w:rPr>
          <w:rFonts w:eastAsiaTheme="minorEastAsia"/>
          <w:vertAlign w:val="subscript"/>
        </w:rPr>
        <w:t>z</w:t>
      </w:r>
      <w:r w:rsidR="009231DD">
        <w:rPr>
          <w:rFonts w:eastAsiaTheme="minorEastAsia"/>
        </w:rPr>
        <w:t xml:space="preserve">β to </w:t>
      </w:r>
      <w:r w:rsidR="002D6CF6">
        <w:rPr>
          <w:rFonts w:eastAsiaTheme="minorEastAsia"/>
        </w:rPr>
        <w:t xml:space="preserve">calculate changes in energy as a protein moves </w:t>
      </w:r>
      <w:r w:rsidR="002D6CF6">
        <w:rPr>
          <w:rFonts w:eastAsiaTheme="minorEastAsia"/>
        </w:rPr>
        <w:lastRenderedPageBreak/>
        <w:t>up and down in a membrane</w:t>
      </w:r>
      <w:r w:rsidR="00A237C7">
        <w:rPr>
          <w:rFonts w:eastAsiaTheme="minorEastAsia"/>
        </w:rPr>
        <w:t>, and designed a surface</w:t>
      </w:r>
      <w:r w:rsidR="00543F2E">
        <w:rPr>
          <w:rFonts w:eastAsiaTheme="minorEastAsia"/>
        </w:rPr>
        <w:t xml:space="preserve"> so that these changes would be steep.</w:t>
      </w:r>
      <w:r w:rsidR="00175DC2">
        <w:rPr>
          <w:rFonts w:eastAsiaTheme="minorEastAsia"/>
        </w:rPr>
        <w:t xml:space="preserve"> However, it is questionable whether we should expect E</w:t>
      </w:r>
      <w:r w:rsidR="00175DC2">
        <w:rPr>
          <w:rFonts w:eastAsiaTheme="minorEastAsia"/>
          <w:vertAlign w:val="subscript"/>
        </w:rPr>
        <w:t>z</w:t>
      </w:r>
      <w:r w:rsidR="00175DC2">
        <w:rPr>
          <w:rFonts w:eastAsiaTheme="minorEastAsia"/>
        </w:rPr>
        <w:t xml:space="preserve">β to work </w:t>
      </w:r>
      <w:r w:rsidR="005F2B08">
        <w:rPr>
          <w:rFonts w:eastAsiaTheme="minorEastAsia"/>
        </w:rPr>
        <w:t xml:space="preserve">at depths and orientations other than the natural one. Depth-dependent trends are a result of the chemical environment, which </w:t>
      </w:r>
      <w:r w:rsidR="00D41759">
        <w:rPr>
          <w:rFonts w:eastAsiaTheme="minorEastAsia"/>
        </w:rPr>
        <w:t xml:space="preserve">consists of </w:t>
      </w:r>
      <w:r w:rsidR="00A92FDD">
        <w:rPr>
          <w:rFonts w:eastAsiaTheme="minorEastAsia"/>
        </w:rPr>
        <w:t>both membrane a</w:t>
      </w:r>
      <w:r w:rsidR="00C449D7">
        <w:rPr>
          <w:rFonts w:eastAsiaTheme="minorEastAsia"/>
        </w:rPr>
        <w:t>nd neighboring residues on the surface of a protein.</w:t>
      </w:r>
      <w:r w:rsidR="00770973">
        <w:rPr>
          <w:rFonts w:eastAsiaTheme="minorEastAsia"/>
        </w:rPr>
        <w:t xml:space="preserve"> As a</w:t>
      </w:r>
      <w:r w:rsidR="001C4A33">
        <w:rPr>
          <w:rFonts w:eastAsiaTheme="minorEastAsia"/>
        </w:rPr>
        <w:t xml:space="preserve">n amino acid moves upward </w:t>
      </w:r>
      <w:r w:rsidR="00A92FDD">
        <w:rPr>
          <w:rFonts w:eastAsiaTheme="minorEastAsia"/>
        </w:rPr>
        <w:t>in a membrane, its</w:t>
      </w:r>
      <w:r w:rsidR="003911B3">
        <w:rPr>
          <w:rFonts w:eastAsiaTheme="minorEastAsia"/>
        </w:rPr>
        <w:t xml:space="preserve"> membrane environment changes, but it keeps the same neighbors.</w:t>
      </w:r>
    </w:p>
    <w:p w:rsidR="00FC68E4" w:rsidRDefault="003E1E29" w:rsidP="00D64123">
      <w:pPr>
        <w:ind w:firstLine="720"/>
        <w:rPr>
          <w:rFonts w:eastAsiaTheme="minorEastAsia"/>
        </w:rPr>
      </w:pPr>
      <w:r>
        <w:rPr>
          <w:rFonts w:eastAsiaTheme="minorEastAsia"/>
        </w:rPr>
        <w:t xml:space="preserve">As a concrete </w:t>
      </w:r>
      <w:r w:rsidR="000245E6">
        <w:rPr>
          <w:rFonts w:eastAsiaTheme="minorEastAsia"/>
        </w:rPr>
        <w:t>example, though it is purely hypothetical</w:t>
      </w:r>
      <w:r w:rsidR="00D41BE5">
        <w:rPr>
          <w:rFonts w:eastAsiaTheme="minorEastAsia"/>
        </w:rPr>
        <w:t>, it may be the case that while tyrosine is enriched in the aromatic belt</w:t>
      </w:r>
      <w:r w:rsidR="004E184A">
        <w:rPr>
          <w:rFonts w:eastAsiaTheme="minorEastAsia"/>
        </w:rPr>
        <w:t xml:space="preserve"> due </w:t>
      </w:r>
      <w:r w:rsidR="009C4D24">
        <w:rPr>
          <w:rFonts w:eastAsiaTheme="minorEastAsia"/>
        </w:rPr>
        <w:t>its interaction with the membrane</w:t>
      </w:r>
      <w:r w:rsidR="004E184A">
        <w:rPr>
          <w:rFonts w:eastAsiaTheme="minorEastAsia"/>
        </w:rPr>
        <w:t xml:space="preserve">, </w:t>
      </w:r>
      <w:r w:rsidR="009F2C76">
        <w:rPr>
          <w:rFonts w:eastAsiaTheme="minorEastAsia"/>
        </w:rPr>
        <w:t>phenylalanine only appears</w:t>
      </w:r>
      <w:r w:rsidR="0039488D">
        <w:rPr>
          <w:rFonts w:eastAsiaTheme="minorEastAsia"/>
        </w:rPr>
        <w:t xml:space="preserve"> to be</w:t>
      </w:r>
      <w:r w:rsidR="009F2C76">
        <w:rPr>
          <w:rFonts w:eastAsiaTheme="minorEastAsia"/>
        </w:rPr>
        <w:t xml:space="preserve"> </w:t>
      </w:r>
      <w:r w:rsidR="00686059">
        <w:rPr>
          <w:rFonts w:eastAsiaTheme="minorEastAsia"/>
        </w:rPr>
        <w:t>enriched in the aromatic belt because it is suppressed</w:t>
      </w:r>
      <w:r w:rsidR="00CB32A4">
        <w:rPr>
          <w:rFonts w:eastAsiaTheme="minorEastAsia"/>
        </w:rPr>
        <w:t xml:space="preserve"> in the hydrophobic </w:t>
      </w:r>
      <w:r w:rsidR="00176CA6">
        <w:rPr>
          <w:rFonts w:eastAsiaTheme="minorEastAsia"/>
        </w:rPr>
        <w:t>core due to</w:t>
      </w:r>
      <w:r w:rsidR="009B7D27">
        <w:rPr>
          <w:rFonts w:eastAsiaTheme="minorEastAsia"/>
        </w:rPr>
        <w:t xml:space="preserve"> the strong FV antimotif </w:t>
      </w:r>
      <w:r w:rsidR="00BD4EF9">
        <w:rPr>
          <w:rFonts w:eastAsiaTheme="minorEastAsia"/>
        </w:rPr>
        <w:fldChar w:fldCharType="begin"/>
      </w:r>
      <w:r w:rsidR="00BD4EF9">
        <w:rPr>
          <w:rFonts w:eastAsiaTheme="minorEastAsia"/>
        </w:rPr>
        <w:instrText xml:space="preserve"> ADDIN ZOTERO_ITEM CSL_CITATION {"citationID":"1mc7fu7vck","properties":{"formattedCitation":"(Jackups and Liang, 2005)","plainCitation":"(Jackups and Liang, 2005)"},"citationItems":[{"id":21,"uris":["http://zotero.org/users/local/xPq7q79Q/items/8X8H5R95"],"uri":["http://zotero.org/users/local/xPq7q79Q/items/8X8H5R95"],"itemData":{"id":21,"type":"article-journal","title":"Interstrand Pairing Patterns in β-Barrel Membrane Proteins: The Positive-outside Rule, Aromatic Rescue, and Strand Registration Prediction","container-title":"Journal of Molecular Biology","page":"979-993","volume":"354","issue":"4","source":"CrossRef","DOI":"10.1016/j.jmb.2005.09.094","ISSN":"00222836","shortTitle":"Interstrand Pairing Patterns in β-Barrel Membrane Proteins","author":[{"family":"Jackups","given":"Ronald"},{"family":"Liang","given":"Jie"}],"issued":{"date-parts":[[2005,12]]},"accessed":{"date-parts":[[2012,12,13]]}}}],"schema":"https://github.com/citation-style-language/schema/raw/master/csl-citation.json"} </w:instrText>
      </w:r>
      <w:r w:rsidR="00BD4EF9">
        <w:rPr>
          <w:rFonts w:eastAsiaTheme="minorEastAsia"/>
        </w:rPr>
        <w:fldChar w:fldCharType="separate"/>
      </w:r>
      <w:r w:rsidR="00BD4EF9" w:rsidRPr="00BD4EF9">
        <w:rPr>
          <w:rFonts w:ascii="Calibri" w:hAnsi="Calibri"/>
        </w:rPr>
        <w:t>(Jackups and Liang, 2005)</w:t>
      </w:r>
      <w:r w:rsidR="00BD4EF9">
        <w:rPr>
          <w:rFonts w:eastAsiaTheme="minorEastAsia"/>
        </w:rPr>
        <w:fldChar w:fldCharType="end"/>
      </w:r>
      <w:r w:rsidR="00D526D3">
        <w:rPr>
          <w:rFonts w:eastAsiaTheme="minorEastAsia"/>
        </w:rPr>
        <w:t xml:space="preserve">. </w:t>
      </w:r>
      <w:r w:rsidR="000A6284">
        <w:rPr>
          <w:rFonts w:eastAsiaTheme="minorEastAsia"/>
        </w:rPr>
        <w:t>Then, if the protein were</w:t>
      </w:r>
      <w:r w:rsidR="000A1BC6">
        <w:rPr>
          <w:rFonts w:eastAsiaTheme="minorEastAsia"/>
        </w:rPr>
        <w:t xml:space="preserve"> moved</w:t>
      </w:r>
      <w:r w:rsidR="000A6284">
        <w:rPr>
          <w:rFonts w:eastAsiaTheme="minorEastAsia"/>
        </w:rPr>
        <w:t xml:space="preserve"> so that the aromatic belt were in the center of the membrane, </w:t>
      </w:r>
      <w:r w:rsidR="003B0FF5">
        <w:rPr>
          <w:rFonts w:eastAsiaTheme="minorEastAsia"/>
        </w:rPr>
        <w:t>the energy of the tyrosines would go up</w:t>
      </w:r>
      <w:r w:rsidR="00AA5809">
        <w:rPr>
          <w:rFonts w:eastAsiaTheme="minorEastAsia"/>
        </w:rPr>
        <w:t xml:space="preserve">, because they left their lowest energy spot in the membrane; but the energy of the phenylalanines would go down, </w:t>
      </w:r>
      <w:r w:rsidR="00452A1B">
        <w:rPr>
          <w:rFonts w:eastAsiaTheme="minorEastAsia"/>
        </w:rPr>
        <w:t xml:space="preserve">because they </w:t>
      </w:r>
      <w:r w:rsidR="00037651">
        <w:rPr>
          <w:rFonts w:eastAsiaTheme="minorEastAsia"/>
        </w:rPr>
        <w:t>have managed to move to a h</w:t>
      </w:r>
      <w:r w:rsidR="0047788C">
        <w:rPr>
          <w:rFonts w:eastAsiaTheme="minorEastAsia"/>
        </w:rPr>
        <w:t xml:space="preserve">ydrophobic environment without </w:t>
      </w:r>
      <w:r w:rsidR="00F10916">
        <w:rPr>
          <w:rFonts w:eastAsiaTheme="minorEastAsia"/>
        </w:rPr>
        <w:t>coming into contact with any valines</w:t>
      </w:r>
      <w:r w:rsidR="00737060">
        <w:rPr>
          <w:rFonts w:eastAsiaTheme="minorEastAsia"/>
        </w:rPr>
        <w:t>.</w:t>
      </w:r>
    </w:p>
    <w:p w:rsidR="001B07DA" w:rsidRDefault="00241A18" w:rsidP="00D64123">
      <w:pPr>
        <w:ind w:firstLine="720"/>
        <w:rPr>
          <w:rFonts w:eastAsiaTheme="minorEastAsia"/>
        </w:rPr>
      </w:pPr>
      <w:r>
        <w:rPr>
          <w:rFonts w:eastAsiaTheme="minorEastAsia"/>
        </w:rPr>
        <w:t xml:space="preserve">The protein environment moves with the </w:t>
      </w:r>
      <w:r w:rsidR="007768D7">
        <w:rPr>
          <w:rFonts w:eastAsiaTheme="minorEastAsia"/>
        </w:rPr>
        <w:t xml:space="preserve">protein; </w:t>
      </w:r>
      <w:r w:rsidR="002A185A">
        <w:rPr>
          <w:rFonts w:eastAsiaTheme="minorEastAsia"/>
        </w:rPr>
        <w:t xml:space="preserve">the </w:t>
      </w:r>
      <w:r w:rsidR="00DF7266">
        <w:rPr>
          <w:rFonts w:eastAsiaTheme="minorEastAsia"/>
        </w:rPr>
        <w:t>lipid environment does not; the two are inseparable in E</w:t>
      </w:r>
      <w:r w:rsidR="00DF7266">
        <w:rPr>
          <w:rFonts w:eastAsiaTheme="minorEastAsia"/>
          <w:vertAlign w:val="subscript"/>
        </w:rPr>
        <w:t>z</w:t>
      </w:r>
      <w:r w:rsidR="00DF7266">
        <w:rPr>
          <w:rFonts w:eastAsiaTheme="minorEastAsia"/>
        </w:rPr>
        <w:t xml:space="preserve">β, and therefore </w:t>
      </w:r>
      <w:r w:rsidR="00087EB5">
        <w:rPr>
          <w:rFonts w:eastAsiaTheme="minorEastAsia"/>
        </w:rPr>
        <w:t xml:space="preserve">the potential </w:t>
      </w:r>
      <w:r w:rsidR="00DF7266">
        <w:rPr>
          <w:rFonts w:eastAsiaTheme="minorEastAsia"/>
        </w:rPr>
        <w:t xml:space="preserve">is actually far less trustworthy when used to model proteins that </w:t>
      </w:r>
      <w:r w:rsidR="00F92DF9">
        <w:rPr>
          <w:rFonts w:eastAsiaTheme="minorEastAsia"/>
        </w:rPr>
        <w:t xml:space="preserve">are not in their natural orientations. </w:t>
      </w:r>
      <w:r w:rsidR="006D4C7B">
        <w:rPr>
          <w:rFonts w:eastAsiaTheme="minorEastAsia"/>
        </w:rPr>
        <w:t>However, this is obscured by our interpretation of it as a transfer energy.</w:t>
      </w:r>
    </w:p>
    <w:p w:rsidR="004C288A" w:rsidRDefault="004C288A" w:rsidP="00F74D7F">
      <w:pPr>
        <w:rPr>
          <w:rFonts w:eastAsiaTheme="minorEastAsia"/>
        </w:rPr>
      </w:pPr>
      <w:r>
        <w:rPr>
          <w:rFonts w:eastAsiaTheme="minorEastAsia"/>
        </w:rPr>
        <w:tab/>
        <w:t>So</w:t>
      </w:r>
      <w:r w:rsidR="007A2BC3">
        <w:rPr>
          <w:rFonts w:eastAsiaTheme="minorEastAsia"/>
        </w:rPr>
        <w:t xml:space="preserve"> aside from easy comparison with other </w:t>
      </w:r>
      <w:r w:rsidR="00DE2B2D">
        <w:rPr>
          <w:rFonts w:eastAsiaTheme="minorEastAsia"/>
        </w:rPr>
        <w:t xml:space="preserve">physical </w:t>
      </w:r>
      <w:r w:rsidR="00A87207">
        <w:rPr>
          <w:rFonts w:eastAsiaTheme="minorEastAsia"/>
        </w:rPr>
        <w:t>quantities</w:t>
      </w:r>
      <w:r w:rsidR="007A2BC3">
        <w:rPr>
          <w:rFonts w:eastAsiaTheme="minorEastAsia"/>
        </w:rPr>
        <w:t xml:space="preserve">, </w:t>
      </w:r>
      <w:r w:rsidR="00FC68E4">
        <w:rPr>
          <w:rFonts w:eastAsiaTheme="minorEastAsia"/>
        </w:rPr>
        <w:t>I cannot think of</w:t>
      </w:r>
      <w:r w:rsidR="00924969">
        <w:rPr>
          <w:rFonts w:eastAsiaTheme="minorEastAsia"/>
        </w:rPr>
        <w:t xml:space="preserve"> a</w:t>
      </w:r>
      <w:r w:rsidR="00B66E7E">
        <w:rPr>
          <w:rFonts w:eastAsiaTheme="minorEastAsia"/>
        </w:rPr>
        <w:t>nything that can be done with a well justified</w:t>
      </w:r>
      <w:r w:rsidR="00924969">
        <w:rPr>
          <w:rFonts w:eastAsiaTheme="minorEastAsia"/>
        </w:rPr>
        <w:t xml:space="preserve"> </w:t>
      </w:r>
      <w:r w:rsidR="00530478">
        <w:rPr>
          <w:rFonts w:eastAsiaTheme="minorEastAsia"/>
        </w:rPr>
        <w:t xml:space="preserve">thought out </w:t>
      </w:r>
      <w:r w:rsidR="00BF3FDD">
        <w:rPr>
          <w:rFonts w:eastAsiaTheme="minorEastAsia"/>
        </w:rPr>
        <w:t xml:space="preserve">and physically meaningful knowledge-based potential </w:t>
      </w:r>
      <w:r w:rsidR="00CF1F46">
        <w:rPr>
          <w:rFonts w:eastAsiaTheme="minorEastAsia"/>
        </w:rPr>
        <w:t xml:space="preserve">that cannot be done </w:t>
      </w:r>
      <w:r w:rsidR="0037182F">
        <w:rPr>
          <w:rFonts w:eastAsiaTheme="minorEastAsia"/>
        </w:rPr>
        <w:t>with a h</w:t>
      </w:r>
      <w:r w:rsidR="00E24014">
        <w:rPr>
          <w:rFonts w:eastAsiaTheme="minorEastAsia"/>
        </w:rPr>
        <w:t>eu</w:t>
      </w:r>
      <w:r w:rsidR="0037182F">
        <w:rPr>
          <w:rFonts w:eastAsiaTheme="minorEastAsia"/>
        </w:rPr>
        <w:t>ristic scoring rule</w:t>
      </w:r>
      <w:r w:rsidR="00B363CD">
        <w:rPr>
          <w:rFonts w:eastAsiaTheme="minorEastAsia"/>
        </w:rPr>
        <w:t xml:space="preserve">. </w:t>
      </w:r>
      <w:r w:rsidR="00210625">
        <w:rPr>
          <w:rFonts w:eastAsiaTheme="minorEastAsia"/>
        </w:rPr>
        <w:t xml:space="preserve">But I do expect a well justified </w:t>
      </w:r>
      <w:r w:rsidR="00E7743C">
        <w:rPr>
          <w:rFonts w:eastAsiaTheme="minorEastAsia"/>
        </w:rPr>
        <w:t>and physically meaningful potential</w:t>
      </w:r>
      <w:r w:rsidR="001209EC">
        <w:rPr>
          <w:rFonts w:eastAsiaTheme="minorEastAsia"/>
        </w:rPr>
        <w:t xml:space="preserve"> </w:t>
      </w:r>
      <w:r w:rsidR="00210625">
        <w:rPr>
          <w:rFonts w:eastAsiaTheme="minorEastAsia"/>
        </w:rPr>
        <w:t>to be easier to use appropriately.</w:t>
      </w:r>
      <w:r w:rsidR="007651BE">
        <w:rPr>
          <w:rFonts w:eastAsiaTheme="minorEastAsia"/>
        </w:rPr>
        <w:t xml:space="preserve"> It would be a tool</w:t>
      </w:r>
      <w:r w:rsidR="0064379B">
        <w:rPr>
          <w:rFonts w:eastAsiaTheme="minorEastAsia"/>
        </w:rPr>
        <w:t xml:space="preserve"> superior not in its </w:t>
      </w:r>
      <w:r w:rsidR="008B5070">
        <w:rPr>
          <w:rFonts w:eastAsiaTheme="minorEastAsia"/>
        </w:rPr>
        <w:t>cutting edge but in its handle.</w:t>
      </w:r>
    </w:p>
    <w:p w:rsidR="007778D5" w:rsidRPr="006071A4" w:rsidRDefault="007778D5" w:rsidP="00F74D7F">
      <w:pPr>
        <w:rPr>
          <w:rFonts w:eastAsiaTheme="minorEastAsia"/>
        </w:rPr>
      </w:pPr>
      <w:r>
        <w:rPr>
          <w:rFonts w:eastAsiaTheme="minorEastAsia"/>
        </w:rPr>
        <w:tab/>
        <w:t xml:space="preserve">For these practical reasons, </w:t>
      </w:r>
      <w:r w:rsidR="00EA287E">
        <w:rPr>
          <w:rFonts w:eastAsiaTheme="minorEastAsia"/>
        </w:rPr>
        <w:t xml:space="preserve">but mostly </w:t>
      </w:r>
      <w:r w:rsidR="00FE098B">
        <w:rPr>
          <w:rFonts w:eastAsiaTheme="minorEastAsia"/>
        </w:rPr>
        <w:t xml:space="preserve">out of </w:t>
      </w:r>
      <w:r w:rsidR="00212E5C">
        <w:rPr>
          <w:rFonts w:eastAsiaTheme="minorEastAsia"/>
        </w:rPr>
        <w:t>curiosity</w:t>
      </w:r>
      <w:r w:rsidR="00354D8C">
        <w:rPr>
          <w:rFonts w:eastAsiaTheme="minorEastAsia"/>
        </w:rPr>
        <w:t xml:space="preserve">, I would like to </w:t>
      </w:r>
      <w:r w:rsidR="004A522C">
        <w:rPr>
          <w:rFonts w:eastAsiaTheme="minorEastAsia"/>
        </w:rPr>
        <w:t xml:space="preserve">spend some time </w:t>
      </w:r>
      <w:r w:rsidR="006071A4">
        <w:rPr>
          <w:rFonts w:eastAsiaTheme="minorEastAsia"/>
        </w:rPr>
        <w:t xml:space="preserve">either coming up with a detailed justification </w:t>
      </w:r>
      <w:r w:rsidR="00D916D6">
        <w:rPr>
          <w:rFonts w:eastAsiaTheme="minorEastAsia"/>
        </w:rPr>
        <w:t xml:space="preserve">and interpretation </w:t>
      </w:r>
      <w:r w:rsidR="006071A4">
        <w:rPr>
          <w:rFonts w:eastAsiaTheme="minorEastAsia"/>
        </w:rPr>
        <w:t>for the E</w:t>
      </w:r>
      <w:r w:rsidR="006071A4">
        <w:rPr>
          <w:rFonts w:eastAsiaTheme="minorEastAsia"/>
          <w:vertAlign w:val="subscript"/>
        </w:rPr>
        <w:t>z</w:t>
      </w:r>
      <w:r w:rsidR="006071A4">
        <w:rPr>
          <w:rFonts w:eastAsiaTheme="minorEastAsia"/>
        </w:rPr>
        <w:t>β</w:t>
      </w:r>
      <w:r w:rsidR="00065B2A">
        <w:rPr>
          <w:rFonts w:eastAsiaTheme="minorEastAsia"/>
        </w:rPr>
        <w:t xml:space="preserve"> potential in its current form, </w:t>
      </w:r>
      <w:r w:rsidR="0048300D">
        <w:rPr>
          <w:rFonts w:eastAsiaTheme="minorEastAsia"/>
        </w:rPr>
        <w:t xml:space="preserve">or </w:t>
      </w:r>
      <w:r w:rsidR="00F111B3">
        <w:rPr>
          <w:rFonts w:eastAsiaTheme="minorEastAsia"/>
        </w:rPr>
        <w:t xml:space="preserve">learning how to </w:t>
      </w:r>
      <w:r w:rsidR="006F2159">
        <w:rPr>
          <w:rFonts w:eastAsiaTheme="minorEastAsia"/>
        </w:rPr>
        <w:t>build</w:t>
      </w:r>
      <w:r w:rsidR="005F53B7">
        <w:rPr>
          <w:rFonts w:eastAsiaTheme="minorEastAsia"/>
        </w:rPr>
        <w:t xml:space="preserve"> a more physically meaningful </w:t>
      </w:r>
      <w:r w:rsidR="00BA2CA2">
        <w:rPr>
          <w:rFonts w:eastAsiaTheme="minorEastAsia"/>
        </w:rPr>
        <w:t>potential for the same purpose.</w:t>
      </w:r>
      <w:bookmarkStart w:id="0" w:name="_GoBack"/>
      <w:bookmarkEnd w:id="0"/>
    </w:p>
    <w:p w:rsidR="00F71E0B" w:rsidRDefault="00F71E0B" w:rsidP="00F74D7F">
      <w:pPr>
        <w:rPr>
          <w:rFonts w:eastAsiaTheme="minorEastAsia"/>
        </w:rPr>
      </w:pPr>
    </w:p>
    <w:p w:rsidR="00F71E0B" w:rsidRDefault="00F71E0B" w:rsidP="00F71E0B">
      <w:pPr>
        <w:pStyle w:val="Heading2"/>
        <w:rPr>
          <w:rFonts w:eastAsiaTheme="minorEastAsia"/>
        </w:rPr>
      </w:pPr>
      <w:r>
        <w:rPr>
          <w:rFonts w:eastAsiaTheme="minorEastAsia"/>
        </w:rPr>
        <w:t>References</w:t>
      </w:r>
    </w:p>
    <w:p w:rsidR="00F71E0B" w:rsidRPr="00F71E0B" w:rsidRDefault="00F71E0B" w:rsidP="00F71E0B"/>
    <w:p w:rsidR="00F71E0B" w:rsidRPr="00F71E0B" w:rsidRDefault="00F71E0B" w:rsidP="00F71E0B">
      <w:pPr>
        <w:pStyle w:val="Bibliography"/>
        <w:rPr>
          <w:rFonts w:ascii="Calibri" w:hAnsi="Calibri"/>
        </w:rPr>
      </w:pPr>
      <w:r>
        <w:rPr>
          <w:rFonts w:eastAsiaTheme="minorEastAsia"/>
        </w:rPr>
        <w:fldChar w:fldCharType="begin"/>
      </w:r>
      <w:r>
        <w:rPr>
          <w:rFonts w:eastAsiaTheme="minorEastAsia"/>
        </w:rPr>
        <w:instrText xml:space="preserve"> ADDIN ZOTERO_BIBL {"custom":[]} CSL_BIBLIOGRAPHY </w:instrText>
      </w:r>
      <w:r>
        <w:rPr>
          <w:rFonts w:eastAsiaTheme="minorEastAsia"/>
        </w:rPr>
        <w:fldChar w:fldCharType="separate"/>
      </w:r>
      <w:r w:rsidRPr="00F71E0B">
        <w:rPr>
          <w:rFonts w:ascii="Calibri" w:hAnsi="Calibri"/>
        </w:rPr>
        <w:t xml:space="preserve">Baslé, A., Rummel, G., Storici, P., Rosenbusch, J.P., and Schirmer, T. (2006). Crystal Structure of Osmoporin OmpC from E. coli at 2.0 Å. Journal of Molecular Biology </w:t>
      </w:r>
      <w:r w:rsidRPr="00F71E0B">
        <w:rPr>
          <w:rFonts w:ascii="Calibri" w:hAnsi="Calibri"/>
          <w:i/>
          <w:iCs/>
        </w:rPr>
        <w:t>362</w:t>
      </w:r>
      <w:r w:rsidRPr="00F71E0B">
        <w:rPr>
          <w:rFonts w:ascii="Calibri" w:hAnsi="Calibri"/>
        </w:rPr>
        <w:t>, 933–942.</w:t>
      </w:r>
    </w:p>
    <w:p w:rsidR="00F71E0B" w:rsidRPr="00F71E0B" w:rsidRDefault="00F71E0B" w:rsidP="00F71E0B">
      <w:pPr>
        <w:pStyle w:val="Bibliography"/>
        <w:rPr>
          <w:rFonts w:ascii="Calibri" w:hAnsi="Calibri"/>
        </w:rPr>
      </w:pPr>
      <w:r w:rsidRPr="00F71E0B">
        <w:rPr>
          <w:rFonts w:ascii="Calibri" w:hAnsi="Calibri"/>
        </w:rPr>
        <w:t xml:space="preserve">Blunck, R., Chanda, B., and Bezanilla, F. (2005). Nano to Micro — Fluorescence Measurements of Electric Fields in Molecules and Genetically Specified Neurons. J Membrane Biol </w:t>
      </w:r>
      <w:r w:rsidRPr="00F71E0B">
        <w:rPr>
          <w:rFonts w:ascii="Calibri" w:hAnsi="Calibri"/>
          <w:i/>
          <w:iCs/>
        </w:rPr>
        <w:t>208</w:t>
      </w:r>
      <w:r w:rsidRPr="00F71E0B">
        <w:rPr>
          <w:rFonts w:ascii="Calibri" w:hAnsi="Calibri"/>
        </w:rPr>
        <w:t>, 91–102.</w:t>
      </w:r>
    </w:p>
    <w:p w:rsidR="00F71E0B" w:rsidRPr="00F71E0B" w:rsidRDefault="00F71E0B" w:rsidP="00F71E0B">
      <w:pPr>
        <w:pStyle w:val="Bibliography"/>
        <w:rPr>
          <w:rFonts w:ascii="Calibri" w:hAnsi="Calibri"/>
        </w:rPr>
      </w:pPr>
      <w:r w:rsidRPr="00F71E0B">
        <w:rPr>
          <w:rFonts w:ascii="Calibri" w:hAnsi="Calibri"/>
        </w:rPr>
        <w:t>Borg, M., Hamelryck, T., and Ferkinghoff-Borg, J. (2012). On the Physical Relevance and Statistical Interpretation of Knowledge-Based Potentials. In Bayesian Methods in Structural Bioinformatics, T. Hamelryck, K. Mardia, and J. Ferkinghoff-Borg, eds. (Springer Berlin Heidelberg), pp. 97–124.</w:t>
      </w:r>
    </w:p>
    <w:p w:rsidR="00F71E0B" w:rsidRPr="00F71E0B" w:rsidRDefault="00F71E0B" w:rsidP="00F71E0B">
      <w:pPr>
        <w:pStyle w:val="Bibliography"/>
        <w:rPr>
          <w:rFonts w:ascii="Calibri" w:hAnsi="Calibri"/>
        </w:rPr>
      </w:pPr>
      <w:r w:rsidRPr="00F71E0B">
        <w:rPr>
          <w:rFonts w:ascii="Calibri" w:hAnsi="Calibri"/>
        </w:rPr>
        <w:lastRenderedPageBreak/>
        <w:t xml:space="preserve">Cock, P.J.A., Antao, T., Chang, J.T., Chapman, B.A., Cox, C.J., Dalke, A., Friedberg, I., Hamelryck, T., Kauff, F., Wilczynski, B., et al. (2009). Biopython: freely available Python tools for computational molecular biology and bioinformatics. Bioinformatics </w:t>
      </w:r>
      <w:r w:rsidRPr="00F71E0B">
        <w:rPr>
          <w:rFonts w:ascii="Calibri" w:hAnsi="Calibri"/>
          <w:i/>
          <w:iCs/>
        </w:rPr>
        <w:t>25</w:t>
      </w:r>
      <w:r w:rsidRPr="00F71E0B">
        <w:rPr>
          <w:rFonts w:ascii="Calibri" w:hAnsi="Calibri"/>
        </w:rPr>
        <w:t>, 1422–1423.</w:t>
      </w:r>
    </w:p>
    <w:p w:rsidR="00F71E0B" w:rsidRPr="00F71E0B" w:rsidRDefault="00F71E0B" w:rsidP="00F71E0B">
      <w:pPr>
        <w:pStyle w:val="Bibliography"/>
        <w:rPr>
          <w:rFonts w:ascii="Calibri" w:hAnsi="Calibri"/>
        </w:rPr>
      </w:pPr>
      <w:r w:rsidRPr="00F71E0B">
        <w:rPr>
          <w:rFonts w:ascii="Calibri" w:hAnsi="Calibri"/>
        </w:rPr>
        <w:t xml:space="preserve">Cowan, S.W., Schirmer, T., Rummel, G., Steiert, M., Ghosh, R., Pauptit, R.A., Jansonius, J.N., and Rosenbusch, J.P. (1992). Crystal structures explain functional properties of two E. coli porins. Nature </w:t>
      </w:r>
      <w:r w:rsidRPr="00F71E0B">
        <w:rPr>
          <w:rFonts w:ascii="Calibri" w:hAnsi="Calibri"/>
          <w:i/>
          <w:iCs/>
        </w:rPr>
        <w:t>358</w:t>
      </w:r>
      <w:r w:rsidRPr="00F71E0B">
        <w:rPr>
          <w:rFonts w:ascii="Calibri" w:hAnsi="Calibri"/>
        </w:rPr>
        <w:t>, 727–733.</w:t>
      </w:r>
    </w:p>
    <w:p w:rsidR="00F71E0B" w:rsidRPr="00F71E0B" w:rsidRDefault="00F71E0B" w:rsidP="00F71E0B">
      <w:pPr>
        <w:pStyle w:val="Bibliography"/>
        <w:rPr>
          <w:rFonts w:ascii="Calibri" w:hAnsi="Calibri"/>
        </w:rPr>
      </w:pPr>
      <w:r w:rsidRPr="00F71E0B">
        <w:rPr>
          <w:rFonts w:ascii="Calibri" w:hAnsi="Calibri"/>
        </w:rPr>
        <w:t xml:space="preserve">Forrest, L.R., Tang, C.L., and Honig, B. (2006). On the Accuracy of Homology Modeling and Sequence Alignment Methods Applied to Membrane Proteins. Biophys J </w:t>
      </w:r>
      <w:r w:rsidRPr="00F71E0B">
        <w:rPr>
          <w:rFonts w:ascii="Calibri" w:hAnsi="Calibri"/>
          <w:i/>
          <w:iCs/>
        </w:rPr>
        <w:t>91</w:t>
      </w:r>
      <w:r w:rsidRPr="00F71E0B">
        <w:rPr>
          <w:rFonts w:ascii="Calibri" w:hAnsi="Calibri"/>
        </w:rPr>
        <w:t>, 508–517.</w:t>
      </w:r>
    </w:p>
    <w:p w:rsidR="00F71E0B" w:rsidRPr="00F71E0B" w:rsidRDefault="00F71E0B" w:rsidP="00F71E0B">
      <w:pPr>
        <w:pStyle w:val="Bibliography"/>
        <w:rPr>
          <w:rFonts w:ascii="Calibri" w:hAnsi="Calibri"/>
        </w:rPr>
      </w:pPr>
      <w:r w:rsidRPr="00F71E0B">
        <w:rPr>
          <w:rFonts w:ascii="Calibri" w:hAnsi="Calibri"/>
        </w:rPr>
        <w:t xml:space="preserve">Forst, D., Welte, W., Wacker, T., and Diederichs, K. (1998). Structure of the sucrose-specific porin ScrY from Salmonella typhimurium and its complex with sucrose. Nature Structural &amp; Molecular Biology </w:t>
      </w:r>
      <w:r w:rsidRPr="00F71E0B">
        <w:rPr>
          <w:rFonts w:ascii="Calibri" w:hAnsi="Calibri"/>
          <w:i/>
          <w:iCs/>
        </w:rPr>
        <w:t>5</w:t>
      </w:r>
      <w:r w:rsidRPr="00F71E0B">
        <w:rPr>
          <w:rFonts w:ascii="Calibri" w:hAnsi="Calibri"/>
        </w:rPr>
        <w:t>, 37–46.</w:t>
      </w:r>
    </w:p>
    <w:p w:rsidR="00F71E0B" w:rsidRPr="00F71E0B" w:rsidRDefault="00F71E0B" w:rsidP="00F71E0B">
      <w:pPr>
        <w:pStyle w:val="Bibliography"/>
        <w:rPr>
          <w:rFonts w:ascii="Calibri" w:hAnsi="Calibri"/>
        </w:rPr>
      </w:pPr>
      <w:r w:rsidRPr="00F71E0B">
        <w:rPr>
          <w:rFonts w:ascii="Calibri" w:hAnsi="Calibri"/>
        </w:rPr>
        <w:t xml:space="preserve">Frickey, T., and Lupas, A. (2004). CLANS: a Java application for visualizing protein families based on pairwise similarity. Bioinformatics </w:t>
      </w:r>
      <w:r w:rsidRPr="00F71E0B">
        <w:rPr>
          <w:rFonts w:ascii="Calibri" w:hAnsi="Calibri"/>
          <w:i/>
          <w:iCs/>
        </w:rPr>
        <w:t>20</w:t>
      </w:r>
      <w:r w:rsidRPr="00F71E0B">
        <w:rPr>
          <w:rFonts w:ascii="Calibri" w:hAnsi="Calibri"/>
        </w:rPr>
        <w:t>, 3702–3704.</w:t>
      </w:r>
    </w:p>
    <w:p w:rsidR="00F71E0B" w:rsidRPr="00F71E0B" w:rsidRDefault="00F71E0B" w:rsidP="00F71E0B">
      <w:pPr>
        <w:pStyle w:val="Bibliography"/>
        <w:rPr>
          <w:rFonts w:ascii="Calibri" w:hAnsi="Calibri"/>
        </w:rPr>
      </w:pPr>
      <w:r w:rsidRPr="00F71E0B">
        <w:rPr>
          <w:rFonts w:ascii="Calibri" w:hAnsi="Calibri"/>
        </w:rPr>
        <w:t xml:space="preserve">Gumbart, J., and Roux, B. (2012). Determination of Membrane-Insertion Free Energies by Molecular Dynamics Simulations. Biophysical Journal </w:t>
      </w:r>
      <w:r w:rsidRPr="00F71E0B">
        <w:rPr>
          <w:rFonts w:ascii="Calibri" w:hAnsi="Calibri"/>
          <w:i/>
          <w:iCs/>
        </w:rPr>
        <w:t>102</w:t>
      </w:r>
      <w:r w:rsidRPr="00F71E0B">
        <w:rPr>
          <w:rFonts w:ascii="Calibri" w:hAnsi="Calibri"/>
        </w:rPr>
        <w:t>, 795–801.</w:t>
      </w:r>
    </w:p>
    <w:p w:rsidR="00F71E0B" w:rsidRPr="00F71E0B" w:rsidRDefault="00F71E0B" w:rsidP="00F71E0B">
      <w:pPr>
        <w:pStyle w:val="Bibliography"/>
        <w:rPr>
          <w:rFonts w:ascii="Calibri" w:hAnsi="Calibri"/>
        </w:rPr>
      </w:pPr>
      <w:r w:rsidRPr="00F71E0B">
        <w:rPr>
          <w:rFonts w:ascii="Calibri" w:hAnsi="Calibri"/>
        </w:rPr>
        <w:t xml:space="preserve">Hayat, S., and Elofsson, A. (2012). Ranking models of transmembrane β-barrel proteins using Z-coordinate predictions. Bioinformatics </w:t>
      </w:r>
      <w:r w:rsidRPr="00F71E0B">
        <w:rPr>
          <w:rFonts w:ascii="Calibri" w:hAnsi="Calibri"/>
          <w:i/>
          <w:iCs/>
        </w:rPr>
        <w:t>28</w:t>
      </w:r>
      <w:r w:rsidRPr="00F71E0B">
        <w:rPr>
          <w:rFonts w:ascii="Calibri" w:hAnsi="Calibri"/>
        </w:rPr>
        <w:t>, i90–i96.</w:t>
      </w:r>
    </w:p>
    <w:p w:rsidR="00F71E0B" w:rsidRPr="00F71E0B" w:rsidRDefault="00F71E0B" w:rsidP="00F71E0B">
      <w:pPr>
        <w:pStyle w:val="Bibliography"/>
        <w:rPr>
          <w:rFonts w:ascii="Calibri" w:hAnsi="Calibri"/>
        </w:rPr>
      </w:pPr>
      <w:r w:rsidRPr="00F71E0B">
        <w:rPr>
          <w:rFonts w:ascii="Calibri" w:hAnsi="Calibri"/>
        </w:rPr>
        <w:t xml:space="preserve">Hayat, S., Walter, P., Park, Y., and Helms, V. (2011). PREDICTION OF THE EXPOSURE STATUS OF TRANSMEMBRANE BETA BARREL RESIDUES FROM PROTEIN SEQUENCE. Journal of Bioinformatics and Computational Biology </w:t>
      </w:r>
      <w:r w:rsidRPr="00F71E0B">
        <w:rPr>
          <w:rFonts w:ascii="Calibri" w:hAnsi="Calibri"/>
          <w:i/>
          <w:iCs/>
        </w:rPr>
        <w:t>09</w:t>
      </w:r>
      <w:r w:rsidRPr="00F71E0B">
        <w:rPr>
          <w:rFonts w:ascii="Calibri" w:hAnsi="Calibri"/>
        </w:rPr>
        <w:t>, 43–65.</w:t>
      </w:r>
    </w:p>
    <w:p w:rsidR="00F71E0B" w:rsidRPr="00F71E0B" w:rsidRDefault="00F71E0B" w:rsidP="00F71E0B">
      <w:pPr>
        <w:pStyle w:val="Bibliography"/>
        <w:rPr>
          <w:rFonts w:ascii="Calibri" w:hAnsi="Calibri"/>
        </w:rPr>
      </w:pPr>
      <w:r w:rsidRPr="00F71E0B">
        <w:rPr>
          <w:rFonts w:ascii="Calibri" w:hAnsi="Calibri"/>
        </w:rPr>
        <w:t xml:space="preserve">Hsieh, D., Davis, A., and Nanda, V. (2012). A knowledge-based potential highlights unique features of membrane α-helical and β-barrel protein insertion and folding. Protein Sci. </w:t>
      </w:r>
      <w:r w:rsidRPr="00F71E0B">
        <w:rPr>
          <w:rFonts w:ascii="Calibri" w:hAnsi="Calibri"/>
          <w:i/>
          <w:iCs/>
        </w:rPr>
        <w:t>21</w:t>
      </w:r>
      <w:r w:rsidRPr="00F71E0B">
        <w:rPr>
          <w:rFonts w:ascii="Calibri" w:hAnsi="Calibri"/>
        </w:rPr>
        <w:t>, 50–62.</w:t>
      </w:r>
    </w:p>
    <w:p w:rsidR="00F71E0B" w:rsidRPr="00F71E0B" w:rsidRDefault="00F71E0B" w:rsidP="00F71E0B">
      <w:pPr>
        <w:pStyle w:val="Bibliography"/>
        <w:rPr>
          <w:rFonts w:ascii="Calibri" w:hAnsi="Calibri"/>
        </w:rPr>
      </w:pPr>
      <w:r w:rsidRPr="00F71E0B">
        <w:rPr>
          <w:rFonts w:ascii="Calibri" w:hAnsi="Calibri"/>
        </w:rPr>
        <w:t xml:space="preserve">Jackups, R., and Liang, J. (2005). Interstrand Pairing Patterns in β-Barrel Membrane Proteins: The Positive-outside Rule, Aromatic Rescue, and Strand Registration Prediction. Journal of Molecular Biology </w:t>
      </w:r>
      <w:r w:rsidRPr="00F71E0B">
        <w:rPr>
          <w:rFonts w:ascii="Calibri" w:hAnsi="Calibri"/>
          <w:i/>
          <w:iCs/>
        </w:rPr>
        <w:t>354</w:t>
      </w:r>
      <w:r w:rsidRPr="00F71E0B">
        <w:rPr>
          <w:rFonts w:ascii="Calibri" w:hAnsi="Calibri"/>
        </w:rPr>
        <w:t>, 979–993.</w:t>
      </w:r>
    </w:p>
    <w:p w:rsidR="00F71E0B" w:rsidRPr="00F71E0B" w:rsidRDefault="00F71E0B" w:rsidP="00F71E0B">
      <w:pPr>
        <w:pStyle w:val="Bibliography"/>
        <w:rPr>
          <w:rFonts w:ascii="Calibri" w:hAnsi="Calibri"/>
        </w:rPr>
      </w:pPr>
      <w:r w:rsidRPr="00F71E0B">
        <w:rPr>
          <w:rFonts w:ascii="Calibri" w:hAnsi="Calibri"/>
        </w:rPr>
        <w:t xml:space="preserve">Larkin, M.A., Blackshields, G., Brown, N.P., Chenna, R., McGettigan, P.A., McWilliam, H., Valentin, F., Wallace, I.M., Wilm, A., Lopez, R., et al. (2007). Clustal W and Clustal X version 2.0. Bioinformatics </w:t>
      </w:r>
      <w:r w:rsidRPr="00F71E0B">
        <w:rPr>
          <w:rFonts w:ascii="Calibri" w:hAnsi="Calibri"/>
          <w:i/>
          <w:iCs/>
        </w:rPr>
        <w:t>23</w:t>
      </w:r>
      <w:r w:rsidRPr="00F71E0B">
        <w:rPr>
          <w:rFonts w:ascii="Calibri" w:hAnsi="Calibri"/>
        </w:rPr>
        <w:t>, 2947–2948.</w:t>
      </w:r>
    </w:p>
    <w:p w:rsidR="00F71E0B" w:rsidRPr="00F71E0B" w:rsidRDefault="00F71E0B" w:rsidP="00F71E0B">
      <w:pPr>
        <w:pStyle w:val="Bibliography"/>
        <w:rPr>
          <w:rFonts w:ascii="Calibri" w:hAnsi="Calibri"/>
        </w:rPr>
      </w:pPr>
      <w:r w:rsidRPr="00F71E0B">
        <w:rPr>
          <w:rFonts w:ascii="Calibri" w:hAnsi="Calibri"/>
        </w:rPr>
        <w:t xml:space="preserve">Moon, C.P., and Fleming, K.G. (2011). Side-chain hydrophobicity scale derived from transmembrane protein folding into lipid bilayers. PNAS </w:t>
      </w:r>
      <w:r w:rsidRPr="00F71E0B">
        <w:rPr>
          <w:rFonts w:ascii="Calibri" w:hAnsi="Calibri"/>
          <w:i/>
          <w:iCs/>
        </w:rPr>
        <w:t>108</w:t>
      </w:r>
      <w:r w:rsidRPr="00F71E0B">
        <w:rPr>
          <w:rFonts w:ascii="Calibri" w:hAnsi="Calibri"/>
        </w:rPr>
        <w:t>, 10174–10177.</w:t>
      </w:r>
    </w:p>
    <w:p w:rsidR="00F71E0B" w:rsidRPr="00F71E0B" w:rsidRDefault="00F71E0B" w:rsidP="00F71E0B">
      <w:pPr>
        <w:pStyle w:val="Bibliography"/>
        <w:rPr>
          <w:rFonts w:ascii="Calibri" w:hAnsi="Calibri"/>
        </w:rPr>
      </w:pPr>
      <w:r w:rsidRPr="00F71E0B">
        <w:rPr>
          <w:rFonts w:ascii="Calibri" w:hAnsi="Calibri"/>
        </w:rPr>
        <w:t xml:space="preserve">Naveed, H., Xu, Y., Jackups, R., and Liang, J. (2012). Predicting Three-Dimensional Structures of Transmembrane Domains of β-Barrel Membrane Proteins. J. Am. Chem. Soc. </w:t>
      </w:r>
      <w:r w:rsidRPr="00F71E0B">
        <w:rPr>
          <w:rFonts w:ascii="Calibri" w:hAnsi="Calibri"/>
          <w:i/>
          <w:iCs/>
        </w:rPr>
        <w:t>134</w:t>
      </w:r>
      <w:r w:rsidRPr="00F71E0B">
        <w:rPr>
          <w:rFonts w:ascii="Calibri" w:hAnsi="Calibri"/>
        </w:rPr>
        <w:t>, 1775–1781.</w:t>
      </w:r>
    </w:p>
    <w:p w:rsidR="00F71E0B" w:rsidRPr="00F71E0B" w:rsidRDefault="00F71E0B" w:rsidP="00F71E0B">
      <w:pPr>
        <w:pStyle w:val="Bibliography"/>
        <w:rPr>
          <w:rFonts w:ascii="Calibri" w:hAnsi="Calibri"/>
        </w:rPr>
      </w:pPr>
      <w:r w:rsidRPr="00F71E0B">
        <w:rPr>
          <w:rFonts w:ascii="Calibri" w:hAnsi="Calibri"/>
        </w:rPr>
        <w:t xml:space="preserve">Nuin, P.A., Wang, Z., and Tillier, E.R. (2006). The accuracy of several multiple sequence alignment programs for proteins. BMC Bioinformatics </w:t>
      </w:r>
      <w:r w:rsidRPr="00F71E0B">
        <w:rPr>
          <w:rFonts w:ascii="Calibri" w:hAnsi="Calibri"/>
          <w:i/>
          <w:iCs/>
        </w:rPr>
        <w:t>7</w:t>
      </w:r>
      <w:r w:rsidRPr="00F71E0B">
        <w:rPr>
          <w:rFonts w:ascii="Calibri" w:hAnsi="Calibri"/>
        </w:rPr>
        <w:t>, 471.</w:t>
      </w:r>
    </w:p>
    <w:p w:rsidR="00F71E0B" w:rsidRPr="00F71E0B" w:rsidRDefault="00F71E0B" w:rsidP="00F71E0B">
      <w:pPr>
        <w:pStyle w:val="Bibliography"/>
        <w:rPr>
          <w:rFonts w:ascii="Calibri" w:hAnsi="Calibri"/>
        </w:rPr>
      </w:pPr>
      <w:r w:rsidRPr="00F71E0B">
        <w:rPr>
          <w:rFonts w:ascii="Calibri" w:hAnsi="Calibri"/>
        </w:rPr>
        <w:lastRenderedPageBreak/>
        <w:t xml:space="preserve">Phale, P.S., Philippsen, A., Kiefhaber, T., Koebnik, R., Phale, V.P., Schirmer, T., and Rosenbusch, J.P. (1998). Stability of Trimeric OmpF Porin:  The Contributions of the Latching Loop L2†. Biochemistry </w:t>
      </w:r>
      <w:r w:rsidRPr="00F71E0B">
        <w:rPr>
          <w:rFonts w:ascii="Calibri" w:hAnsi="Calibri"/>
          <w:i/>
          <w:iCs/>
        </w:rPr>
        <w:t>37</w:t>
      </w:r>
      <w:r w:rsidRPr="00F71E0B">
        <w:rPr>
          <w:rFonts w:ascii="Calibri" w:hAnsi="Calibri"/>
        </w:rPr>
        <w:t>, 15663–15670.</w:t>
      </w:r>
    </w:p>
    <w:p w:rsidR="00F71E0B" w:rsidRPr="00F71E0B" w:rsidRDefault="00F71E0B" w:rsidP="00F71E0B">
      <w:pPr>
        <w:pStyle w:val="Bibliography"/>
        <w:rPr>
          <w:rFonts w:ascii="Calibri" w:hAnsi="Calibri"/>
        </w:rPr>
      </w:pPr>
      <w:r w:rsidRPr="00F71E0B">
        <w:rPr>
          <w:rFonts w:ascii="Calibri" w:hAnsi="Calibri"/>
        </w:rPr>
        <w:t xml:space="preserve">Randall, A., Cheng, J., Sweredoski, M., and Baldi, P. (2008). TMBpro: secondary structure, β-contact and tertiary structure prediction of transmembrane β-barrel proteins. Bioinformatics </w:t>
      </w:r>
      <w:r w:rsidRPr="00F71E0B">
        <w:rPr>
          <w:rFonts w:ascii="Calibri" w:hAnsi="Calibri"/>
          <w:i/>
          <w:iCs/>
        </w:rPr>
        <w:t>24</w:t>
      </w:r>
      <w:r w:rsidRPr="00F71E0B">
        <w:rPr>
          <w:rFonts w:ascii="Calibri" w:hAnsi="Calibri"/>
        </w:rPr>
        <w:t>, 513–520.</w:t>
      </w:r>
    </w:p>
    <w:p w:rsidR="00F71E0B" w:rsidRPr="00F71E0B" w:rsidRDefault="00F71E0B" w:rsidP="00F71E0B">
      <w:pPr>
        <w:pStyle w:val="Bibliography"/>
        <w:rPr>
          <w:rFonts w:ascii="Calibri" w:hAnsi="Calibri"/>
        </w:rPr>
      </w:pPr>
      <w:r w:rsidRPr="00F71E0B">
        <w:rPr>
          <w:rFonts w:ascii="Calibri" w:hAnsi="Calibri"/>
        </w:rPr>
        <w:t xml:space="preserve">Remmert, M., Linke, D., Lupas, A.N., and Soding, J. (2009). HHomp--prediction and classification of outer membrane proteins. Nucleic Acids Research </w:t>
      </w:r>
      <w:r w:rsidRPr="00F71E0B">
        <w:rPr>
          <w:rFonts w:ascii="Calibri" w:hAnsi="Calibri"/>
          <w:i/>
          <w:iCs/>
        </w:rPr>
        <w:t>37</w:t>
      </w:r>
      <w:r w:rsidRPr="00F71E0B">
        <w:rPr>
          <w:rFonts w:ascii="Calibri" w:hAnsi="Calibri"/>
        </w:rPr>
        <w:t>, W446–W451.</w:t>
      </w:r>
    </w:p>
    <w:p w:rsidR="00F71E0B" w:rsidRPr="00F71E0B" w:rsidRDefault="00F71E0B" w:rsidP="00F71E0B">
      <w:pPr>
        <w:pStyle w:val="Bibliography"/>
        <w:rPr>
          <w:rFonts w:ascii="Calibri" w:hAnsi="Calibri"/>
        </w:rPr>
      </w:pPr>
      <w:r w:rsidRPr="00F71E0B">
        <w:rPr>
          <w:rFonts w:ascii="Calibri" w:hAnsi="Calibri"/>
        </w:rPr>
        <w:t xml:space="preserve">Sievers, F., Wilm, A., Dineen, D., Gibson, T.J., Karplus, K., Li, W., Lopez, R., McWilliam, H., Remmert, M., Söding, J., et al. (2011). Fast, scalable generation of high-quality protein multiple sequence alignments using Clustal Omega. Molecular Systems Biology </w:t>
      </w:r>
      <w:r w:rsidRPr="00F71E0B">
        <w:rPr>
          <w:rFonts w:ascii="Calibri" w:hAnsi="Calibri"/>
          <w:i/>
          <w:iCs/>
        </w:rPr>
        <w:t>7</w:t>
      </w:r>
      <w:r w:rsidRPr="00F71E0B">
        <w:rPr>
          <w:rFonts w:ascii="Calibri" w:hAnsi="Calibri"/>
        </w:rPr>
        <w:t>,.</w:t>
      </w:r>
    </w:p>
    <w:p w:rsidR="00F71E0B" w:rsidRPr="00F71E0B" w:rsidRDefault="00F71E0B" w:rsidP="00F71E0B">
      <w:pPr>
        <w:pStyle w:val="Bibliography"/>
        <w:rPr>
          <w:rFonts w:ascii="Calibri" w:hAnsi="Calibri"/>
        </w:rPr>
      </w:pPr>
      <w:r w:rsidRPr="00F71E0B">
        <w:rPr>
          <w:rFonts w:ascii="Calibri" w:hAnsi="Calibri"/>
        </w:rPr>
        <w:t xml:space="preserve">Surrey, T., and Jähnig, F. (1992). Refolding and oriented insertion of a membrane protein into a lipid bilayer. PNAS </w:t>
      </w:r>
      <w:r w:rsidRPr="00F71E0B">
        <w:rPr>
          <w:rFonts w:ascii="Calibri" w:hAnsi="Calibri"/>
          <w:i/>
          <w:iCs/>
        </w:rPr>
        <w:t>89</w:t>
      </w:r>
      <w:r w:rsidRPr="00F71E0B">
        <w:rPr>
          <w:rFonts w:ascii="Calibri" w:hAnsi="Calibri"/>
        </w:rPr>
        <w:t>, 7457–7461.</w:t>
      </w:r>
    </w:p>
    <w:p w:rsidR="00F71E0B" w:rsidRPr="00F71E0B" w:rsidRDefault="00F71E0B" w:rsidP="00F71E0B">
      <w:pPr>
        <w:pStyle w:val="Bibliography"/>
        <w:rPr>
          <w:rFonts w:ascii="Calibri" w:hAnsi="Calibri"/>
        </w:rPr>
      </w:pPr>
      <w:r w:rsidRPr="00F71E0B">
        <w:rPr>
          <w:rFonts w:ascii="Calibri" w:hAnsi="Calibri"/>
        </w:rPr>
        <w:t xml:space="preserve">Tatko, C.D., Nanda, V., Lear, J.D., and DeGrado, W.F. (2006). Polar Networks Control Oligomeric Assembly in Membranes. J. Am. Chem. Soc. </w:t>
      </w:r>
      <w:r w:rsidRPr="00F71E0B">
        <w:rPr>
          <w:rFonts w:ascii="Calibri" w:hAnsi="Calibri"/>
          <w:i/>
          <w:iCs/>
        </w:rPr>
        <w:t>128</w:t>
      </w:r>
      <w:r w:rsidRPr="00F71E0B">
        <w:rPr>
          <w:rFonts w:ascii="Calibri" w:hAnsi="Calibri"/>
        </w:rPr>
        <w:t>, 4170–4171.</w:t>
      </w:r>
    </w:p>
    <w:p w:rsidR="00F71E0B" w:rsidRPr="00DF7266" w:rsidRDefault="00F71E0B" w:rsidP="00F74D7F">
      <w:pPr>
        <w:rPr>
          <w:rFonts w:eastAsiaTheme="minorEastAsia"/>
        </w:rPr>
      </w:pPr>
      <w:r>
        <w:rPr>
          <w:rFonts w:eastAsiaTheme="minorEastAsia"/>
        </w:rPr>
        <w:fldChar w:fldCharType="end"/>
      </w:r>
    </w:p>
    <w:sectPr w:rsidR="00F71E0B" w:rsidRPr="00DF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FAF"/>
    <w:rsid w:val="00000182"/>
    <w:rsid w:val="00001575"/>
    <w:rsid w:val="00006C95"/>
    <w:rsid w:val="00006F77"/>
    <w:rsid w:val="0000798F"/>
    <w:rsid w:val="00012ABD"/>
    <w:rsid w:val="00015AE7"/>
    <w:rsid w:val="00015BD4"/>
    <w:rsid w:val="000164D3"/>
    <w:rsid w:val="00016F2D"/>
    <w:rsid w:val="0001751E"/>
    <w:rsid w:val="00021B06"/>
    <w:rsid w:val="000230FD"/>
    <w:rsid w:val="0002318D"/>
    <w:rsid w:val="000245E6"/>
    <w:rsid w:val="00025801"/>
    <w:rsid w:val="0002690B"/>
    <w:rsid w:val="00027DF8"/>
    <w:rsid w:val="00030296"/>
    <w:rsid w:val="00030E50"/>
    <w:rsid w:val="00036EEB"/>
    <w:rsid w:val="00036FA0"/>
    <w:rsid w:val="00037651"/>
    <w:rsid w:val="00037D56"/>
    <w:rsid w:val="00042A22"/>
    <w:rsid w:val="000467CF"/>
    <w:rsid w:val="00046904"/>
    <w:rsid w:val="00051FA8"/>
    <w:rsid w:val="000525F3"/>
    <w:rsid w:val="00053AD3"/>
    <w:rsid w:val="00053F61"/>
    <w:rsid w:val="00053F85"/>
    <w:rsid w:val="00054E86"/>
    <w:rsid w:val="000557F0"/>
    <w:rsid w:val="00056401"/>
    <w:rsid w:val="00056C4E"/>
    <w:rsid w:val="0006109D"/>
    <w:rsid w:val="000610CE"/>
    <w:rsid w:val="00062429"/>
    <w:rsid w:val="00065B2A"/>
    <w:rsid w:val="00066A8A"/>
    <w:rsid w:val="000744B7"/>
    <w:rsid w:val="00076492"/>
    <w:rsid w:val="00076C42"/>
    <w:rsid w:val="00080EB0"/>
    <w:rsid w:val="00083740"/>
    <w:rsid w:val="00083FEE"/>
    <w:rsid w:val="00085AFA"/>
    <w:rsid w:val="00087EB5"/>
    <w:rsid w:val="000903C9"/>
    <w:rsid w:val="000907C3"/>
    <w:rsid w:val="000920A3"/>
    <w:rsid w:val="00094DCD"/>
    <w:rsid w:val="00095653"/>
    <w:rsid w:val="00097601"/>
    <w:rsid w:val="000A0241"/>
    <w:rsid w:val="000A1BC6"/>
    <w:rsid w:val="000A299D"/>
    <w:rsid w:val="000A30AF"/>
    <w:rsid w:val="000A3525"/>
    <w:rsid w:val="000A4C1E"/>
    <w:rsid w:val="000A6284"/>
    <w:rsid w:val="000B019A"/>
    <w:rsid w:val="000B3E44"/>
    <w:rsid w:val="000B43AF"/>
    <w:rsid w:val="000B5527"/>
    <w:rsid w:val="000B78D0"/>
    <w:rsid w:val="000C063E"/>
    <w:rsid w:val="000C0B68"/>
    <w:rsid w:val="000C6064"/>
    <w:rsid w:val="000C6110"/>
    <w:rsid w:val="000C73C5"/>
    <w:rsid w:val="000C7538"/>
    <w:rsid w:val="000C7701"/>
    <w:rsid w:val="000D04EC"/>
    <w:rsid w:val="000D0BF3"/>
    <w:rsid w:val="000D3B4A"/>
    <w:rsid w:val="000D3EFB"/>
    <w:rsid w:val="000D3F0B"/>
    <w:rsid w:val="000E094E"/>
    <w:rsid w:val="000E1566"/>
    <w:rsid w:val="000E1BFA"/>
    <w:rsid w:val="000E323B"/>
    <w:rsid w:val="000E4C65"/>
    <w:rsid w:val="000E56B9"/>
    <w:rsid w:val="000E58D8"/>
    <w:rsid w:val="000E7DEB"/>
    <w:rsid w:val="000F52F9"/>
    <w:rsid w:val="000F6C65"/>
    <w:rsid w:val="000F7B57"/>
    <w:rsid w:val="000F7B6D"/>
    <w:rsid w:val="001019BE"/>
    <w:rsid w:val="00103BC4"/>
    <w:rsid w:val="00104406"/>
    <w:rsid w:val="00104880"/>
    <w:rsid w:val="001056AA"/>
    <w:rsid w:val="001104FD"/>
    <w:rsid w:val="0011148D"/>
    <w:rsid w:val="0011791C"/>
    <w:rsid w:val="001202B4"/>
    <w:rsid w:val="001208F6"/>
    <w:rsid w:val="001209EC"/>
    <w:rsid w:val="0012115E"/>
    <w:rsid w:val="00121C75"/>
    <w:rsid w:val="0013093B"/>
    <w:rsid w:val="00130ACB"/>
    <w:rsid w:val="001313EC"/>
    <w:rsid w:val="0013186F"/>
    <w:rsid w:val="001331CC"/>
    <w:rsid w:val="001352FB"/>
    <w:rsid w:val="0013570B"/>
    <w:rsid w:val="001412B5"/>
    <w:rsid w:val="00142F74"/>
    <w:rsid w:val="00144345"/>
    <w:rsid w:val="00144BB4"/>
    <w:rsid w:val="00146889"/>
    <w:rsid w:val="00146A69"/>
    <w:rsid w:val="001514BA"/>
    <w:rsid w:val="0015219D"/>
    <w:rsid w:val="0015533E"/>
    <w:rsid w:val="00155755"/>
    <w:rsid w:val="00156229"/>
    <w:rsid w:val="0015637E"/>
    <w:rsid w:val="00156E01"/>
    <w:rsid w:val="00160DB2"/>
    <w:rsid w:val="00162248"/>
    <w:rsid w:val="00162FAF"/>
    <w:rsid w:val="0016341B"/>
    <w:rsid w:val="00164172"/>
    <w:rsid w:val="00164CFF"/>
    <w:rsid w:val="001655D4"/>
    <w:rsid w:val="00175DC2"/>
    <w:rsid w:val="00176342"/>
    <w:rsid w:val="00176376"/>
    <w:rsid w:val="00176A1F"/>
    <w:rsid w:val="00176CA6"/>
    <w:rsid w:val="00177D02"/>
    <w:rsid w:val="00177EC1"/>
    <w:rsid w:val="0018009C"/>
    <w:rsid w:val="0018299D"/>
    <w:rsid w:val="001851F4"/>
    <w:rsid w:val="00185919"/>
    <w:rsid w:val="001879F8"/>
    <w:rsid w:val="00191D48"/>
    <w:rsid w:val="00192836"/>
    <w:rsid w:val="00193EE6"/>
    <w:rsid w:val="00194795"/>
    <w:rsid w:val="00197FCA"/>
    <w:rsid w:val="001A10A8"/>
    <w:rsid w:val="001A1FC0"/>
    <w:rsid w:val="001A38D9"/>
    <w:rsid w:val="001A3A48"/>
    <w:rsid w:val="001B07DA"/>
    <w:rsid w:val="001B0BD1"/>
    <w:rsid w:val="001B2103"/>
    <w:rsid w:val="001B46F3"/>
    <w:rsid w:val="001B4809"/>
    <w:rsid w:val="001B4DDE"/>
    <w:rsid w:val="001B5B4E"/>
    <w:rsid w:val="001B5C2B"/>
    <w:rsid w:val="001C11B2"/>
    <w:rsid w:val="001C18BE"/>
    <w:rsid w:val="001C2A16"/>
    <w:rsid w:val="001C3B21"/>
    <w:rsid w:val="001C4A33"/>
    <w:rsid w:val="001C7DAA"/>
    <w:rsid w:val="001D1703"/>
    <w:rsid w:val="001D26B7"/>
    <w:rsid w:val="001D5047"/>
    <w:rsid w:val="001D59CC"/>
    <w:rsid w:val="001E07EE"/>
    <w:rsid w:val="001E16CF"/>
    <w:rsid w:val="001E1E65"/>
    <w:rsid w:val="001E204B"/>
    <w:rsid w:val="001E2173"/>
    <w:rsid w:val="001E2F26"/>
    <w:rsid w:val="001E636E"/>
    <w:rsid w:val="001E6606"/>
    <w:rsid w:val="001E73D5"/>
    <w:rsid w:val="001F0A7B"/>
    <w:rsid w:val="001F1095"/>
    <w:rsid w:val="001F1B63"/>
    <w:rsid w:val="001F6B3B"/>
    <w:rsid w:val="00200A70"/>
    <w:rsid w:val="00200E1E"/>
    <w:rsid w:val="002013BF"/>
    <w:rsid w:val="002020AC"/>
    <w:rsid w:val="002045C6"/>
    <w:rsid w:val="00204DF3"/>
    <w:rsid w:val="00204DF8"/>
    <w:rsid w:val="00210625"/>
    <w:rsid w:val="00211C3C"/>
    <w:rsid w:val="00212E5C"/>
    <w:rsid w:val="00214F4D"/>
    <w:rsid w:val="00215131"/>
    <w:rsid w:val="00215C67"/>
    <w:rsid w:val="00216113"/>
    <w:rsid w:val="00217776"/>
    <w:rsid w:val="00221790"/>
    <w:rsid w:val="002221EE"/>
    <w:rsid w:val="002225C4"/>
    <w:rsid w:val="002226BE"/>
    <w:rsid w:val="00224855"/>
    <w:rsid w:val="00224BE5"/>
    <w:rsid w:val="002252A7"/>
    <w:rsid w:val="002260DC"/>
    <w:rsid w:val="00226939"/>
    <w:rsid w:val="00226ABE"/>
    <w:rsid w:val="00231017"/>
    <w:rsid w:val="00236C87"/>
    <w:rsid w:val="00241A18"/>
    <w:rsid w:val="002428D3"/>
    <w:rsid w:val="00250EFA"/>
    <w:rsid w:val="00251CDF"/>
    <w:rsid w:val="00252F18"/>
    <w:rsid w:val="002539D1"/>
    <w:rsid w:val="00254CAF"/>
    <w:rsid w:val="00256029"/>
    <w:rsid w:val="0025617B"/>
    <w:rsid w:val="0025633E"/>
    <w:rsid w:val="00256956"/>
    <w:rsid w:val="00257021"/>
    <w:rsid w:val="00260053"/>
    <w:rsid w:val="00260C9C"/>
    <w:rsid w:val="00263980"/>
    <w:rsid w:val="00263AAC"/>
    <w:rsid w:val="00266BC2"/>
    <w:rsid w:val="00272B7E"/>
    <w:rsid w:val="00280635"/>
    <w:rsid w:val="00281453"/>
    <w:rsid w:val="0028248D"/>
    <w:rsid w:val="00283AF5"/>
    <w:rsid w:val="00284539"/>
    <w:rsid w:val="00284D31"/>
    <w:rsid w:val="00285156"/>
    <w:rsid w:val="0029221E"/>
    <w:rsid w:val="00297E91"/>
    <w:rsid w:val="002A1634"/>
    <w:rsid w:val="002A185A"/>
    <w:rsid w:val="002A2795"/>
    <w:rsid w:val="002A34CE"/>
    <w:rsid w:val="002A5629"/>
    <w:rsid w:val="002A7A8E"/>
    <w:rsid w:val="002B1AED"/>
    <w:rsid w:val="002B1BFE"/>
    <w:rsid w:val="002B1D25"/>
    <w:rsid w:val="002C4C4A"/>
    <w:rsid w:val="002C50E6"/>
    <w:rsid w:val="002C67B3"/>
    <w:rsid w:val="002C795F"/>
    <w:rsid w:val="002D1FA6"/>
    <w:rsid w:val="002D2A29"/>
    <w:rsid w:val="002D6B38"/>
    <w:rsid w:val="002D6CF6"/>
    <w:rsid w:val="002D7F91"/>
    <w:rsid w:val="002E1276"/>
    <w:rsid w:val="002E1E85"/>
    <w:rsid w:val="002E20C3"/>
    <w:rsid w:val="002E3BC0"/>
    <w:rsid w:val="002E595B"/>
    <w:rsid w:val="002F0228"/>
    <w:rsid w:val="002F1149"/>
    <w:rsid w:val="002F1AE7"/>
    <w:rsid w:val="002F4FC8"/>
    <w:rsid w:val="002F594A"/>
    <w:rsid w:val="002F5A32"/>
    <w:rsid w:val="002F5DA8"/>
    <w:rsid w:val="0030025C"/>
    <w:rsid w:val="003040F5"/>
    <w:rsid w:val="003056FC"/>
    <w:rsid w:val="00310C38"/>
    <w:rsid w:val="00313E60"/>
    <w:rsid w:val="00314EDF"/>
    <w:rsid w:val="003152FE"/>
    <w:rsid w:val="003153EF"/>
    <w:rsid w:val="00317CB5"/>
    <w:rsid w:val="00321BD9"/>
    <w:rsid w:val="00325B84"/>
    <w:rsid w:val="0033109E"/>
    <w:rsid w:val="00331D2E"/>
    <w:rsid w:val="00335F1C"/>
    <w:rsid w:val="00340369"/>
    <w:rsid w:val="0034108D"/>
    <w:rsid w:val="00341242"/>
    <w:rsid w:val="00344C12"/>
    <w:rsid w:val="0034654A"/>
    <w:rsid w:val="003520C4"/>
    <w:rsid w:val="00353506"/>
    <w:rsid w:val="00354D8C"/>
    <w:rsid w:val="00357447"/>
    <w:rsid w:val="00367265"/>
    <w:rsid w:val="00367867"/>
    <w:rsid w:val="00370F2B"/>
    <w:rsid w:val="003712FF"/>
    <w:rsid w:val="0037182F"/>
    <w:rsid w:val="00372121"/>
    <w:rsid w:val="00374566"/>
    <w:rsid w:val="0037501F"/>
    <w:rsid w:val="00377FAF"/>
    <w:rsid w:val="00380412"/>
    <w:rsid w:val="00380EA7"/>
    <w:rsid w:val="00382B3A"/>
    <w:rsid w:val="0038508B"/>
    <w:rsid w:val="003911B3"/>
    <w:rsid w:val="0039276B"/>
    <w:rsid w:val="003946F4"/>
    <w:rsid w:val="0039488D"/>
    <w:rsid w:val="00395389"/>
    <w:rsid w:val="00397076"/>
    <w:rsid w:val="003A040D"/>
    <w:rsid w:val="003A0FFD"/>
    <w:rsid w:val="003A2741"/>
    <w:rsid w:val="003B0FF5"/>
    <w:rsid w:val="003B133B"/>
    <w:rsid w:val="003B1BF8"/>
    <w:rsid w:val="003C0BFE"/>
    <w:rsid w:val="003C3DC2"/>
    <w:rsid w:val="003C4F17"/>
    <w:rsid w:val="003C51C8"/>
    <w:rsid w:val="003C6F62"/>
    <w:rsid w:val="003D18DF"/>
    <w:rsid w:val="003D5F16"/>
    <w:rsid w:val="003D6E8A"/>
    <w:rsid w:val="003E19A9"/>
    <w:rsid w:val="003E1C0A"/>
    <w:rsid w:val="003E1E29"/>
    <w:rsid w:val="003E391C"/>
    <w:rsid w:val="003E48D6"/>
    <w:rsid w:val="003E5D30"/>
    <w:rsid w:val="003E7490"/>
    <w:rsid w:val="003E7866"/>
    <w:rsid w:val="003E79AC"/>
    <w:rsid w:val="003F09FD"/>
    <w:rsid w:val="003F189B"/>
    <w:rsid w:val="003F3E1C"/>
    <w:rsid w:val="003F45FB"/>
    <w:rsid w:val="003F5D61"/>
    <w:rsid w:val="003F7262"/>
    <w:rsid w:val="00401A0C"/>
    <w:rsid w:val="00401A31"/>
    <w:rsid w:val="00403E37"/>
    <w:rsid w:val="00405EA9"/>
    <w:rsid w:val="00405ED6"/>
    <w:rsid w:val="00411D5A"/>
    <w:rsid w:val="00411F93"/>
    <w:rsid w:val="00412B14"/>
    <w:rsid w:val="00421DBD"/>
    <w:rsid w:val="00426664"/>
    <w:rsid w:val="0042736E"/>
    <w:rsid w:val="00430657"/>
    <w:rsid w:val="00430A59"/>
    <w:rsid w:val="00435211"/>
    <w:rsid w:val="00435F0F"/>
    <w:rsid w:val="004364A1"/>
    <w:rsid w:val="00437602"/>
    <w:rsid w:val="0044061E"/>
    <w:rsid w:val="00446AD7"/>
    <w:rsid w:val="00447028"/>
    <w:rsid w:val="004472DC"/>
    <w:rsid w:val="00452A1B"/>
    <w:rsid w:val="00453028"/>
    <w:rsid w:val="00454743"/>
    <w:rsid w:val="00454C94"/>
    <w:rsid w:val="004568BA"/>
    <w:rsid w:val="00461655"/>
    <w:rsid w:val="00462015"/>
    <w:rsid w:val="00465C93"/>
    <w:rsid w:val="00466ECE"/>
    <w:rsid w:val="004703BF"/>
    <w:rsid w:val="00470A4E"/>
    <w:rsid w:val="004767DE"/>
    <w:rsid w:val="0047788C"/>
    <w:rsid w:val="00480655"/>
    <w:rsid w:val="00482D5E"/>
    <w:rsid w:val="0048300D"/>
    <w:rsid w:val="00483893"/>
    <w:rsid w:val="00485055"/>
    <w:rsid w:val="00485346"/>
    <w:rsid w:val="00485E0E"/>
    <w:rsid w:val="004872BE"/>
    <w:rsid w:val="00487F88"/>
    <w:rsid w:val="0049211B"/>
    <w:rsid w:val="00493E5A"/>
    <w:rsid w:val="00494C5B"/>
    <w:rsid w:val="004952E1"/>
    <w:rsid w:val="00497331"/>
    <w:rsid w:val="00497CE9"/>
    <w:rsid w:val="004A3CB4"/>
    <w:rsid w:val="004A522C"/>
    <w:rsid w:val="004A5777"/>
    <w:rsid w:val="004A60FE"/>
    <w:rsid w:val="004A73C2"/>
    <w:rsid w:val="004B116B"/>
    <w:rsid w:val="004B1AB2"/>
    <w:rsid w:val="004B2228"/>
    <w:rsid w:val="004B34BA"/>
    <w:rsid w:val="004B5318"/>
    <w:rsid w:val="004B6287"/>
    <w:rsid w:val="004C0901"/>
    <w:rsid w:val="004C1759"/>
    <w:rsid w:val="004C288A"/>
    <w:rsid w:val="004C6599"/>
    <w:rsid w:val="004D0662"/>
    <w:rsid w:val="004D3080"/>
    <w:rsid w:val="004D52CD"/>
    <w:rsid w:val="004D56CA"/>
    <w:rsid w:val="004D73AF"/>
    <w:rsid w:val="004E073B"/>
    <w:rsid w:val="004E0C59"/>
    <w:rsid w:val="004E184A"/>
    <w:rsid w:val="004E2DD4"/>
    <w:rsid w:val="004E322D"/>
    <w:rsid w:val="004E362A"/>
    <w:rsid w:val="004E5CC1"/>
    <w:rsid w:val="004E7465"/>
    <w:rsid w:val="004E786C"/>
    <w:rsid w:val="004F2560"/>
    <w:rsid w:val="004F3548"/>
    <w:rsid w:val="004F3D50"/>
    <w:rsid w:val="004F4C66"/>
    <w:rsid w:val="004F4C76"/>
    <w:rsid w:val="004F7ECF"/>
    <w:rsid w:val="00505322"/>
    <w:rsid w:val="00505BAC"/>
    <w:rsid w:val="00506AD7"/>
    <w:rsid w:val="00511538"/>
    <w:rsid w:val="00512C6C"/>
    <w:rsid w:val="00514C9B"/>
    <w:rsid w:val="00515066"/>
    <w:rsid w:val="00515F00"/>
    <w:rsid w:val="00520275"/>
    <w:rsid w:val="00520420"/>
    <w:rsid w:val="00522B0C"/>
    <w:rsid w:val="00525218"/>
    <w:rsid w:val="00526F00"/>
    <w:rsid w:val="00530478"/>
    <w:rsid w:val="00533D8F"/>
    <w:rsid w:val="00534492"/>
    <w:rsid w:val="00534561"/>
    <w:rsid w:val="00535D5E"/>
    <w:rsid w:val="00537A20"/>
    <w:rsid w:val="00540D32"/>
    <w:rsid w:val="00540FE7"/>
    <w:rsid w:val="00543114"/>
    <w:rsid w:val="00543F2E"/>
    <w:rsid w:val="00544AF2"/>
    <w:rsid w:val="005460FC"/>
    <w:rsid w:val="00546620"/>
    <w:rsid w:val="00546625"/>
    <w:rsid w:val="00552CC2"/>
    <w:rsid w:val="00552CFB"/>
    <w:rsid w:val="00552D3B"/>
    <w:rsid w:val="00553EB9"/>
    <w:rsid w:val="005546D7"/>
    <w:rsid w:val="00555CB1"/>
    <w:rsid w:val="005564AE"/>
    <w:rsid w:val="0055663D"/>
    <w:rsid w:val="005568FB"/>
    <w:rsid w:val="00557EFE"/>
    <w:rsid w:val="00560633"/>
    <w:rsid w:val="005627B1"/>
    <w:rsid w:val="00565EBF"/>
    <w:rsid w:val="005679B3"/>
    <w:rsid w:val="00571A14"/>
    <w:rsid w:val="0057393D"/>
    <w:rsid w:val="00577218"/>
    <w:rsid w:val="00583600"/>
    <w:rsid w:val="0058453D"/>
    <w:rsid w:val="00585BA0"/>
    <w:rsid w:val="00585C0B"/>
    <w:rsid w:val="00586A82"/>
    <w:rsid w:val="00586B1A"/>
    <w:rsid w:val="00586F45"/>
    <w:rsid w:val="00587ABD"/>
    <w:rsid w:val="00591CC6"/>
    <w:rsid w:val="00595C31"/>
    <w:rsid w:val="005A2F6E"/>
    <w:rsid w:val="005A3E4C"/>
    <w:rsid w:val="005A4AB3"/>
    <w:rsid w:val="005A60CE"/>
    <w:rsid w:val="005A6F5A"/>
    <w:rsid w:val="005B00F0"/>
    <w:rsid w:val="005B4367"/>
    <w:rsid w:val="005B4F22"/>
    <w:rsid w:val="005B5937"/>
    <w:rsid w:val="005B60CA"/>
    <w:rsid w:val="005C0D19"/>
    <w:rsid w:val="005C1228"/>
    <w:rsid w:val="005C2FE4"/>
    <w:rsid w:val="005C79B4"/>
    <w:rsid w:val="005D193C"/>
    <w:rsid w:val="005D2B61"/>
    <w:rsid w:val="005D2E6E"/>
    <w:rsid w:val="005D36A3"/>
    <w:rsid w:val="005D401E"/>
    <w:rsid w:val="005D6414"/>
    <w:rsid w:val="005E0A4D"/>
    <w:rsid w:val="005E1BA9"/>
    <w:rsid w:val="005E3673"/>
    <w:rsid w:val="005E3822"/>
    <w:rsid w:val="005E3F60"/>
    <w:rsid w:val="005E648C"/>
    <w:rsid w:val="005E67F5"/>
    <w:rsid w:val="005F2774"/>
    <w:rsid w:val="005F29F0"/>
    <w:rsid w:val="005F2B08"/>
    <w:rsid w:val="005F4BDA"/>
    <w:rsid w:val="005F53B7"/>
    <w:rsid w:val="005F596B"/>
    <w:rsid w:val="005F5C0E"/>
    <w:rsid w:val="005F6395"/>
    <w:rsid w:val="0060008B"/>
    <w:rsid w:val="00601624"/>
    <w:rsid w:val="00603FC1"/>
    <w:rsid w:val="006065E7"/>
    <w:rsid w:val="006071A4"/>
    <w:rsid w:val="00607284"/>
    <w:rsid w:val="0061012C"/>
    <w:rsid w:val="00614470"/>
    <w:rsid w:val="0061506E"/>
    <w:rsid w:val="00626430"/>
    <w:rsid w:val="0062735B"/>
    <w:rsid w:val="006278BA"/>
    <w:rsid w:val="006301CF"/>
    <w:rsid w:val="00630D5B"/>
    <w:rsid w:val="00631507"/>
    <w:rsid w:val="00634A15"/>
    <w:rsid w:val="00637F83"/>
    <w:rsid w:val="00643011"/>
    <w:rsid w:val="0064379B"/>
    <w:rsid w:val="006438D2"/>
    <w:rsid w:val="0064503B"/>
    <w:rsid w:val="00645AC2"/>
    <w:rsid w:val="006460D5"/>
    <w:rsid w:val="006463D6"/>
    <w:rsid w:val="00646F58"/>
    <w:rsid w:val="00650E4F"/>
    <w:rsid w:val="00652214"/>
    <w:rsid w:val="00654699"/>
    <w:rsid w:val="00655038"/>
    <w:rsid w:val="006555B4"/>
    <w:rsid w:val="00655BDE"/>
    <w:rsid w:val="006570FC"/>
    <w:rsid w:val="00661176"/>
    <w:rsid w:val="00661838"/>
    <w:rsid w:val="00663F6D"/>
    <w:rsid w:val="00664264"/>
    <w:rsid w:val="00666E9F"/>
    <w:rsid w:val="006676BB"/>
    <w:rsid w:val="00672FB9"/>
    <w:rsid w:val="00676891"/>
    <w:rsid w:val="006775B1"/>
    <w:rsid w:val="006779D9"/>
    <w:rsid w:val="00681063"/>
    <w:rsid w:val="00685F2D"/>
    <w:rsid w:val="00686059"/>
    <w:rsid w:val="00686591"/>
    <w:rsid w:val="00687432"/>
    <w:rsid w:val="00687498"/>
    <w:rsid w:val="00687CDD"/>
    <w:rsid w:val="0069047A"/>
    <w:rsid w:val="0069632E"/>
    <w:rsid w:val="006A16EE"/>
    <w:rsid w:val="006A1FFE"/>
    <w:rsid w:val="006A2AC7"/>
    <w:rsid w:val="006A2CC0"/>
    <w:rsid w:val="006A512D"/>
    <w:rsid w:val="006A6486"/>
    <w:rsid w:val="006B005A"/>
    <w:rsid w:val="006B039B"/>
    <w:rsid w:val="006B36C5"/>
    <w:rsid w:val="006B45D8"/>
    <w:rsid w:val="006B502A"/>
    <w:rsid w:val="006C3064"/>
    <w:rsid w:val="006C37A0"/>
    <w:rsid w:val="006C4674"/>
    <w:rsid w:val="006C4A9C"/>
    <w:rsid w:val="006C6371"/>
    <w:rsid w:val="006D3C65"/>
    <w:rsid w:val="006D4C7B"/>
    <w:rsid w:val="006D50D5"/>
    <w:rsid w:val="006D52D6"/>
    <w:rsid w:val="006D6163"/>
    <w:rsid w:val="006D67DE"/>
    <w:rsid w:val="006D6B41"/>
    <w:rsid w:val="006E0B48"/>
    <w:rsid w:val="006E2582"/>
    <w:rsid w:val="006E298B"/>
    <w:rsid w:val="006E32E6"/>
    <w:rsid w:val="006E4CBF"/>
    <w:rsid w:val="006F108D"/>
    <w:rsid w:val="006F2159"/>
    <w:rsid w:val="006F7AE1"/>
    <w:rsid w:val="00700CC6"/>
    <w:rsid w:val="0070288D"/>
    <w:rsid w:val="0070568F"/>
    <w:rsid w:val="00705C10"/>
    <w:rsid w:val="00707520"/>
    <w:rsid w:val="007119AB"/>
    <w:rsid w:val="00712825"/>
    <w:rsid w:val="007141CD"/>
    <w:rsid w:val="00716D43"/>
    <w:rsid w:val="0072067B"/>
    <w:rsid w:val="00720AFB"/>
    <w:rsid w:val="00722220"/>
    <w:rsid w:val="00724F3D"/>
    <w:rsid w:val="00725195"/>
    <w:rsid w:val="00726C88"/>
    <w:rsid w:val="00726D98"/>
    <w:rsid w:val="007327F3"/>
    <w:rsid w:val="00733C65"/>
    <w:rsid w:val="00737060"/>
    <w:rsid w:val="007379F6"/>
    <w:rsid w:val="00737C42"/>
    <w:rsid w:val="007407EB"/>
    <w:rsid w:val="007408B1"/>
    <w:rsid w:val="00741D81"/>
    <w:rsid w:val="00743713"/>
    <w:rsid w:val="00746706"/>
    <w:rsid w:val="00750DF6"/>
    <w:rsid w:val="007526E4"/>
    <w:rsid w:val="0075303A"/>
    <w:rsid w:val="007534B9"/>
    <w:rsid w:val="007535FF"/>
    <w:rsid w:val="0075537C"/>
    <w:rsid w:val="00755720"/>
    <w:rsid w:val="00756500"/>
    <w:rsid w:val="00757B13"/>
    <w:rsid w:val="007645A7"/>
    <w:rsid w:val="00764E01"/>
    <w:rsid w:val="007651BE"/>
    <w:rsid w:val="00765809"/>
    <w:rsid w:val="00766247"/>
    <w:rsid w:val="00767A82"/>
    <w:rsid w:val="00770973"/>
    <w:rsid w:val="00770B81"/>
    <w:rsid w:val="007713A0"/>
    <w:rsid w:val="007736E8"/>
    <w:rsid w:val="00774753"/>
    <w:rsid w:val="00775EC9"/>
    <w:rsid w:val="007768D7"/>
    <w:rsid w:val="007778D5"/>
    <w:rsid w:val="00777A46"/>
    <w:rsid w:val="00777D70"/>
    <w:rsid w:val="0078264D"/>
    <w:rsid w:val="007829BF"/>
    <w:rsid w:val="00785345"/>
    <w:rsid w:val="00785777"/>
    <w:rsid w:val="007870C9"/>
    <w:rsid w:val="007901B5"/>
    <w:rsid w:val="00790974"/>
    <w:rsid w:val="0079446F"/>
    <w:rsid w:val="00795AC5"/>
    <w:rsid w:val="00797386"/>
    <w:rsid w:val="0079781F"/>
    <w:rsid w:val="007A02BF"/>
    <w:rsid w:val="007A088B"/>
    <w:rsid w:val="007A23C9"/>
    <w:rsid w:val="007A2BC3"/>
    <w:rsid w:val="007A461E"/>
    <w:rsid w:val="007A55B5"/>
    <w:rsid w:val="007A5D40"/>
    <w:rsid w:val="007B0181"/>
    <w:rsid w:val="007B2B1B"/>
    <w:rsid w:val="007B2EFB"/>
    <w:rsid w:val="007B3747"/>
    <w:rsid w:val="007B3846"/>
    <w:rsid w:val="007B4796"/>
    <w:rsid w:val="007B7E69"/>
    <w:rsid w:val="007B7E9E"/>
    <w:rsid w:val="007C0490"/>
    <w:rsid w:val="007C12FD"/>
    <w:rsid w:val="007C1C70"/>
    <w:rsid w:val="007C220B"/>
    <w:rsid w:val="007C26CC"/>
    <w:rsid w:val="007C3189"/>
    <w:rsid w:val="007C7E22"/>
    <w:rsid w:val="007D0EA6"/>
    <w:rsid w:val="007D1EFD"/>
    <w:rsid w:val="007D659E"/>
    <w:rsid w:val="007D6738"/>
    <w:rsid w:val="007E0696"/>
    <w:rsid w:val="007E1406"/>
    <w:rsid w:val="007E5181"/>
    <w:rsid w:val="007E59AE"/>
    <w:rsid w:val="007E7D0E"/>
    <w:rsid w:val="007F2330"/>
    <w:rsid w:val="007F6BC9"/>
    <w:rsid w:val="007F735A"/>
    <w:rsid w:val="008000B0"/>
    <w:rsid w:val="00800D22"/>
    <w:rsid w:val="00814090"/>
    <w:rsid w:val="00814441"/>
    <w:rsid w:val="0081492F"/>
    <w:rsid w:val="00815631"/>
    <w:rsid w:val="0081621A"/>
    <w:rsid w:val="00816464"/>
    <w:rsid w:val="008166D6"/>
    <w:rsid w:val="0081771A"/>
    <w:rsid w:val="00820D07"/>
    <w:rsid w:val="00821317"/>
    <w:rsid w:val="0082180F"/>
    <w:rsid w:val="00821A42"/>
    <w:rsid w:val="00822D48"/>
    <w:rsid w:val="00826316"/>
    <w:rsid w:val="00827B7F"/>
    <w:rsid w:val="00830ED0"/>
    <w:rsid w:val="00833B0A"/>
    <w:rsid w:val="008371A2"/>
    <w:rsid w:val="00841827"/>
    <w:rsid w:val="00842123"/>
    <w:rsid w:val="00843EAF"/>
    <w:rsid w:val="00845743"/>
    <w:rsid w:val="00845ACC"/>
    <w:rsid w:val="00845BB0"/>
    <w:rsid w:val="00853DF7"/>
    <w:rsid w:val="00855FAA"/>
    <w:rsid w:val="00856C7C"/>
    <w:rsid w:val="00857AB0"/>
    <w:rsid w:val="00861FC8"/>
    <w:rsid w:val="0086448E"/>
    <w:rsid w:val="00866DA8"/>
    <w:rsid w:val="00873AE4"/>
    <w:rsid w:val="008744F5"/>
    <w:rsid w:val="008746F3"/>
    <w:rsid w:val="00876062"/>
    <w:rsid w:val="0087653D"/>
    <w:rsid w:val="00876C4A"/>
    <w:rsid w:val="0087715F"/>
    <w:rsid w:val="008816E6"/>
    <w:rsid w:val="008827C5"/>
    <w:rsid w:val="00885144"/>
    <w:rsid w:val="0089078B"/>
    <w:rsid w:val="0089378C"/>
    <w:rsid w:val="00893CA8"/>
    <w:rsid w:val="008A0939"/>
    <w:rsid w:val="008A0B03"/>
    <w:rsid w:val="008A1FE4"/>
    <w:rsid w:val="008A2A85"/>
    <w:rsid w:val="008A34B1"/>
    <w:rsid w:val="008A3C3F"/>
    <w:rsid w:val="008A6AB9"/>
    <w:rsid w:val="008A7D49"/>
    <w:rsid w:val="008B0CF7"/>
    <w:rsid w:val="008B0DEC"/>
    <w:rsid w:val="008B1409"/>
    <w:rsid w:val="008B1D4E"/>
    <w:rsid w:val="008B5034"/>
    <w:rsid w:val="008B5070"/>
    <w:rsid w:val="008B5874"/>
    <w:rsid w:val="008B6509"/>
    <w:rsid w:val="008B7B80"/>
    <w:rsid w:val="008C0F22"/>
    <w:rsid w:val="008C3679"/>
    <w:rsid w:val="008C5272"/>
    <w:rsid w:val="008C538F"/>
    <w:rsid w:val="008C66F4"/>
    <w:rsid w:val="008C6A4E"/>
    <w:rsid w:val="008C72D9"/>
    <w:rsid w:val="008C7F2E"/>
    <w:rsid w:val="008D2BE5"/>
    <w:rsid w:val="008D7CF1"/>
    <w:rsid w:val="008E00C7"/>
    <w:rsid w:val="008E217B"/>
    <w:rsid w:val="008E252A"/>
    <w:rsid w:val="008E37C8"/>
    <w:rsid w:val="008E6A02"/>
    <w:rsid w:val="008F133F"/>
    <w:rsid w:val="008F3A3E"/>
    <w:rsid w:val="008F59BF"/>
    <w:rsid w:val="008F6DBD"/>
    <w:rsid w:val="008F7B4E"/>
    <w:rsid w:val="00900658"/>
    <w:rsid w:val="0090117E"/>
    <w:rsid w:val="00904375"/>
    <w:rsid w:val="0090438D"/>
    <w:rsid w:val="0090624D"/>
    <w:rsid w:val="009068E5"/>
    <w:rsid w:val="0091028E"/>
    <w:rsid w:val="00910539"/>
    <w:rsid w:val="0091084F"/>
    <w:rsid w:val="009108F9"/>
    <w:rsid w:val="00910FA6"/>
    <w:rsid w:val="00912436"/>
    <w:rsid w:val="009149E5"/>
    <w:rsid w:val="0091500E"/>
    <w:rsid w:val="00917DCF"/>
    <w:rsid w:val="00920E9A"/>
    <w:rsid w:val="00921002"/>
    <w:rsid w:val="00922092"/>
    <w:rsid w:val="00922E18"/>
    <w:rsid w:val="009231DD"/>
    <w:rsid w:val="00924739"/>
    <w:rsid w:val="0092487F"/>
    <w:rsid w:val="00924969"/>
    <w:rsid w:val="009262EA"/>
    <w:rsid w:val="009316E2"/>
    <w:rsid w:val="00931D7F"/>
    <w:rsid w:val="00931E4F"/>
    <w:rsid w:val="00932C8E"/>
    <w:rsid w:val="009344C8"/>
    <w:rsid w:val="009357EE"/>
    <w:rsid w:val="00937A82"/>
    <w:rsid w:val="009402D8"/>
    <w:rsid w:val="00941D76"/>
    <w:rsid w:val="00942779"/>
    <w:rsid w:val="009461E6"/>
    <w:rsid w:val="00946C10"/>
    <w:rsid w:val="00947558"/>
    <w:rsid w:val="00952A3D"/>
    <w:rsid w:val="00953A36"/>
    <w:rsid w:val="0096078E"/>
    <w:rsid w:val="009610A4"/>
    <w:rsid w:val="00962DB8"/>
    <w:rsid w:val="00962ED2"/>
    <w:rsid w:val="00966D46"/>
    <w:rsid w:val="00970BEE"/>
    <w:rsid w:val="00971059"/>
    <w:rsid w:val="009721F1"/>
    <w:rsid w:val="00972513"/>
    <w:rsid w:val="00977AC2"/>
    <w:rsid w:val="00982CE7"/>
    <w:rsid w:val="0098353D"/>
    <w:rsid w:val="0098725A"/>
    <w:rsid w:val="0098728D"/>
    <w:rsid w:val="00990719"/>
    <w:rsid w:val="00992535"/>
    <w:rsid w:val="009935EF"/>
    <w:rsid w:val="00993EEE"/>
    <w:rsid w:val="00994798"/>
    <w:rsid w:val="00994ADD"/>
    <w:rsid w:val="009A2C06"/>
    <w:rsid w:val="009A3BA8"/>
    <w:rsid w:val="009A7EEC"/>
    <w:rsid w:val="009B0602"/>
    <w:rsid w:val="009B2F59"/>
    <w:rsid w:val="009B30A6"/>
    <w:rsid w:val="009B7010"/>
    <w:rsid w:val="009B704C"/>
    <w:rsid w:val="009B7D27"/>
    <w:rsid w:val="009C0631"/>
    <w:rsid w:val="009C102F"/>
    <w:rsid w:val="009C4B14"/>
    <w:rsid w:val="009C4D24"/>
    <w:rsid w:val="009C5C96"/>
    <w:rsid w:val="009D13FD"/>
    <w:rsid w:val="009E0B79"/>
    <w:rsid w:val="009E206F"/>
    <w:rsid w:val="009E281B"/>
    <w:rsid w:val="009E313E"/>
    <w:rsid w:val="009E4746"/>
    <w:rsid w:val="009F229D"/>
    <w:rsid w:val="009F2C76"/>
    <w:rsid w:val="009F57CF"/>
    <w:rsid w:val="009F6BB5"/>
    <w:rsid w:val="009F72CC"/>
    <w:rsid w:val="009F7E92"/>
    <w:rsid w:val="00A00EEB"/>
    <w:rsid w:val="00A04CDE"/>
    <w:rsid w:val="00A05253"/>
    <w:rsid w:val="00A07FFE"/>
    <w:rsid w:val="00A10382"/>
    <w:rsid w:val="00A1084A"/>
    <w:rsid w:val="00A1186A"/>
    <w:rsid w:val="00A1207B"/>
    <w:rsid w:val="00A14BAC"/>
    <w:rsid w:val="00A16D8F"/>
    <w:rsid w:val="00A237C7"/>
    <w:rsid w:val="00A30651"/>
    <w:rsid w:val="00A314AC"/>
    <w:rsid w:val="00A33287"/>
    <w:rsid w:val="00A3408C"/>
    <w:rsid w:val="00A36C7D"/>
    <w:rsid w:val="00A37698"/>
    <w:rsid w:val="00A40C23"/>
    <w:rsid w:val="00A42350"/>
    <w:rsid w:val="00A440D1"/>
    <w:rsid w:val="00A4509D"/>
    <w:rsid w:val="00A459A1"/>
    <w:rsid w:val="00A501B7"/>
    <w:rsid w:val="00A519AC"/>
    <w:rsid w:val="00A67BD8"/>
    <w:rsid w:val="00A67D6F"/>
    <w:rsid w:val="00A73E1A"/>
    <w:rsid w:val="00A73F42"/>
    <w:rsid w:val="00A74133"/>
    <w:rsid w:val="00A75506"/>
    <w:rsid w:val="00A819C2"/>
    <w:rsid w:val="00A842C9"/>
    <w:rsid w:val="00A855A7"/>
    <w:rsid w:val="00A855EF"/>
    <w:rsid w:val="00A86A3B"/>
    <w:rsid w:val="00A87207"/>
    <w:rsid w:val="00A92FDD"/>
    <w:rsid w:val="00A93719"/>
    <w:rsid w:val="00A949C1"/>
    <w:rsid w:val="00A9640D"/>
    <w:rsid w:val="00A97DDA"/>
    <w:rsid w:val="00AA0522"/>
    <w:rsid w:val="00AA1894"/>
    <w:rsid w:val="00AA1C2A"/>
    <w:rsid w:val="00AA2A77"/>
    <w:rsid w:val="00AA370B"/>
    <w:rsid w:val="00AA4DC8"/>
    <w:rsid w:val="00AA4E60"/>
    <w:rsid w:val="00AA5809"/>
    <w:rsid w:val="00AA5966"/>
    <w:rsid w:val="00AA74B6"/>
    <w:rsid w:val="00AA7A6F"/>
    <w:rsid w:val="00AB05BE"/>
    <w:rsid w:val="00AB17C9"/>
    <w:rsid w:val="00AB4F8F"/>
    <w:rsid w:val="00AB5369"/>
    <w:rsid w:val="00AB66C4"/>
    <w:rsid w:val="00AB71D8"/>
    <w:rsid w:val="00AB7EB1"/>
    <w:rsid w:val="00AC31E5"/>
    <w:rsid w:val="00AC321E"/>
    <w:rsid w:val="00AC37DA"/>
    <w:rsid w:val="00AC5E7C"/>
    <w:rsid w:val="00AC7883"/>
    <w:rsid w:val="00AD0206"/>
    <w:rsid w:val="00AD0855"/>
    <w:rsid w:val="00AD6B36"/>
    <w:rsid w:val="00AE4594"/>
    <w:rsid w:val="00AE4B81"/>
    <w:rsid w:val="00AF088C"/>
    <w:rsid w:val="00AF196B"/>
    <w:rsid w:val="00AF242B"/>
    <w:rsid w:val="00AF29AA"/>
    <w:rsid w:val="00AF2B43"/>
    <w:rsid w:val="00AF2BF1"/>
    <w:rsid w:val="00AF4B9A"/>
    <w:rsid w:val="00AF787D"/>
    <w:rsid w:val="00B018BA"/>
    <w:rsid w:val="00B0289E"/>
    <w:rsid w:val="00B05562"/>
    <w:rsid w:val="00B100B5"/>
    <w:rsid w:val="00B10526"/>
    <w:rsid w:val="00B117BD"/>
    <w:rsid w:val="00B13965"/>
    <w:rsid w:val="00B17842"/>
    <w:rsid w:val="00B20849"/>
    <w:rsid w:val="00B21CA1"/>
    <w:rsid w:val="00B22AC4"/>
    <w:rsid w:val="00B22D3C"/>
    <w:rsid w:val="00B26A7B"/>
    <w:rsid w:val="00B277CE"/>
    <w:rsid w:val="00B332D8"/>
    <w:rsid w:val="00B33D03"/>
    <w:rsid w:val="00B3559D"/>
    <w:rsid w:val="00B363CD"/>
    <w:rsid w:val="00B36497"/>
    <w:rsid w:val="00B37640"/>
    <w:rsid w:val="00B3796A"/>
    <w:rsid w:val="00B37B0A"/>
    <w:rsid w:val="00B403F9"/>
    <w:rsid w:val="00B40AC1"/>
    <w:rsid w:val="00B41CF4"/>
    <w:rsid w:val="00B42605"/>
    <w:rsid w:val="00B44223"/>
    <w:rsid w:val="00B44277"/>
    <w:rsid w:val="00B45AD5"/>
    <w:rsid w:val="00B4797F"/>
    <w:rsid w:val="00B50767"/>
    <w:rsid w:val="00B50858"/>
    <w:rsid w:val="00B54F58"/>
    <w:rsid w:val="00B55A92"/>
    <w:rsid w:val="00B61018"/>
    <w:rsid w:val="00B644D1"/>
    <w:rsid w:val="00B66E7E"/>
    <w:rsid w:val="00B67432"/>
    <w:rsid w:val="00B74CBD"/>
    <w:rsid w:val="00B74DDA"/>
    <w:rsid w:val="00B76961"/>
    <w:rsid w:val="00B77B41"/>
    <w:rsid w:val="00B80311"/>
    <w:rsid w:val="00B81CF6"/>
    <w:rsid w:val="00B843B8"/>
    <w:rsid w:val="00B85341"/>
    <w:rsid w:val="00B8615C"/>
    <w:rsid w:val="00B86971"/>
    <w:rsid w:val="00B9299E"/>
    <w:rsid w:val="00B9482E"/>
    <w:rsid w:val="00B94CC7"/>
    <w:rsid w:val="00B94E27"/>
    <w:rsid w:val="00B95931"/>
    <w:rsid w:val="00B96F36"/>
    <w:rsid w:val="00B97F53"/>
    <w:rsid w:val="00BA2CA2"/>
    <w:rsid w:val="00BA54C7"/>
    <w:rsid w:val="00BA55CF"/>
    <w:rsid w:val="00BB49EA"/>
    <w:rsid w:val="00BB4EBE"/>
    <w:rsid w:val="00BB6242"/>
    <w:rsid w:val="00BB63E8"/>
    <w:rsid w:val="00BB6509"/>
    <w:rsid w:val="00BC0253"/>
    <w:rsid w:val="00BC088F"/>
    <w:rsid w:val="00BC3FA0"/>
    <w:rsid w:val="00BC4839"/>
    <w:rsid w:val="00BC7897"/>
    <w:rsid w:val="00BD2BC2"/>
    <w:rsid w:val="00BD3D3A"/>
    <w:rsid w:val="00BD470C"/>
    <w:rsid w:val="00BD4EF9"/>
    <w:rsid w:val="00BD6EC5"/>
    <w:rsid w:val="00BD6F72"/>
    <w:rsid w:val="00BE12F5"/>
    <w:rsid w:val="00BE2928"/>
    <w:rsid w:val="00BE42A6"/>
    <w:rsid w:val="00BE5F70"/>
    <w:rsid w:val="00BE6347"/>
    <w:rsid w:val="00BF1BE6"/>
    <w:rsid w:val="00BF2D85"/>
    <w:rsid w:val="00BF3FB0"/>
    <w:rsid w:val="00BF3FDD"/>
    <w:rsid w:val="00BF5CA0"/>
    <w:rsid w:val="00C005E9"/>
    <w:rsid w:val="00C008D8"/>
    <w:rsid w:val="00C02451"/>
    <w:rsid w:val="00C058FC"/>
    <w:rsid w:val="00C059C9"/>
    <w:rsid w:val="00C05DE9"/>
    <w:rsid w:val="00C07B2B"/>
    <w:rsid w:val="00C10091"/>
    <w:rsid w:val="00C14BDE"/>
    <w:rsid w:val="00C164D6"/>
    <w:rsid w:val="00C16567"/>
    <w:rsid w:val="00C20D38"/>
    <w:rsid w:val="00C2455C"/>
    <w:rsid w:val="00C26003"/>
    <w:rsid w:val="00C26477"/>
    <w:rsid w:val="00C32BE2"/>
    <w:rsid w:val="00C3382F"/>
    <w:rsid w:val="00C363CC"/>
    <w:rsid w:val="00C37E42"/>
    <w:rsid w:val="00C41FCC"/>
    <w:rsid w:val="00C42878"/>
    <w:rsid w:val="00C44989"/>
    <w:rsid w:val="00C449D7"/>
    <w:rsid w:val="00C5027C"/>
    <w:rsid w:val="00C50614"/>
    <w:rsid w:val="00C552A6"/>
    <w:rsid w:val="00C55966"/>
    <w:rsid w:val="00C564B7"/>
    <w:rsid w:val="00C60B87"/>
    <w:rsid w:val="00C60BD1"/>
    <w:rsid w:val="00C64447"/>
    <w:rsid w:val="00C664EA"/>
    <w:rsid w:val="00C67B34"/>
    <w:rsid w:val="00C702A1"/>
    <w:rsid w:val="00C77DFC"/>
    <w:rsid w:val="00C80019"/>
    <w:rsid w:val="00C8316B"/>
    <w:rsid w:val="00C83CBD"/>
    <w:rsid w:val="00C8474A"/>
    <w:rsid w:val="00C868CB"/>
    <w:rsid w:val="00C918BF"/>
    <w:rsid w:val="00C91CFC"/>
    <w:rsid w:val="00C926FA"/>
    <w:rsid w:val="00C92F76"/>
    <w:rsid w:val="00C93646"/>
    <w:rsid w:val="00C93FB8"/>
    <w:rsid w:val="00C95236"/>
    <w:rsid w:val="00C95FCA"/>
    <w:rsid w:val="00CA370E"/>
    <w:rsid w:val="00CA41D6"/>
    <w:rsid w:val="00CA4429"/>
    <w:rsid w:val="00CA4C73"/>
    <w:rsid w:val="00CB0B3C"/>
    <w:rsid w:val="00CB1282"/>
    <w:rsid w:val="00CB21E7"/>
    <w:rsid w:val="00CB32A4"/>
    <w:rsid w:val="00CB54D7"/>
    <w:rsid w:val="00CB702E"/>
    <w:rsid w:val="00CC0FB7"/>
    <w:rsid w:val="00CC4E85"/>
    <w:rsid w:val="00CC5303"/>
    <w:rsid w:val="00CD0C46"/>
    <w:rsid w:val="00CD3E02"/>
    <w:rsid w:val="00CD4ACE"/>
    <w:rsid w:val="00CE05D0"/>
    <w:rsid w:val="00CE2BDB"/>
    <w:rsid w:val="00CF01CA"/>
    <w:rsid w:val="00CF1F46"/>
    <w:rsid w:val="00CF28AE"/>
    <w:rsid w:val="00CF75FD"/>
    <w:rsid w:val="00D01699"/>
    <w:rsid w:val="00D0348F"/>
    <w:rsid w:val="00D047EC"/>
    <w:rsid w:val="00D05B1F"/>
    <w:rsid w:val="00D06258"/>
    <w:rsid w:val="00D1040F"/>
    <w:rsid w:val="00D11DD4"/>
    <w:rsid w:val="00D11EEC"/>
    <w:rsid w:val="00D13A98"/>
    <w:rsid w:val="00D16212"/>
    <w:rsid w:val="00D16E0D"/>
    <w:rsid w:val="00D21C13"/>
    <w:rsid w:val="00D22E00"/>
    <w:rsid w:val="00D265BA"/>
    <w:rsid w:val="00D271F8"/>
    <w:rsid w:val="00D34386"/>
    <w:rsid w:val="00D3590A"/>
    <w:rsid w:val="00D35FD7"/>
    <w:rsid w:val="00D41759"/>
    <w:rsid w:val="00D41BE5"/>
    <w:rsid w:val="00D526D3"/>
    <w:rsid w:val="00D5285A"/>
    <w:rsid w:val="00D60060"/>
    <w:rsid w:val="00D61877"/>
    <w:rsid w:val="00D627CA"/>
    <w:rsid w:val="00D64123"/>
    <w:rsid w:val="00D65CC3"/>
    <w:rsid w:val="00D65ED2"/>
    <w:rsid w:val="00D67D19"/>
    <w:rsid w:val="00D72AA2"/>
    <w:rsid w:val="00D77043"/>
    <w:rsid w:val="00D7770F"/>
    <w:rsid w:val="00D77FEE"/>
    <w:rsid w:val="00D82D07"/>
    <w:rsid w:val="00D85921"/>
    <w:rsid w:val="00D916D6"/>
    <w:rsid w:val="00D965ED"/>
    <w:rsid w:val="00D97D5D"/>
    <w:rsid w:val="00DA1EFD"/>
    <w:rsid w:val="00DA3028"/>
    <w:rsid w:val="00DA3511"/>
    <w:rsid w:val="00DA3EEA"/>
    <w:rsid w:val="00DA46B8"/>
    <w:rsid w:val="00DA63A7"/>
    <w:rsid w:val="00DA7221"/>
    <w:rsid w:val="00DC0346"/>
    <w:rsid w:val="00DC3BA3"/>
    <w:rsid w:val="00DC6BE9"/>
    <w:rsid w:val="00DC7B6B"/>
    <w:rsid w:val="00DD4409"/>
    <w:rsid w:val="00DD6426"/>
    <w:rsid w:val="00DD7D80"/>
    <w:rsid w:val="00DE01CC"/>
    <w:rsid w:val="00DE0976"/>
    <w:rsid w:val="00DE2B2D"/>
    <w:rsid w:val="00DE4976"/>
    <w:rsid w:val="00DF01BA"/>
    <w:rsid w:val="00DF3549"/>
    <w:rsid w:val="00DF5736"/>
    <w:rsid w:val="00DF5B7D"/>
    <w:rsid w:val="00DF5F0A"/>
    <w:rsid w:val="00DF7266"/>
    <w:rsid w:val="00DF7831"/>
    <w:rsid w:val="00DF7ABF"/>
    <w:rsid w:val="00E026F4"/>
    <w:rsid w:val="00E02836"/>
    <w:rsid w:val="00E0337F"/>
    <w:rsid w:val="00E0449F"/>
    <w:rsid w:val="00E06D99"/>
    <w:rsid w:val="00E154E1"/>
    <w:rsid w:val="00E15542"/>
    <w:rsid w:val="00E16CB8"/>
    <w:rsid w:val="00E216B2"/>
    <w:rsid w:val="00E24014"/>
    <w:rsid w:val="00E24C68"/>
    <w:rsid w:val="00E3071D"/>
    <w:rsid w:val="00E31F2C"/>
    <w:rsid w:val="00E37273"/>
    <w:rsid w:val="00E40BDA"/>
    <w:rsid w:val="00E41600"/>
    <w:rsid w:val="00E42CD9"/>
    <w:rsid w:val="00E43CB1"/>
    <w:rsid w:val="00E43FFC"/>
    <w:rsid w:val="00E44600"/>
    <w:rsid w:val="00E47592"/>
    <w:rsid w:val="00E50F2E"/>
    <w:rsid w:val="00E51759"/>
    <w:rsid w:val="00E5318D"/>
    <w:rsid w:val="00E56021"/>
    <w:rsid w:val="00E5607A"/>
    <w:rsid w:val="00E57247"/>
    <w:rsid w:val="00E62242"/>
    <w:rsid w:val="00E66AED"/>
    <w:rsid w:val="00E67606"/>
    <w:rsid w:val="00E701EB"/>
    <w:rsid w:val="00E714C5"/>
    <w:rsid w:val="00E71AA6"/>
    <w:rsid w:val="00E73567"/>
    <w:rsid w:val="00E756A0"/>
    <w:rsid w:val="00E76BF9"/>
    <w:rsid w:val="00E7743C"/>
    <w:rsid w:val="00E8487A"/>
    <w:rsid w:val="00E84D04"/>
    <w:rsid w:val="00E90C0C"/>
    <w:rsid w:val="00E92A9A"/>
    <w:rsid w:val="00E97137"/>
    <w:rsid w:val="00E97CF7"/>
    <w:rsid w:val="00EA1437"/>
    <w:rsid w:val="00EA22F2"/>
    <w:rsid w:val="00EA287E"/>
    <w:rsid w:val="00EA3A6E"/>
    <w:rsid w:val="00EA476C"/>
    <w:rsid w:val="00EA5BE2"/>
    <w:rsid w:val="00EA7594"/>
    <w:rsid w:val="00EB0D34"/>
    <w:rsid w:val="00EB22F4"/>
    <w:rsid w:val="00EB2710"/>
    <w:rsid w:val="00EB29C0"/>
    <w:rsid w:val="00EB45AD"/>
    <w:rsid w:val="00EB4F5C"/>
    <w:rsid w:val="00EC0A3D"/>
    <w:rsid w:val="00EC7BB6"/>
    <w:rsid w:val="00ED709D"/>
    <w:rsid w:val="00ED7410"/>
    <w:rsid w:val="00EE24F7"/>
    <w:rsid w:val="00EE636D"/>
    <w:rsid w:val="00EE6E16"/>
    <w:rsid w:val="00EE7922"/>
    <w:rsid w:val="00EF0432"/>
    <w:rsid w:val="00EF05A1"/>
    <w:rsid w:val="00EF1374"/>
    <w:rsid w:val="00EF1F9F"/>
    <w:rsid w:val="00EF3782"/>
    <w:rsid w:val="00EF3B47"/>
    <w:rsid w:val="00EF503D"/>
    <w:rsid w:val="00F00F17"/>
    <w:rsid w:val="00F027E0"/>
    <w:rsid w:val="00F028C7"/>
    <w:rsid w:val="00F0498B"/>
    <w:rsid w:val="00F05003"/>
    <w:rsid w:val="00F10916"/>
    <w:rsid w:val="00F111B3"/>
    <w:rsid w:val="00F1232E"/>
    <w:rsid w:val="00F15ABA"/>
    <w:rsid w:val="00F20497"/>
    <w:rsid w:val="00F2185C"/>
    <w:rsid w:val="00F22C9E"/>
    <w:rsid w:val="00F23F4E"/>
    <w:rsid w:val="00F26BE7"/>
    <w:rsid w:val="00F30333"/>
    <w:rsid w:val="00F31E25"/>
    <w:rsid w:val="00F321CB"/>
    <w:rsid w:val="00F34BDA"/>
    <w:rsid w:val="00F360A3"/>
    <w:rsid w:val="00F362A3"/>
    <w:rsid w:val="00F3630C"/>
    <w:rsid w:val="00F37522"/>
    <w:rsid w:val="00F4185C"/>
    <w:rsid w:val="00F431D8"/>
    <w:rsid w:val="00F44058"/>
    <w:rsid w:val="00F444D8"/>
    <w:rsid w:val="00F52EAC"/>
    <w:rsid w:val="00F53D11"/>
    <w:rsid w:val="00F553F9"/>
    <w:rsid w:val="00F555F6"/>
    <w:rsid w:val="00F57551"/>
    <w:rsid w:val="00F576ED"/>
    <w:rsid w:val="00F60EF8"/>
    <w:rsid w:val="00F62A72"/>
    <w:rsid w:val="00F63FCA"/>
    <w:rsid w:val="00F655ED"/>
    <w:rsid w:val="00F71CBF"/>
    <w:rsid w:val="00F71E0B"/>
    <w:rsid w:val="00F74D7F"/>
    <w:rsid w:val="00F7502E"/>
    <w:rsid w:val="00F84C0B"/>
    <w:rsid w:val="00F8550C"/>
    <w:rsid w:val="00F913A2"/>
    <w:rsid w:val="00F917CC"/>
    <w:rsid w:val="00F92D30"/>
    <w:rsid w:val="00F92DF9"/>
    <w:rsid w:val="00F93465"/>
    <w:rsid w:val="00F936B7"/>
    <w:rsid w:val="00F939F1"/>
    <w:rsid w:val="00F959E0"/>
    <w:rsid w:val="00F97EA8"/>
    <w:rsid w:val="00FA1DFD"/>
    <w:rsid w:val="00FA2884"/>
    <w:rsid w:val="00FB0EF6"/>
    <w:rsid w:val="00FB215A"/>
    <w:rsid w:val="00FB2834"/>
    <w:rsid w:val="00FB3943"/>
    <w:rsid w:val="00FB6F32"/>
    <w:rsid w:val="00FB7A41"/>
    <w:rsid w:val="00FC0BC1"/>
    <w:rsid w:val="00FC19F6"/>
    <w:rsid w:val="00FC47A2"/>
    <w:rsid w:val="00FC4AB5"/>
    <w:rsid w:val="00FC68E4"/>
    <w:rsid w:val="00FD7543"/>
    <w:rsid w:val="00FD7F3F"/>
    <w:rsid w:val="00FE098B"/>
    <w:rsid w:val="00FE1F41"/>
    <w:rsid w:val="00FF0F0D"/>
    <w:rsid w:val="00FF0F45"/>
    <w:rsid w:val="00FF2C0A"/>
    <w:rsid w:val="00FF798E"/>
    <w:rsid w:val="00FF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4C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5E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3CC"/>
    <w:rPr>
      <w:color w:val="808080"/>
    </w:rPr>
  </w:style>
  <w:style w:type="paragraph" w:styleId="BalloonText">
    <w:name w:val="Balloon Text"/>
    <w:basedOn w:val="Normal"/>
    <w:link w:val="BalloonTextChar"/>
    <w:uiPriority w:val="99"/>
    <w:semiHidden/>
    <w:unhideWhenUsed/>
    <w:rsid w:val="00C36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CC"/>
    <w:rPr>
      <w:rFonts w:ascii="Tahoma" w:hAnsi="Tahoma" w:cs="Tahoma"/>
      <w:sz w:val="16"/>
      <w:szCs w:val="16"/>
    </w:rPr>
  </w:style>
  <w:style w:type="character" w:customStyle="1" w:styleId="Heading1Char">
    <w:name w:val="Heading 1 Char"/>
    <w:basedOn w:val="DefaultParagraphFont"/>
    <w:link w:val="Heading1"/>
    <w:uiPriority w:val="9"/>
    <w:rsid w:val="006E4C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4C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5EC9"/>
    <w:rPr>
      <w:rFonts w:asciiTheme="majorHAnsi" w:eastAsiaTheme="majorEastAsia" w:hAnsiTheme="majorHAnsi" w:cstheme="majorBidi"/>
      <w:b/>
      <w:bCs/>
      <w:color w:val="4F81BD" w:themeColor="accent1"/>
    </w:rPr>
  </w:style>
  <w:style w:type="table" w:styleId="TableGrid">
    <w:name w:val="Table Grid"/>
    <w:basedOn w:val="TableNormal"/>
    <w:uiPriority w:val="59"/>
    <w:rsid w:val="00655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F71E0B"/>
    <w:pPr>
      <w:spacing w:after="24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4C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5E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3CC"/>
    <w:rPr>
      <w:color w:val="808080"/>
    </w:rPr>
  </w:style>
  <w:style w:type="paragraph" w:styleId="BalloonText">
    <w:name w:val="Balloon Text"/>
    <w:basedOn w:val="Normal"/>
    <w:link w:val="BalloonTextChar"/>
    <w:uiPriority w:val="99"/>
    <w:semiHidden/>
    <w:unhideWhenUsed/>
    <w:rsid w:val="00C36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CC"/>
    <w:rPr>
      <w:rFonts w:ascii="Tahoma" w:hAnsi="Tahoma" w:cs="Tahoma"/>
      <w:sz w:val="16"/>
      <w:szCs w:val="16"/>
    </w:rPr>
  </w:style>
  <w:style w:type="character" w:customStyle="1" w:styleId="Heading1Char">
    <w:name w:val="Heading 1 Char"/>
    <w:basedOn w:val="DefaultParagraphFont"/>
    <w:link w:val="Heading1"/>
    <w:uiPriority w:val="9"/>
    <w:rsid w:val="006E4C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4C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5EC9"/>
    <w:rPr>
      <w:rFonts w:asciiTheme="majorHAnsi" w:eastAsiaTheme="majorEastAsia" w:hAnsiTheme="majorHAnsi" w:cstheme="majorBidi"/>
      <w:b/>
      <w:bCs/>
      <w:color w:val="4F81BD" w:themeColor="accent1"/>
    </w:rPr>
  </w:style>
  <w:style w:type="table" w:styleId="TableGrid">
    <w:name w:val="Table Grid"/>
    <w:basedOn w:val="TableNormal"/>
    <w:uiPriority w:val="59"/>
    <w:rsid w:val="00655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F71E0B"/>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Series1</c:v>
          </c:tx>
          <c:spPr>
            <a:solidFill>
              <a:srgbClr val="4F81BD"/>
            </a:solidFill>
            <a:ln>
              <a:noFill/>
            </a:ln>
          </c:spPr>
          <c:invertIfNegative val="0"/>
          <c:cat>
            <c:strLit>
              <c:ptCount val="20"/>
              <c:pt idx="0">
                <c:v>0</c:v>
              </c:pt>
              <c:pt idx="1">
                <c:v>0.05</c:v>
              </c:pt>
              <c:pt idx="2">
                <c:v>0.1</c:v>
              </c:pt>
              <c:pt idx="3">
                <c:v>0.15</c:v>
              </c:pt>
              <c:pt idx="4">
                <c:v>0.2</c:v>
              </c:pt>
              <c:pt idx="5">
                <c:v>0.25</c:v>
              </c:pt>
              <c:pt idx="6">
                <c:v>.3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strLit>
          </c:cat>
          <c:val>
            <c:numLit>
              <c:formatCode>General</c:formatCode>
              <c:ptCount val="20"/>
              <c:pt idx="0">
                <c:v>0</c:v>
              </c:pt>
              <c:pt idx="1">
                <c:v>0</c:v>
              </c:pt>
              <c:pt idx="2">
                <c:v>7</c:v>
              </c:pt>
              <c:pt idx="3">
                <c:v>13</c:v>
              </c:pt>
              <c:pt idx="4">
                <c:v>18</c:v>
              </c:pt>
              <c:pt idx="5">
                <c:v>28</c:v>
              </c:pt>
              <c:pt idx="6">
                <c:v>12</c:v>
              </c:pt>
              <c:pt idx="7">
                <c:v>0</c:v>
              </c:pt>
              <c:pt idx="8">
                <c:v>1</c:v>
              </c:pt>
              <c:pt idx="9">
                <c:v>0</c:v>
              </c:pt>
              <c:pt idx="10">
                <c:v>0</c:v>
              </c:pt>
              <c:pt idx="11">
                <c:v>0</c:v>
              </c:pt>
              <c:pt idx="12">
                <c:v>0</c:v>
              </c:pt>
              <c:pt idx="13">
                <c:v>3</c:v>
              </c:pt>
              <c:pt idx="14">
                <c:v>0</c:v>
              </c:pt>
              <c:pt idx="15">
                <c:v>1</c:v>
              </c:pt>
              <c:pt idx="16">
                <c:v>1</c:v>
              </c:pt>
              <c:pt idx="17">
                <c:v>0</c:v>
              </c:pt>
              <c:pt idx="18">
                <c:v>0</c:v>
              </c:pt>
              <c:pt idx="19">
                <c:v>1</c:v>
              </c:pt>
            </c:numLit>
          </c:val>
        </c:ser>
        <c:dLbls>
          <c:showLegendKey val="0"/>
          <c:showVal val="0"/>
          <c:showCatName val="0"/>
          <c:showSerName val="0"/>
          <c:showPercent val="0"/>
          <c:showBubbleSize val="0"/>
        </c:dLbls>
        <c:gapWidth val="150"/>
        <c:axId val="200144384"/>
        <c:axId val="241525312"/>
      </c:barChart>
      <c:valAx>
        <c:axId val="241525312"/>
        <c:scaling>
          <c:orientation val="minMax"/>
        </c:scaling>
        <c:delete val="0"/>
        <c:axPos val="l"/>
        <c:majorGridlines>
          <c:spPr>
            <a:ln w="9528">
              <a:solidFill>
                <a:srgbClr val="868686"/>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lang="en-US" sz="1000" b="1" i="0" u="none" strike="noStrike" kern="1200" baseline="0">
                    <a:solidFill>
                      <a:srgbClr val="000000"/>
                    </a:solidFill>
                    <a:latin typeface="Calibri"/>
                  </a:defRPr>
                </a:pPr>
                <a:r>
                  <a:rPr lang="en-US" sz="1000" b="1" i="0" u="none" strike="noStrike" kern="1200" cap="none" spc="0" baseline="0">
                    <a:solidFill>
                      <a:srgbClr val="000000"/>
                    </a:solidFill>
                    <a:uFillTx/>
                    <a:latin typeface="Calibri"/>
                    <a:ea typeface="+mn-ea"/>
                    <a:cs typeface="+mn-cs"/>
                  </a:rPr>
                  <a:t>Number of sequences</a:t>
                </a:r>
              </a:p>
            </c:rich>
          </c:tx>
          <c:overlay val="0"/>
          <c:spPr>
            <a:noFill/>
            <a:ln>
              <a:noFill/>
            </a:ln>
          </c:spPr>
        </c:title>
        <c:numFmt formatCode="General" sourceLinked="0"/>
        <c:majorTickMark val="out"/>
        <c:minorTickMark val="none"/>
        <c:tickLblPos val="nextTo"/>
        <c:spPr>
          <a:noFill/>
          <a:ln w="9528">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crossAx val="200144384"/>
        <c:crosses val="autoZero"/>
        <c:crossBetween val="between"/>
      </c:valAx>
      <c:catAx>
        <c:axId val="200144384"/>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lang="en-US" sz="1000" b="1" i="0" u="none" strike="noStrike" kern="1200" baseline="0">
                    <a:solidFill>
                      <a:srgbClr val="000000"/>
                    </a:solidFill>
                    <a:latin typeface="Calibri"/>
                  </a:defRPr>
                </a:pPr>
                <a:r>
                  <a:rPr lang="en-US" sz="1000" b="1" i="0" u="none" strike="noStrike" kern="1200" cap="none" spc="0" baseline="0">
                    <a:solidFill>
                      <a:srgbClr val="000000"/>
                    </a:solidFill>
                    <a:uFillTx/>
                    <a:latin typeface="Calibri"/>
                    <a:ea typeface="+mn-ea"/>
                    <a:cs typeface="+mn-cs"/>
                  </a:rPr>
                  <a:t>Fraction identical</a:t>
                </a:r>
              </a:p>
            </c:rich>
          </c:tx>
          <c:overlay val="0"/>
          <c:spPr>
            <a:noFill/>
            <a:ln>
              <a:noFill/>
            </a:ln>
          </c:spPr>
        </c:title>
        <c:numFmt formatCode="General" sourceLinked="0"/>
        <c:majorTickMark val="out"/>
        <c:minorTickMark val="none"/>
        <c:tickLblPos val="nextTo"/>
        <c:spPr>
          <a:noFill/>
          <a:ln w="9528">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crossAx val="241525312"/>
        <c:crosses val="autoZero"/>
        <c:auto val="1"/>
        <c:lblAlgn val="ctr"/>
        <c:lblOffset val="100"/>
        <c:noMultiLvlLbl val="0"/>
      </c:catAx>
      <c:spPr>
        <a:solidFill>
          <a:srgbClr val="FFFFFF"/>
        </a:solidFill>
        <a:ln>
          <a:noFill/>
        </a:ln>
      </c:spPr>
    </c:plotArea>
    <c:plotVisOnly val="1"/>
    <c:dispBlanksAs val="gap"/>
    <c:showDLblsOverMax val="0"/>
  </c:chart>
  <c:spPr>
    <a:solidFill>
      <a:srgbClr val="FFFFFF"/>
    </a:solidFill>
    <a:ln w="9528">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FCA67-83DC-4169-9837-806F32BC9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12541</Words>
  <Characters>71484</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106</cp:revision>
  <cp:lastPrinted>2012-12-13T20:31:00Z</cp:lastPrinted>
  <dcterms:created xsi:type="dcterms:W3CDTF">2012-12-13T21:09:00Z</dcterms:created>
  <dcterms:modified xsi:type="dcterms:W3CDTF">2012-12-13T21:32:00Z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id="uf4hpTeq"/&gt;&lt;style id="http://www.zotero.org/styles/cell" hasBibliography="1" bibliographyStyleHasBeenSet="1"/&gt;&lt;prefs&gt;&lt;pref name="fieldType" value="Field"/&gt;&lt;pref name="storeReferences" value="tr</vt:lpwstr>
  </property>
  <property fmtid="{D5CDD505-2E9C-101B-9397-08002B2CF9AE}" pid="3" name="ZOTERO_PREF_2">
    <vt:lpwstr>ue"/&gt;&lt;pref name="noteType" value="0"/&gt;&lt;/prefs&gt;&lt;/data&gt;</vt:lpwstr>
  </property>
</Properties>
</file>