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B3B" w:rsidRPr="004B2B3B" w:rsidRDefault="004B2B3B" w:rsidP="004B2B3B">
      <w:r>
        <w:t>Definitions.</w:t>
      </w:r>
    </w:p>
    <w:p w:rsidR="0070295E" w:rsidRDefault="0070295E">
      <w:pPr>
        <w:rPr>
          <w:rFonts w:eastAsiaTheme="minorEastAsia"/>
        </w:rPr>
      </w:pPr>
      <w:r w:rsidRPr="0070295E">
        <w:rPr>
          <w:rFonts w:ascii="Cambria Math" w:eastAsiaTheme="minorEastAsia" w:hAnsi="Cambria Math"/>
          <w:i/>
        </w:rPr>
        <w:t>F</w:t>
      </w:r>
      <w:r w:rsidRPr="0070295E">
        <w:rPr>
          <w:rFonts w:ascii="Cambria Math" w:eastAsiaTheme="minorEastAsia" w:hAnsi="Cambria Math"/>
          <w:i/>
          <w:vertAlign w:val="subscript"/>
        </w:rPr>
        <w:t>i</w:t>
      </w:r>
      <w:r>
        <w:rPr>
          <w:rFonts w:ascii="Cambria Math" w:eastAsiaTheme="minorEastAsia" w:hAnsi="Cambria Math"/>
          <w:i/>
          <w:vertAlign w:val="subscript"/>
        </w:rPr>
        <w:t xml:space="preserve"> </w:t>
      </w:r>
      <w:r w:rsidRPr="0070295E">
        <w:rPr>
          <w:rFonts w:ascii="Cambria Math" w:eastAsiaTheme="minorEastAsia" w:hAnsi="Cambria Math"/>
        </w:rPr>
        <w:t>:</w:t>
      </w:r>
      <w:r>
        <w:rPr>
          <w:rFonts w:eastAsiaTheme="minorEastAsia"/>
        </w:rPr>
        <w:t xml:space="preserve"> number of occurances of amino acid </w:t>
      </w:r>
      <w:r>
        <w:rPr>
          <w:rFonts w:eastAsiaTheme="minorEastAsia"/>
          <w:i/>
        </w:rPr>
        <w:t>i</w:t>
      </w:r>
    </w:p>
    <w:p w:rsidR="0070295E" w:rsidRDefault="0070295E">
      <w:pPr>
        <w:rPr>
          <w:rFonts w:eastAsiaTheme="minorEastAsia" w:cstheme="minorHAnsi"/>
          <w:i/>
        </w:rPr>
      </w:pPr>
      <w:r>
        <w:rPr>
          <w:rFonts w:ascii="Cambria Math" w:eastAsiaTheme="minorEastAsia" w:hAnsi="Cambria Math"/>
          <w:i/>
        </w:rPr>
        <w:t>A</w:t>
      </w:r>
      <w:r>
        <w:rPr>
          <w:rFonts w:ascii="Cambria Math" w:eastAsiaTheme="minorEastAsia" w:hAnsi="Cambria Math"/>
          <w:i/>
        </w:rPr>
        <w:softHyphen/>
      </w:r>
      <w:r>
        <w:rPr>
          <w:rFonts w:ascii="Cambria Math" w:eastAsiaTheme="minorEastAsia" w:hAnsi="Cambria Math"/>
          <w:i/>
          <w:vertAlign w:val="subscript"/>
        </w:rPr>
        <w:t>ij</w:t>
      </w:r>
      <w:r>
        <w:rPr>
          <w:rFonts w:ascii="Cambria Math" w:eastAsiaTheme="minorEastAsia" w:hAnsi="Cambria Math"/>
          <w:i/>
        </w:rPr>
        <w:t xml:space="preserve"> </w:t>
      </w:r>
      <w:r>
        <w:rPr>
          <w:rFonts w:eastAsiaTheme="minorEastAsia" w:cstheme="minorHAnsi"/>
        </w:rPr>
        <w:t xml:space="preserve">: Number of occurances of the mutation pair of amino acids </w:t>
      </w:r>
      <w:r>
        <w:rPr>
          <w:rFonts w:eastAsiaTheme="minorEastAsia" w:cstheme="minorHAnsi"/>
          <w:i/>
        </w:rPr>
        <w:t>i</w:t>
      </w:r>
      <w:r>
        <w:rPr>
          <w:rFonts w:eastAsiaTheme="minorEastAsia" w:cstheme="minorHAnsi"/>
        </w:rPr>
        <w:t xml:space="preserve"> and </w:t>
      </w:r>
      <w:r>
        <w:rPr>
          <w:rFonts w:eastAsiaTheme="minorEastAsia" w:cstheme="minorHAnsi"/>
          <w:i/>
        </w:rPr>
        <w:t>j</w:t>
      </w:r>
    </w:p>
    <w:p w:rsidR="00B524CB" w:rsidRPr="00B524CB" w:rsidRDefault="009D63AF" w:rsidP="00B524CB">
      <w:r>
        <w:t>Relative frequency: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524CB" w:rsidTr="00B524CB">
        <w:tc>
          <w:tcPr>
            <w:tcW w:w="4788" w:type="dxa"/>
          </w:tcPr>
          <w:p w:rsidR="00B524CB" w:rsidRDefault="00B524CB" w:rsidP="00B524C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≡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4788" w:type="dxa"/>
          </w:tcPr>
          <w:p w:rsidR="00B524CB" w:rsidRDefault="00B524CB" w:rsidP="00B524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(d1)</w:t>
            </w:r>
          </w:p>
        </w:tc>
      </w:tr>
    </w:tbl>
    <w:p w:rsidR="004E0C59" w:rsidRPr="00270704" w:rsidRDefault="004E0C59" w:rsidP="00B524CB">
      <w:pPr>
        <w:jc w:val="center"/>
        <w:rPr>
          <w:rFonts w:eastAsiaTheme="minorEastAsia"/>
        </w:rPr>
      </w:pPr>
    </w:p>
    <w:p w:rsidR="00270704" w:rsidRDefault="00270704" w:rsidP="009D63AF">
      <w:pPr>
        <w:rPr>
          <w:rFonts w:eastAsiaTheme="minorEastAsia"/>
        </w:rPr>
      </w:pPr>
      <w:r>
        <w:rPr>
          <w:rFonts w:eastAsiaTheme="minorEastAsia"/>
        </w:rPr>
        <w:t>Mutability: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7344"/>
        <w:gridCol w:w="1728"/>
      </w:tblGrid>
      <w:tr w:rsidR="00D63FBE" w:rsidTr="00D63FBE">
        <w:tc>
          <w:tcPr>
            <w:tcW w:w="7344" w:type="dxa"/>
            <w:tcBorders>
              <w:top w:val="nil"/>
              <w:left w:val="nil"/>
              <w:bottom w:val="nil"/>
              <w:right w:val="nil"/>
            </w:tcBorders>
          </w:tcPr>
          <w:p w:rsidR="00D63FBE" w:rsidRDefault="00D63FBE" w:rsidP="004558C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∝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j≠i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D63FBE" w:rsidRDefault="004558CD" w:rsidP="009D63AF">
            <w:r>
              <w:t>(d2)</w:t>
            </w:r>
          </w:p>
        </w:tc>
      </w:tr>
    </w:tbl>
    <w:p w:rsidR="00D63FBE" w:rsidRPr="0070295E" w:rsidRDefault="00D63FBE" w:rsidP="009D63AF"/>
    <w:p w:rsidR="00731366" w:rsidRDefault="00731366" w:rsidP="00731366">
      <w:pPr>
        <w:rPr>
          <w:rFonts w:eastAsiaTheme="minorEastAsia"/>
        </w:rPr>
      </w:pPr>
      <w:r>
        <w:rPr>
          <w:rFonts w:eastAsiaTheme="minorEastAsia"/>
        </w:rPr>
        <w:t>Mutation probability: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85D5E" w:rsidTr="00485D5E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5D5E" w:rsidRPr="004B2B3B" w:rsidRDefault="00485D5E" w:rsidP="00485D5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∀i≠j: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≡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k≠j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kj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  <w:p w:rsidR="00485D5E" w:rsidRDefault="00485D5E" w:rsidP="00485D5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jj</m:t>
                    </m:r>
                  </m:sub>
                </m:sSub>
                <m:r>
                  <w:rPr>
                    <w:rFonts w:ascii="Cambria Math" w:hAnsi="Cambria Math"/>
                  </w:rPr>
                  <m:t>≡1-λ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  <w:p w:rsidR="00485D5E" w:rsidRDefault="00485D5E" w:rsidP="00485D5E">
            <w:pPr>
              <w:jc w:val="center"/>
              <w:rPr>
                <w:rFonts w:eastAsiaTheme="minorEastAsia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5D5E" w:rsidRDefault="00485D5E" w:rsidP="007313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(d3)</w:t>
            </w:r>
          </w:p>
        </w:tc>
      </w:tr>
    </w:tbl>
    <w:p w:rsidR="00485D5E" w:rsidRPr="00C632E8" w:rsidRDefault="00485D5E" w:rsidP="00731366">
      <w:pPr>
        <w:rPr>
          <w:rFonts w:eastAsiaTheme="minorEastAsia"/>
        </w:rPr>
      </w:pPr>
    </w:p>
    <w:p w:rsidR="00C632E8" w:rsidRDefault="00546CE5">
      <w:r>
        <w:t xml:space="preserve">Okay. M_ij is actually an interesting and roundabout way of writing the </w:t>
      </w:r>
      <w:r w:rsidR="005A48A8">
        <w:t>M</w:t>
      </w:r>
      <w:r w:rsidR="00EE7FFD">
        <w:t xml:space="preserve">arkovian transition probability, </w:t>
      </w:r>
      <w:r w:rsidR="00EE7FFD">
        <w:rPr>
          <w:i/>
        </w:rPr>
        <w:t>from</w:t>
      </w:r>
      <w:r w:rsidR="00EE7FFD">
        <w:t xml:space="preserve"> j </w:t>
      </w:r>
      <w:r w:rsidR="00EE7FFD">
        <w:rPr>
          <w:i/>
        </w:rPr>
        <w:t>to</w:t>
      </w:r>
      <w:r w:rsidR="00EE7FFD">
        <w:t xml:space="preserve"> 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96124" w:rsidTr="009F74E0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96124" w:rsidRPr="001249F4" w:rsidRDefault="00E96124" w:rsidP="001249F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∃λ:λ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≠j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=j</m:t>
                    </m:r>
                  </m:e>
                </m:d>
              </m:oMath>
            </m:oMathPara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96124" w:rsidRDefault="00E96124" w:rsidP="00E96124">
            <w:pPr>
              <w:jc w:val="center"/>
            </w:pPr>
            <w:r>
              <w:t>(1)</w:t>
            </w:r>
          </w:p>
        </w:tc>
      </w:tr>
      <w:tr w:rsidR="009F74E0" w:rsidTr="009F74E0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4E0" w:rsidRDefault="009F74E0" w:rsidP="009F74E0">
            <w:pPr>
              <w:jc w:val="center"/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4E0" w:rsidRDefault="009F74E0"/>
        </w:tc>
      </w:tr>
      <w:tr w:rsidR="009F74E0" w:rsidTr="009F74E0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4E0" w:rsidRPr="009F74E0" w:rsidRDefault="009F74E0" w:rsidP="009F74E0">
            <w:pPr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=i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≠j∧X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=j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k≠j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jk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4E0" w:rsidRDefault="009F74E0" w:rsidP="000C0E31">
            <w:pPr>
              <w:jc w:val="center"/>
            </w:pPr>
            <w:r>
              <w:t>(2)</w:t>
            </w:r>
          </w:p>
        </w:tc>
      </w:tr>
    </w:tbl>
    <w:p w:rsidR="00E96124" w:rsidRPr="00EE7FFD" w:rsidRDefault="00E96124"/>
    <w:p w:rsidR="001300E4" w:rsidRDefault="00416E04">
      <w:pPr>
        <w:rPr>
          <w:rFonts w:eastAsiaTheme="minorEastAsia"/>
        </w:rPr>
      </w:pPr>
      <w:r>
        <w:rPr>
          <w:rFonts w:eastAsiaTheme="minorEastAsia"/>
        </w:rPr>
        <w:t xml:space="preserve">The above equation: "assuming that it does mutate from being </w:t>
      </w:r>
      <w:r>
        <w:rPr>
          <w:rFonts w:eastAsiaTheme="minorEastAsia"/>
          <w:i/>
        </w:rPr>
        <w:t>j</w:t>
      </w:r>
      <w:r>
        <w:rPr>
          <w:rFonts w:eastAsiaTheme="minorEastAsia"/>
        </w:rPr>
        <w:t>, out of all the things</w:t>
      </w:r>
      <w:r w:rsidR="00C774FC">
        <w:rPr>
          <w:rFonts w:eastAsiaTheme="minorEastAsia"/>
        </w:rPr>
        <w:t xml:space="preserve"> it could become, what's the probability that it ends up as </w:t>
      </w:r>
      <w:r w:rsidR="00C774FC">
        <w:rPr>
          <w:rFonts w:eastAsiaTheme="minorEastAsia"/>
          <w:i/>
        </w:rPr>
        <w:t>i</w:t>
      </w:r>
      <w:r w:rsidR="00C774FC">
        <w:rPr>
          <w:rFonts w:eastAsiaTheme="minorEastAsia"/>
        </w:rPr>
        <w:t>?"</w:t>
      </w:r>
      <w:r w:rsidR="001300E4">
        <w:rPr>
          <w:rFonts w:eastAsiaTheme="minorEastAsia"/>
        </w:rPr>
        <w:t xml:space="preserve"> </w:t>
      </w:r>
    </w:p>
    <w:p w:rsidR="0072245A" w:rsidRPr="001D21B4" w:rsidRDefault="0072245A" w:rsidP="001300E4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=i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=j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=i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≠j∧X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=j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×P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≠j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=j</m:t>
            </m:r>
          </m:e>
        </m:d>
      </m:oMath>
      <w:r w:rsidR="00D53AE9">
        <w:rPr>
          <w:rFonts w:eastAsiaTheme="minorEastAsia"/>
        </w:rPr>
        <w:t xml:space="preserve"> </w:t>
      </w:r>
      <w:r w:rsidR="006326BB">
        <w:rPr>
          <w:rFonts w:eastAsiaTheme="minorEastAsia"/>
        </w:rPr>
        <w:t xml:space="preserve">   </w:t>
      </w:r>
      <w:r w:rsidR="00D53AE9">
        <w:rPr>
          <w:rFonts w:eastAsiaTheme="minorEastAsia"/>
        </w:rPr>
        <w:t>(3)</w:t>
      </w:r>
    </w:p>
    <w:p w:rsidR="00083A8F" w:rsidRDefault="00083A8F">
      <w:pPr>
        <w:rPr>
          <w:rFonts w:eastAsiaTheme="minorEastAsia"/>
        </w:rPr>
      </w:pPr>
    </w:p>
    <w:p w:rsidR="001D21B4" w:rsidRDefault="00083A8F">
      <w:pPr>
        <w:rPr>
          <w:rFonts w:eastAsiaTheme="minorEastAsia"/>
        </w:rPr>
      </w:pPr>
      <w:r>
        <w:rPr>
          <w:rFonts w:eastAsiaTheme="minorEastAsia"/>
        </w:rPr>
        <w:t xml:space="preserve">Substituting </w:t>
      </w:r>
      <w:r w:rsidR="004F4CEE">
        <w:rPr>
          <w:rFonts w:eastAsiaTheme="minorEastAsia"/>
        </w:rPr>
        <w:t>(1) and (2)</w:t>
      </w:r>
      <w:r>
        <w:rPr>
          <w:rFonts w:eastAsiaTheme="minorEastAsia"/>
        </w:rPr>
        <w:t xml:space="preserve"> into (3):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5541D" w:rsidTr="0055541D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541D" w:rsidRDefault="0055541D" w:rsidP="0055541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k≠j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jk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r>
                  <w:rPr>
                    <w:rFonts w:ascii="Cambria Math" w:eastAsiaTheme="minorEastAsia" w:hAnsi="Cambria Math"/>
                  </w:rPr>
                  <m:t>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6504" w:rsidRDefault="00A8215D" w:rsidP="001F650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(3)</w:t>
            </w:r>
          </w:p>
        </w:tc>
      </w:tr>
    </w:tbl>
    <w:p w:rsidR="001F6504" w:rsidRDefault="006313B0">
      <w:pPr>
        <w:rPr>
          <w:rFonts w:eastAsiaTheme="minorEastAsia"/>
        </w:rPr>
      </w:pPr>
      <w:r>
        <w:rPr>
          <w:rFonts w:eastAsiaTheme="minorEastAsia"/>
        </w:rPr>
        <w:t xml:space="preserve">That's not </w:t>
      </w:r>
      <w:r>
        <w:rPr>
          <w:rFonts w:eastAsiaTheme="minorEastAsia"/>
          <w:i/>
        </w:rPr>
        <w:t>quite</w:t>
      </w:r>
      <w:r>
        <w:rPr>
          <w:rFonts w:eastAsiaTheme="minorEastAsia"/>
        </w:rPr>
        <w:t xml:space="preserve"> d3; it's got the subscripts on the A's switched.</w:t>
      </w:r>
      <w:r w:rsidR="00A942B5">
        <w:rPr>
          <w:rFonts w:eastAsiaTheme="minorEastAsia"/>
        </w:rPr>
        <w:t xml:space="preserve"> However,</w:t>
      </w:r>
      <w:r w:rsidR="007B3AF8">
        <w:rPr>
          <w:rFonts w:eastAsiaTheme="minorEastAsia"/>
        </w:rPr>
        <w:t xml:space="preserve"> in Dayhoff</w:t>
      </w:r>
      <w:r w:rsidR="00605361">
        <w:rPr>
          <w:rFonts w:eastAsiaTheme="minorEastAsia"/>
        </w:rPr>
        <w:t>/Scwartz/Orcutt</w:t>
      </w:r>
      <w:r w:rsidR="007B3AF8">
        <w:rPr>
          <w:rFonts w:eastAsiaTheme="minorEastAsia"/>
        </w:rPr>
        <w:t>:</w:t>
      </w:r>
    </w:p>
    <w:p w:rsidR="00605361" w:rsidRDefault="00605361">
      <w:pPr>
        <w:rPr>
          <w:rFonts w:eastAsiaTheme="minorEastAsia"/>
          <w:i/>
        </w:rPr>
      </w:pPr>
      <w:r>
        <w:rPr>
          <w:rFonts w:eastAsiaTheme="minorEastAsia"/>
          <w:i/>
        </w:rPr>
        <w:t>"</w:t>
      </w:r>
      <w:r w:rsidR="00447354">
        <w:rPr>
          <w:rFonts w:eastAsiaTheme="minorEastAsia"/>
          <w:i/>
        </w:rPr>
        <w:t>We have assumed that the likelihood of amino acid X replacing Y is the same as that of Y replacing X..."</w:t>
      </w:r>
    </w:p>
    <w:p w:rsidR="00447354" w:rsidRDefault="00C56674">
      <w:pPr>
        <w:rPr>
          <w:rFonts w:eastAsiaTheme="minorEastAsia"/>
        </w:rPr>
      </w:pPr>
      <w:r>
        <w:rPr>
          <w:rFonts w:eastAsiaTheme="minorEastAsia"/>
        </w:rPr>
        <w:lastRenderedPageBreak/>
        <w:t>In the notation of the proba</w:t>
      </w:r>
      <w:r w:rsidR="00611854">
        <w:rPr>
          <w:rFonts w:eastAsiaTheme="minorEastAsia"/>
        </w:rPr>
        <w:t xml:space="preserve">bility calculus, this means that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7571F" w:rsidTr="0057571F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571F" w:rsidRPr="00E30EBD" w:rsidRDefault="0057571F" w:rsidP="0057571F">
            <w:pPr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=i∧X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=j</m:t>
                    </m:r>
                  </m:e>
                </m:d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=P[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=i∧X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=j]</m:t>
                </m:r>
              </m:oMath>
            </m:oMathPara>
          </w:p>
          <w:p w:rsidR="0057571F" w:rsidRDefault="0057571F" w:rsidP="0057571F">
            <w:pPr>
              <w:rPr>
                <w:rFonts w:eastAsiaTheme="minorEastAsia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571F" w:rsidRDefault="0057571F" w:rsidP="005757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(4)</w:t>
            </w:r>
          </w:p>
        </w:tc>
      </w:tr>
    </w:tbl>
    <w:p w:rsidR="00E30EBD" w:rsidRDefault="00E30EBD">
      <w:pPr>
        <w:rPr>
          <w:rFonts w:eastAsiaTheme="minorEastAsia"/>
        </w:rPr>
      </w:pPr>
      <w:r>
        <w:rPr>
          <w:rFonts w:eastAsiaTheme="minorEastAsia"/>
        </w:rPr>
        <w:t>And in Dayhoff et. al's notation: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B7463" w:rsidTr="00EB7463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7463" w:rsidRDefault="00EB7463" w:rsidP="00EB746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ji</m:t>
                    </m:r>
                  </m:sub>
                </m:sSub>
              </m:oMath>
            </m:oMathPara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7463" w:rsidRDefault="00EB7463" w:rsidP="00EB74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(5)</w:t>
            </w:r>
          </w:p>
        </w:tc>
      </w:tr>
    </w:tbl>
    <w:p w:rsidR="003462C4" w:rsidRDefault="003462C4">
      <w:pPr>
        <w:rPr>
          <w:rFonts w:eastAsiaTheme="minorEastAsia"/>
        </w:rPr>
      </w:pPr>
      <w:r>
        <w:rPr>
          <w:rFonts w:eastAsiaTheme="minorEastAsia"/>
        </w:rPr>
        <w:t xml:space="preserve">So using a specification of </w:t>
      </w:r>
      <w:r w:rsidR="00027027">
        <w:rPr>
          <w:rFonts w:eastAsiaTheme="minorEastAsia"/>
        </w:rPr>
        <w:t>(</w:t>
      </w:r>
      <w:r>
        <w:rPr>
          <w:rFonts w:eastAsiaTheme="minorEastAsia"/>
        </w:rPr>
        <w:t>5</w:t>
      </w:r>
      <w:r w:rsidR="00027027">
        <w:rPr>
          <w:rFonts w:eastAsiaTheme="minorEastAsia"/>
        </w:rPr>
        <w:t>)</w:t>
      </w:r>
      <w:r>
        <w:rPr>
          <w:rFonts w:eastAsiaTheme="minorEastAsia"/>
        </w:rPr>
        <w:t xml:space="preserve"> to sub into </w:t>
      </w:r>
      <w:r w:rsidR="00027027">
        <w:rPr>
          <w:rFonts w:eastAsiaTheme="minorEastAsia"/>
        </w:rPr>
        <w:t>(</w:t>
      </w:r>
      <w:r>
        <w:rPr>
          <w:rFonts w:eastAsiaTheme="minorEastAsia"/>
        </w:rPr>
        <w:t>3</w:t>
      </w:r>
      <w:r w:rsidR="00027027">
        <w:rPr>
          <w:rFonts w:eastAsiaTheme="minorEastAsia"/>
        </w:rPr>
        <w:t>)</w:t>
      </w:r>
      <w:r>
        <w:rPr>
          <w:rFonts w:eastAsiaTheme="minorEastAsia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D1B26" w:rsidTr="003D1B26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D1B26" w:rsidRDefault="003D1B26" w:rsidP="00F86801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k≠j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kj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D1B26" w:rsidRDefault="00C84F99" w:rsidP="00C84F9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(6)</w:t>
            </w:r>
          </w:p>
        </w:tc>
      </w:tr>
    </w:tbl>
    <w:p w:rsidR="003D1B26" w:rsidRDefault="003D1B26">
      <w:pPr>
        <w:rPr>
          <w:rFonts w:eastAsiaTheme="minorEastAsia"/>
        </w:rPr>
      </w:pPr>
    </w:p>
    <w:p w:rsidR="00DC31A5" w:rsidRDefault="00AD2BAB">
      <w:pPr>
        <w:rPr>
          <w:rFonts w:eastAsiaTheme="minorEastAsia"/>
        </w:rPr>
      </w:pPr>
      <w:r>
        <w:rPr>
          <w:rFonts w:eastAsiaTheme="minorEastAsia"/>
        </w:rPr>
        <w:t xml:space="preserve">And there ya go. </w:t>
      </w:r>
      <w:r w:rsidR="00CE4FB8">
        <w:rPr>
          <w:rFonts w:eastAsiaTheme="minorEastAsia"/>
        </w:rPr>
        <w:t>p_ji should be read "probability that j mutates into i". M_ij should be read</w:t>
      </w:r>
      <w:r w:rsidR="0072245A">
        <w:rPr>
          <w:rFonts w:eastAsiaTheme="minorEastAsia"/>
        </w:rPr>
        <w:t xml:space="preserve"> "probabilty that i replaces j".</w:t>
      </w:r>
    </w:p>
    <w:p w:rsidR="00DC31A5" w:rsidRDefault="00DC31A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C31A5" w:rsidRDefault="000642C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consequence of this rearrangement is that </w:t>
      </w:r>
      <w:r w:rsidR="00652FBE">
        <w:rPr>
          <w:rFonts w:eastAsiaTheme="minorEastAsia"/>
          <w:i/>
        </w:rPr>
        <w:t>M</w:t>
      </w:r>
      <w:r w:rsidR="00652FBE">
        <w:rPr>
          <w:rFonts w:eastAsiaTheme="minorEastAsia"/>
        </w:rPr>
        <w:t xml:space="preserve"> is column-stochastic, and you right-multiply </w:t>
      </w:r>
      <w:r w:rsidR="00BB0FC4">
        <w:rPr>
          <w:rFonts w:eastAsiaTheme="minorEastAsia"/>
        </w:rPr>
        <w:t>to update a probability distribution.</w:t>
      </w:r>
    </w:p>
    <w:p w:rsidR="005E695E" w:rsidRDefault="005E695E">
      <w:pPr>
        <w:rPr>
          <w:rFonts w:eastAsiaTheme="minorEastAsia"/>
        </w:rPr>
      </w:pPr>
      <w:r>
        <w:rPr>
          <w:rFonts w:eastAsiaTheme="minorEastAsia"/>
        </w:rPr>
        <w:t>Column stochasticity: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E695E" w:rsidTr="005E695E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695E" w:rsidRDefault="00145860" w:rsidP="005E695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∀i: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695E" w:rsidRDefault="00271435" w:rsidP="002714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(7)</w:t>
            </w:r>
          </w:p>
        </w:tc>
      </w:tr>
    </w:tbl>
    <w:p w:rsidR="005E695E" w:rsidRDefault="00376CE9">
      <w:pPr>
        <w:rPr>
          <w:rFonts w:eastAsiaTheme="minorEastAsia"/>
        </w:rPr>
      </w:pPr>
      <w:r>
        <w:rPr>
          <w:rFonts w:eastAsiaTheme="minorEastAsia"/>
        </w:rPr>
        <w:t xml:space="preserve">So if u is the uniform </w:t>
      </w:r>
      <w:r w:rsidR="00803ADC">
        <w:rPr>
          <w:rFonts w:eastAsiaTheme="minorEastAsia"/>
        </w:rPr>
        <w:t>distribution,</w:t>
      </w:r>
      <w:r w:rsidR="00940BBC">
        <w:rPr>
          <w:rFonts w:eastAsiaTheme="minorEastAsia"/>
        </w:rPr>
        <w:t xml:space="preserve"> left multiplication gets you: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F23C4" w:rsidTr="00DF23C4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F23C4" w:rsidRDefault="00DF23C4" w:rsidP="00DF23C4">
            <w:pPr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M=</m:t>
                </m:r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F23C4" w:rsidRDefault="006076CA" w:rsidP="006076C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(8)</w:t>
            </w:r>
          </w:p>
        </w:tc>
      </w:tr>
    </w:tbl>
    <w:p w:rsidR="00DF23C4" w:rsidRDefault="00FF0941">
      <w:pPr>
        <w:rPr>
          <w:rFonts w:eastAsiaTheme="minorEastAsia"/>
        </w:rPr>
      </w:pPr>
      <w:r>
        <w:rPr>
          <w:rFonts w:eastAsiaTheme="minorEastAsia"/>
        </w:rPr>
        <w:t xml:space="preserve">So when I'm trying to find steady states, I need to make sure that I'm calculating </w:t>
      </w:r>
      <w:r>
        <w:rPr>
          <w:rFonts w:eastAsiaTheme="minorEastAsia"/>
          <w:i/>
        </w:rPr>
        <w:t>right</w:t>
      </w:r>
      <w:r>
        <w:rPr>
          <w:rFonts w:eastAsiaTheme="minorEastAsia"/>
        </w:rPr>
        <w:t xml:space="preserve"> eigenvectors, since if I calculate </w:t>
      </w:r>
      <w:r>
        <w:rPr>
          <w:rFonts w:eastAsiaTheme="minorEastAsia"/>
          <w:i/>
        </w:rPr>
        <w:t>left</w:t>
      </w:r>
      <w:r>
        <w:rPr>
          <w:rFonts w:eastAsiaTheme="minorEastAsia"/>
        </w:rPr>
        <w:t xml:space="preserve"> eigenvectors, I'll just get the uniform distribution.</w:t>
      </w:r>
    </w:p>
    <w:p w:rsidR="00CE1AE9" w:rsidRDefault="00394940">
      <w:pPr>
        <w:rPr>
          <w:rFonts w:eastAsiaTheme="minorEastAsia"/>
        </w:rPr>
      </w:pPr>
      <w:r>
        <w:rPr>
          <w:rFonts w:eastAsiaTheme="minorEastAsia"/>
        </w:rPr>
        <w:t>So, updates are on the right.</w:t>
      </w:r>
      <w:r w:rsidR="00402E39">
        <w:rPr>
          <w:rFonts w:eastAsiaTheme="minorEastAsia"/>
        </w:rPr>
        <w:t xml:space="preserve"> Dayhoff says of the assumption that </w:t>
      </w:r>
      <w:r w:rsidR="00EB281A">
        <w:rPr>
          <w:rFonts w:eastAsiaTheme="minorEastAsia"/>
        </w:rPr>
        <w:t xml:space="preserve">mutation frequencies are the same in either direction </w:t>
      </w:r>
      <w:r w:rsidR="00057894">
        <w:rPr>
          <w:rFonts w:eastAsiaTheme="minorEastAsia"/>
        </w:rPr>
        <w:t>(</w:t>
      </w:r>
      <w:r w:rsidR="00891331">
        <w:rPr>
          <w:rFonts w:eastAsiaTheme="minorEastAsia"/>
        </w:rPr>
        <w:t xml:space="preserve">why's it an assumption, </w:t>
      </w:r>
      <w:r w:rsidR="00057894">
        <w:rPr>
          <w:rFonts w:eastAsiaTheme="minorEastAsia"/>
        </w:rPr>
        <w:t>can't she check this by looking at her trees?)</w:t>
      </w:r>
      <w:r w:rsidR="00891331">
        <w:rPr>
          <w:rFonts w:eastAsiaTheme="minorEastAsia"/>
        </w:rPr>
        <w:t xml:space="preserve"> </w:t>
      </w:r>
      <w:r w:rsidR="007D17F1">
        <w:rPr>
          <w:rFonts w:eastAsiaTheme="minorEastAsia"/>
        </w:rPr>
        <w:t xml:space="preserve">that </w:t>
      </w:r>
      <w:r w:rsidR="00A93B91">
        <w:rPr>
          <w:rFonts w:eastAsiaTheme="minorEastAsia"/>
        </w:rPr>
        <w:t>"as a consequence of this assumption, no change in amino acid frequencies over evolutionary distance will be detected".</w:t>
      </w:r>
      <w:r w:rsidR="00E23C1F">
        <w:rPr>
          <w:rFonts w:eastAsiaTheme="minorEastAsia"/>
        </w:rPr>
        <w:t xml:space="preserve"> You're just as likely to observe a transition from cysteine to alanine as you are a transition from </w:t>
      </w:r>
      <w:r w:rsidR="00E105E2">
        <w:rPr>
          <w:rFonts w:eastAsiaTheme="minorEastAsia"/>
        </w:rPr>
        <w:t>alanine to cysteine; the alanines come as often as they go</w:t>
      </w:r>
      <w:r w:rsidR="001C7249">
        <w:rPr>
          <w:rFonts w:eastAsiaTheme="minorEastAsia"/>
        </w:rPr>
        <w:t xml:space="preserve"> in their exchanges with cysteine</w:t>
      </w:r>
      <w:r w:rsidR="00915E6A">
        <w:rPr>
          <w:rFonts w:eastAsiaTheme="minorEastAsia"/>
        </w:rPr>
        <w:t xml:space="preserve">, and with everything else, so </w:t>
      </w:r>
      <w:r w:rsidR="0065050C">
        <w:rPr>
          <w:rFonts w:eastAsiaTheme="minorEastAsia"/>
        </w:rPr>
        <w:t>the frequency stays constant.</w:t>
      </w:r>
      <w:r w:rsidR="00166CFB">
        <w:rPr>
          <w:rFonts w:eastAsiaTheme="minorEastAsia"/>
        </w:rPr>
        <w:t xml:space="preserve"> </w:t>
      </w:r>
    </w:p>
    <w:p w:rsidR="00DD6994" w:rsidRDefault="00DD6994">
      <w:pPr>
        <w:rPr>
          <w:rFonts w:eastAsiaTheme="minorEastAsia"/>
        </w:rPr>
      </w:pPr>
      <w:r>
        <w:rPr>
          <w:rFonts w:eastAsiaTheme="minorEastAsia"/>
        </w:rPr>
        <w:t xml:space="preserve">Does this mean that </w:t>
      </w:r>
      <w:r w:rsidR="00870720">
        <w:rPr>
          <w:rFonts w:eastAsiaTheme="minorEastAsia"/>
          <w:i/>
        </w:rPr>
        <w:t>all</w:t>
      </w:r>
      <w:r w:rsidR="00870720">
        <w:rPr>
          <w:rFonts w:eastAsiaTheme="minorEastAsia"/>
        </w:rPr>
        <w:t xml:space="preserve"> distributions are stationary distributions? No. </w:t>
      </w:r>
      <w:r w:rsidR="001B45D1">
        <w:rPr>
          <w:rFonts w:eastAsiaTheme="minorEastAsia"/>
        </w:rPr>
        <w:t xml:space="preserve">There's only one frequency distribution for which we know A_ij = A_ji holds. </w:t>
      </w:r>
      <w:r w:rsidR="00401A40">
        <w:rPr>
          <w:rFonts w:eastAsiaTheme="minorEastAsia"/>
        </w:rPr>
        <w:t xml:space="preserve">A_ij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P[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=j∧X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=i]</m:t>
        </m:r>
      </m:oMath>
      <w:r w:rsidR="00401A40">
        <w:rPr>
          <w:rFonts w:eastAsiaTheme="minorEastAsia"/>
        </w:rPr>
        <w:t xml:space="preserve">. This depends upon the initial distribution,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=i</m:t>
                </m:r>
              </m:e>
            </m:d>
          </m:e>
        </m:d>
      </m:oMath>
      <w:r w:rsidR="00787AC2">
        <w:rPr>
          <w:rFonts w:eastAsiaTheme="minorEastAsia"/>
        </w:rPr>
        <w:t xml:space="preserve"> for each i. </w:t>
      </w:r>
      <w:r w:rsidR="001B59BA">
        <w:rPr>
          <w:rFonts w:eastAsiaTheme="minorEastAsia"/>
        </w:rPr>
        <w:t xml:space="preserve">For example, </w:t>
      </w:r>
      <w:r w:rsidR="006A4900">
        <w:rPr>
          <w:rFonts w:eastAsiaTheme="minorEastAsia"/>
        </w:rPr>
        <w:t xml:space="preserve">if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=i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6A4900">
        <w:rPr>
          <w:rFonts w:eastAsiaTheme="minorEastAsia"/>
        </w:rPr>
        <w:t>, then A_ij as I've defined it is zero</w:t>
      </w:r>
      <w:r w:rsidR="007D717E">
        <w:rPr>
          <w:rFonts w:eastAsiaTheme="minorEastAsia"/>
        </w:rPr>
        <w:t>, or A_ji if you</w:t>
      </w:r>
      <w:r w:rsidR="00F6439C">
        <w:rPr>
          <w:rFonts w:eastAsiaTheme="minorEastAsia"/>
        </w:rPr>
        <w:t xml:space="preserve"> </w:t>
      </w:r>
      <w:r w:rsidR="007D717E">
        <w:rPr>
          <w:rFonts w:eastAsiaTheme="minorEastAsia"/>
        </w:rPr>
        <w:t xml:space="preserve">define it the other way, I </w:t>
      </w:r>
      <w:r w:rsidR="00E54BEF">
        <w:rPr>
          <w:rFonts w:eastAsiaTheme="minorEastAsia"/>
        </w:rPr>
        <w:t>haven't been careful about that since they're interchangable.</w:t>
      </w:r>
      <w:r w:rsidR="00B273D5">
        <w:rPr>
          <w:rFonts w:eastAsiaTheme="minorEastAsia"/>
        </w:rPr>
        <w:t xml:space="preserve"> But if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=i</m:t>
            </m:r>
          </m:e>
        </m:d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0</m:t>
        </m:r>
      </m:oMath>
      <w:r w:rsidR="00B273D5">
        <w:rPr>
          <w:rFonts w:eastAsiaTheme="minorEastAsia"/>
        </w:rPr>
        <w:t>, then A_ij may also not be equal to zero.</w:t>
      </w:r>
      <w:r w:rsidR="00126D81">
        <w:rPr>
          <w:rFonts w:eastAsiaTheme="minorEastAsia"/>
        </w:rPr>
        <w:t xml:space="preserve"> So, all this really means is that, as a consequence of the assumption, the </w:t>
      </w:r>
      <w:r w:rsidR="00126D81">
        <w:rPr>
          <w:rFonts w:eastAsiaTheme="minorEastAsia"/>
          <w:i/>
        </w:rPr>
        <w:t>initial</w:t>
      </w:r>
      <w:r w:rsidR="00126D81">
        <w:rPr>
          <w:rFonts w:eastAsiaTheme="minorEastAsia"/>
        </w:rPr>
        <w:t xml:space="preserve"> distribution is a stationary distribution.</w:t>
      </w:r>
    </w:p>
    <w:p w:rsidR="00126D81" w:rsidRDefault="00126D81">
      <w:pPr>
        <w:rPr>
          <w:rFonts w:eastAsiaTheme="minorEastAsia"/>
        </w:rPr>
      </w:pPr>
      <w:r>
        <w:rPr>
          <w:rFonts w:eastAsiaTheme="minorEastAsia"/>
        </w:rPr>
        <w:t>If the chain is totally connected</w:t>
      </w:r>
      <w:r w:rsidR="001207BD">
        <w:rPr>
          <w:rFonts w:eastAsiaTheme="minorEastAsia"/>
        </w:rPr>
        <w:t xml:space="preserve">, then there's only </w:t>
      </w:r>
      <w:r w:rsidR="001207BD">
        <w:rPr>
          <w:rFonts w:eastAsiaTheme="minorEastAsia"/>
          <w:i/>
        </w:rPr>
        <w:t>one</w:t>
      </w:r>
      <w:r w:rsidR="001207BD">
        <w:rPr>
          <w:rFonts w:eastAsiaTheme="minorEastAsia"/>
        </w:rPr>
        <w:t xml:space="preserve"> stationary distribution, and </w:t>
      </w:r>
      <w:r w:rsidR="002C2A65">
        <w:rPr>
          <w:rFonts w:eastAsiaTheme="minorEastAsia"/>
        </w:rPr>
        <w:t>I can recover the initial distribution just by finding the stationary distribution.</w:t>
      </w:r>
    </w:p>
    <w:p w:rsidR="00DE1D8A" w:rsidRDefault="00DE1D8A">
      <w:pPr>
        <w:rPr>
          <w:rFonts w:eastAsiaTheme="minorEastAsia"/>
        </w:rPr>
      </w:pPr>
      <w:r>
        <w:rPr>
          <w:rFonts w:eastAsiaTheme="minorEastAsia"/>
        </w:rPr>
        <w:t xml:space="preserve">So, if there's only one solution to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323DF" w:rsidTr="00A323DF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23DF" w:rsidRDefault="00A323DF" w:rsidP="00A323D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</m:t>
                </m:r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23DF" w:rsidRDefault="00A323DF" w:rsidP="00A323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(9)</w:t>
            </w:r>
          </w:p>
        </w:tc>
      </w:tr>
    </w:tbl>
    <w:p w:rsidR="00A323DF" w:rsidRDefault="001571AA">
      <w:pPr>
        <w:rPr>
          <w:rFonts w:eastAsiaTheme="minorEastAsia"/>
        </w:rPr>
      </w:pPr>
      <w:r>
        <w:rPr>
          <w:rFonts w:eastAsiaTheme="minorEastAsia"/>
        </w:rPr>
        <w:t>Then that solution is also the initial distribution.</w:t>
      </w:r>
    </w:p>
    <w:p w:rsidR="00736D9C" w:rsidRDefault="00736D9C">
      <w:pPr>
        <w:rPr>
          <w:rFonts w:eastAsiaTheme="minorEastAsia"/>
        </w:rPr>
      </w:pPr>
      <w:r>
        <w:rPr>
          <w:rFonts w:eastAsiaTheme="minorEastAsia"/>
        </w:rPr>
        <w:t>There are actually quite a lot of eigen</w:t>
      </w:r>
      <w:r w:rsidR="0007679B">
        <w:rPr>
          <w:rFonts w:eastAsiaTheme="minorEastAsia"/>
        </w:rPr>
        <w:t>vectors, corresponding to multiple eigenvalues, though.</w:t>
      </w:r>
    </w:p>
    <w:p w:rsidR="00ED0E27" w:rsidRPr="00ED0E27" w:rsidRDefault="00ED0E27" w:rsidP="00ED0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0E27">
        <w:rPr>
          <w:rFonts w:ascii="Courier New" w:eastAsia="Times New Roman" w:hAnsi="Courier New" w:cs="Courier New"/>
          <w:color w:val="808030"/>
          <w:sz w:val="20"/>
          <w:szCs w:val="20"/>
        </w:rPr>
        <w:t>&gt;&gt;&gt;</w:t>
      </w:r>
      <w:r w:rsidRPr="00ED0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ED0E2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ED0E27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ED0E2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ED0E27">
        <w:rPr>
          <w:rFonts w:ascii="Courier New" w:eastAsia="Times New Roman" w:hAnsi="Courier New" w:cs="Courier New"/>
          <w:color w:val="000000"/>
          <w:sz w:val="20"/>
          <w:szCs w:val="20"/>
        </w:rPr>
        <w:t>eigvals</w:t>
      </w:r>
      <w:r w:rsidRPr="00ED0E2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ED0E27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ED0E27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ED0E27" w:rsidRPr="00ED0E27" w:rsidRDefault="00ED0E27" w:rsidP="00ED0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0E27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ED0E27">
        <w:rPr>
          <w:rFonts w:ascii="Courier New" w:eastAsia="Times New Roman" w:hAnsi="Courier New" w:cs="Courier New"/>
          <w:color w:val="808030"/>
          <w:sz w:val="20"/>
          <w:szCs w:val="20"/>
        </w:rPr>
        <w:t>([</w:t>
      </w:r>
      <w:r w:rsidRPr="00ED0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D0E27">
        <w:rPr>
          <w:rFonts w:ascii="Courier New" w:eastAsia="Times New Roman" w:hAnsi="Courier New" w:cs="Courier New"/>
          <w:color w:val="008000"/>
          <w:sz w:val="20"/>
          <w:szCs w:val="20"/>
        </w:rPr>
        <w:t>0.97793781</w:t>
      </w:r>
      <w:r w:rsidRPr="00ED0E2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D0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D0E27">
        <w:rPr>
          <w:rFonts w:ascii="Courier New" w:eastAsia="Times New Roman" w:hAnsi="Courier New" w:cs="Courier New"/>
          <w:color w:val="008000"/>
          <w:sz w:val="20"/>
          <w:szCs w:val="20"/>
        </w:rPr>
        <w:t>0.98067686</w:t>
      </w:r>
      <w:r w:rsidRPr="00ED0E2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D0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D0E27">
        <w:rPr>
          <w:rFonts w:ascii="Courier New" w:eastAsia="Times New Roman" w:hAnsi="Courier New" w:cs="Courier New"/>
          <w:color w:val="008000"/>
          <w:sz w:val="20"/>
          <w:szCs w:val="20"/>
        </w:rPr>
        <w:t>1.0000356</w:t>
      </w:r>
      <w:r w:rsidRPr="00ED0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D0E2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D0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D0E27">
        <w:rPr>
          <w:rFonts w:ascii="Courier New" w:eastAsia="Times New Roman" w:hAnsi="Courier New" w:cs="Courier New"/>
          <w:color w:val="008000"/>
          <w:sz w:val="20"/>
          <w:szCs w:val="20"/>
        </w:rPr>
        <w:t>0.98255645</w:t>
      </w:r>
      <w:r w:rsidRPr="00ED0E2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D0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D0E27">
        <w:rPr>
          <w:rFonts w:ascii="Courier New" w:eastAsia="Times New Roman" w:hAnsi="Courier New" w:cs="Courier New"/>
          <w:color w:val="008000"/>
          <w:sz w:val="20"/>
          <w:szCs w:val="20"/>
        </w:rPr>
        <w:t>0.99764694</w:t>
      </w:r>
      <w:r w:rsidRPr="00ED0E2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:rsidR="00ED0E27" w:rsidRPr="00ED0E27" w:rsidRDefault="00ED0E27" w:rsidP="00ED0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0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D0E27">
        <w:rPr>
          <w:rFonts w:ascii="Courier New" w:eastAsia="Times New Roman" w:hAnsi="Courier New" w:cs="Courier New"/>
          <w:color w:val="008000"/>
          <w:sz w:val="20"/>
          <w:szCs w:val="20"/>
        </w:rPr>
        <w:t>0.98346459</w:t>
      </w:r>
      <w:r w:rsidRPr="00ED0E2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D0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D0E27">
        <w:rPr>
          <w:rFonts w:ascii="Courier New" w:eastAsia="Times New Roman" w:hAnsi="Courier New" w:cs="Courier New"/>
          <w:color w:val="008000"/>
          <w:sz w:val="20"/>
          <w:szCs w:val="20"/>
        </w:rPr>
        <w:t>0.99729766</w:t>
      </w:r>
      <w:r w:rsidRPr="00ED0E2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D0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D0E27">
        <w:rPr>
          <w:rFonts w:ascii="Courier New" w:eastAsia="Times New Roman" w:hAnsi="Courier New" w:cs="Courier New"/>
          <w:color w:val="008000"/>
          <w:sz w:val="20"/>
          <w:szCs w:val="20"/>
        </w:rPr>
        <w:t>0.9970887</w:t>
      </w:r>
      <w:r w:rsidRPr="00ED0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D0E2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D0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D0E27">
        <w:rPr>
          <w:rFonts w:ascii="Courier New" w:eastAsia="Times New Roman" w:hAnsi="Courier New" w:cs="Courier New"/>
          <w:color w:val="008000"/>
          <w:sz w:val="20"/>
          <w:szCs w:val="20"/>
        </w:rPr>
        <w:t>0.98453469</w:t>
      </w:r>
      <w:r w:rsidRPr="00ED0E2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D0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D0E27">
        <w:rPr>
          <w:rFonts w:ascii="Courier New" w:eastAsia="Times New Roman" w:hAnsi="Courier New" w:cs="Courier New"/>
          <w:color w:val="008000"/>
          <w:sz w:val="20"/>
          <w:szCs w:val="20"/>
        </w:rPr>
        <w:t>0.99571345</w:t>
      </w:r>
      <w:r w:rsidRPr="00ED0E2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:rsidR="00ED0E27" w:rsidRPr="00ED0E27" w:rsidRDefault="00ED0E27" w:rsidP="00ED0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0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D0E27">
        <w:rPr>
          <w:rFonts w:ascii="Courier New" w:eastAsia="Times New Roman" w:hAnsi="Courier New" w:cs="Courier New"/>
          <w:color w:val="008000"/>
          <w:sz w:val="20"/>
          <w:szCs w:val="20"/>
        </w:rPr>
        <w:t>0.98654696</w:t>
      </w:r>
      <w:r w:rsidRPr="00ED0E2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D0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D0E27">
        <w:rPr>
          <w:rFonts w:ascii="Courier New" w:eastAsia="Times New Roman" w:hAnsi="Courier New" w:cs="Courier New"/>
          <w:color w:val="008000"/>
          <w:sz w:val="20"/>
          <w:szCs w:val="20"/>
        </w:rPr>
        <w:t>0.98696431</w:t>
      </w:r>
      <w:r w:rsidRPr="00ED0E2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D0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D0E27">
        <w:rPr>
          <w:rFonts w:ascii="Courier New" w:eastAsia="Times New Roman" w:hAnsi="Courier New" w:cs="Courier New"/>
          <w:color w:val="008000"/>
          <w:sz w:val="20"/>
          <w:szCs w:val="20"/>
        </w:rPr>
        <w:t>0.99463786</w:t>
      </w:r>
      <w:r w:rsidRPr="00ED0E2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D0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D0E27">
        <w:rPr>
          <w:rFonts w:ascii="Courier New" w:eastAsia="Times New Roman" w:hAnsi="Courier New" w:cs="Courier New"/>
          <w:color w:val="008000"/>
          <w:sz w:val="20"/>
          <w:szCs w:val="20"/>
        </w:rPr>
        <w:t>0.98894918</w:t>
      </w:r>
      <w:r w:rsidRPr="00ED0E2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D0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D0E27">
        <w:rPr>
          <w:rFonts w:ascii="Courier New" w:eastAsia="Times New Roman" w:hAnsi="Courier New" w:cs="Courier New"/>
          <w:color w:val="008000"/>
          <w:sz w:val="20"/>
          <w:szCs w:val="20"/>
        </w:rPr>
        <w:t>0.98955988</w:t>
      </w:r>
      <w:r w:rsidRPr="00ED0E2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:rsidR="00ED0E27" w:rsidRPr="00ED0E27" w:rsidRDefault="00ED0E27" w:rsidP="00ED0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0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D0E27">
        <w:rPr>
          <w:rFonts w:ascii="Courier New" w:eastAsia="Times New Roman" w:hAnsi="Courier New" w:cs="Courier New"/>
          <w:color w:val="008000"/>
          <w:sz w:val="20"/>
          <w:szCs w:val="20"/>
        </w:rPr>
        <w:t>0.9928631</w:t>
      </w:r>
      <w:r w:rsidRPr="00ED0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D0E2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D0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D0E27">
        <w:rPr>
          <w:rFonts w:ascii="Courier New" w:eastAsia="Times New Roman" w:hAnsi="Courier New" w:cs="Courier New"/>
          <w:color w:val="008000"/>
          <w:sz w:val="20"/>
          <w:szCs w:val="20"/>
        </w:rPr>
        <w:t>0.99274297</w:t>
      </w:r>
      <w:r w:rsidRPr="00ED0E2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D0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D0E27">
        <w:rPr>
          <w:rFonts w:ascii="Courier New" w:eastAsia="Times New Roman" w:hAnsi="Courier New" w:cs="Courier New"/>
          <w:color w:val="008000"/>
          <w:sz w:val="20"/>
          <w:szCs w:val="20"/>
        </w:rPr>
        <w:t>0.99120899</w:t>
      </w:r>
      <w:r w:rsidRPr="00ED0E2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D0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D0E27">
        <w:rPr>
          <w:rFonts w:ascii="Courier New" w:eastAsia="Times New Roman" w:hAnsi="Courier New" w:cs="Courier New"/>
          <w:color w:val="008000"/>
          <w:sz w:val="20"/>
          <w:szCs w:val="20"/>
        </w:rPr>
        <w:t>0.99225484</w:t>
      </w:r>
      <w:r w:rsidRPr="00ED0E2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D0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D0E27">
        <w:rPr>
          <w:rFonts w:ascii="Courier New" w:eastAsia="Times New Roman" w:hAnsi="Courier New" w:cs="Courier New"/>
          <w:color w:val="008000"/>
          <w:sz w:val="20"/>
          <w:szCs w:val="20"/>
        </w:rPr>
        <w:t>0.99191917</w:t>
      </w:r>
      <w:r w:rsidRPr="00ED0E27">
        <w:rPr>
          <w:rFonts w:ascii="Courier New" w:eastAsia="Times New Roman" w:hAnsi="Courier New" w:cs="Courier New"/>
          <w:color w:val="808030"/>
          <w:sz w:val="20"/>
          <w:szCs w:val="20"/>
        </w:rPr>
        <w:t>])</w:t>
      </w:r>
    </w:p>
    <w:p w:rsidR="00ED0E27" w:rsidRDefault="007D052D">
      <w:pPr>
        <w:rPr>
          <w:rFonts w:eastAsiaTheme="minorEastAsia"/>
        </w:rPr>
      </w:pPr>
      <w:r>
        <w:rPr>
          <w:rFonts w:eastAsiaTheme="minorEastAsia"/>
        </w:rPr>
        <w:t>Only one of them is 1 to four significant digits (the number of significant digits given in the matrix, though I'm not sure if it's the number of significant digits</w:t>
      </w:r>
      <w:r w:rsidR="00D64481">
        <w:rPr>
          <w:rFonts w:eastAsiaTheme="minorEastAsia"/>
        </w:rPr>
        <w:t xml:space="preserve"> in the eigenvalues)</w:t>
      </w:r>
      <w:r w:rsidR="00C16E92">
        <w:rPr>
          <w:rFonts w:eastAsiaTheme="minorEastAsia"/>
        </w:rPr>
        <w:t xml:space="preserve">. The reason I find this confusing is because I don't see </w:t>
      </w:r>
      <w:r w:rsidR="00975DF2">
        <w:rPr>
          <w:rFonts w:eastAsiaTheme="minorEastAsia"/>
        </w:rPr>
        <w:t xml:space="preserve">how </w:t>
      </w:r>
      <w:r w:rsidR="00631BDA">
        <w:rPr>
          <w:rFonts w:eastAsiaTheme="minorEastAsia"/>
        </w:rPr>
        <w:t>a stochastic matrix can be multiplied by a vector and give a vector whose elements add up to something different.</w:t>
      </w:r>
      <w:r w:rsidR="00A61758">
        <w:rPr>
          <w:rFonts w:eastAsiaTheme="minorEastAsia"/>
        </w:rPr>
        <w:t xml:space="preserve"> You can't multiply a stochastic matrix by a probability distribution and get something other thana probability distribution, can you?</w:t>
      </w:r>
    </w:p>
    <w:p w:rsidR="00A61758" w:rsidRPr="00E738F8" w:rsidRDefault="001F0EB8">
      <w:pPr>
        <w:rPr>
          <w:rFonts w:eastAsiaTheme="minorEastAsia"/>
        </w:rPr>
      </w:pPr>
      <w:r>
        <w:rPr>
          <w:rFonts w:eastAsiaTheme="minorEastAsia"/>
        </w:rPr>
        <w:lastRenderedPageBreak/>
        <w:t>My guess is that all the eigenvectors except for 1 have a mixture of positive and negative values.</w:t>
      </w:r>
      <w:bookmarkStart w:id="0" w:name="_GoBack"/>
      <w:bookmarkEnd w:id="0"/>
    </w:p>
    <w:sectPr w:rsidR="00A61758" w:rsidRPr="00E73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95E"/>
    <w:rsid w:val="00023536"/>
    <w:rsid w:val="00027027"/>
    <w:rsid w:val="00057894"/>
    <w:rsid w:val="000642C9"/>
    <w:rsid w:val="00074EA4"/>
    <w:rsid w:val="0007679B"/>
    <w:rsid w:val="00083A8F"/>
    <w:rsid w:val="000A2DCD"/>
    <w:rsid w:val="000C0E31"/>
    <w:rsid w:val="000D2810"/>
    <w:rsid w:val="001207BD"/>
    <w:rsid w:val="001249F4"/>
    <w:rsid w:val="00126D81"/>
    <w:rsid w:val="00127CA6"/>
    <w:rsid w:val="001300E4"/>
    <w:rsid w:val="0013278D"/>
    <w:rsid w:val="00145860"/>
    <w:rsid w:val="001571AA"/>
    <w:rsid w:val="00166CFB"/>
    <w:rsid w:val="00185B0E"/>
    <w:rsid w:val="0019289F"/>
    <w:rsid w:val="001B45D1"/>
    <w:rsid w:val="001B59BA"/>
    <w:rsid w:val="001C7249"/>
    <w:rsid w:val="001D21B4"/>
    <w:rsid w:val="001E1CA6"/>
    <w:rsid w:val="001E3D80"/>
    <w:rsid w:val="001F0EB8"/>
    <w:rsid w:val="001F6504"/>
    <w:rsid w:val="002020AC"/>
    <w:rsid w:val="00232304"/>
    <w:rsid w:val="00270704"/>
    <w:rsid w:val="00271435"/>
    <w:rsid w:val="002C2A65"/>
    <w:rsid w:val="002C32F2"/>
    <w:rsid w:val="002E6D1D"/>
    <w:rsid w:val="002E74BB"/>
    <w:rsid w:val="003462C4"/>
    <w:rsid w:val="00376CE9"/>
    <w:rsid w:val="00394940"/>
    <w:rsid w:val="00394EEE"/>
    <w:rsid w:val="003A7BE3"/>
    <w:rsid w:val="003B08DE"/>
    <w:rsid w:val="003D1B26"/>
    <w:rsid w:val="00401A40"/>
    <w:rsid w:val="00402E39"/>
    <w:rsid w:val="0041406D"/>
    <w:rsid w:val="00416E04"/>
    <w:rsid w:val="004375C0"/>
    <w:rsid w:val="00442C20"/>
    <w:rsid w:val="00447354"/>
    <w:rsid w:val="004558CD"/>
    <w:rsid w:val="00456562"/>
    <w:rsid w:val="00485D5E"/>
    <w:rsid w:val="00493929"/>
    <w:rsid w:val="004B2B3B"/>
    <w:rsid w:val="004E0C59"/>
    <w:rsid w:val="004F4C3A"/>
    <w:rsid w:val="004F4CEE"/>
    <w:rsid w:val="005402DA"/>
    <w:rsid w:val="00546CE5"/>
    <w:rsid w:val="0055541D"/>
    <w:rsid w:val="00557990"/>
    <w:rsid w:val="00561147"/>
    <w:rsid w:val="0056586F"/>
    <w:rsid w:val="0057571F"/>
    <w:rsid w:val="0058518B"/>
    <w:rsid w:val="005A48A8"/>
    <w:rsid w:val="005C076E"/>
    <w:rsid w:val="005E695E"/>
    <w:rsid w:val="00605361"/>
    <w:rsid w:val="006076CA"/>
    <w:rsid w:val="00611854"/>
    <w:rsid w:val="006313B0"/>
    <w:rsid w:val="00631BDA"/>
    <w:rsid w:val="006326BB"/>
    <w:rsid w:val="00641F1B"/>
    <w:rsid w:val="0065050C"/>
    <w:rsid w:val="00652FBE"/>
    <w:rsid w:val="00682AD5"/>
    <w:rsid w:val="006A010D"/>
    <w:rsid w:val="006A4900"/>
    <w:rsid w:val="0070295E"/>
    <w:rsid w:val="0072245A"/>
    <w:rsid w:val="00731366"/>
    <w:rsid w:val="00733C6C"/>
    <w:rsid w:val="00736D9C"/>
    <w:rsid w:val="00787AC2"/>
    <w:rsid w:val="007A7071"/>
    <w:rsid w:val="007B2791"/>
    <w:rsid w:val="007B3AF8"/>
    <w:rsid w:val="007D052D"/>
    <w:rsid w:val="007D17F1"/>
    <w:rsid w:val="007D717E"/>
    <w:rsid w:val="007E0237"/>
    <w:rsid w:val="00800AB1"/>
    <w:rsid w:val="00803ADC"/>
    <w:rsid w:val="00870720"/>
    <w:rsid w:val="00883EDC"/>
    <w:rsid w:val="00891331"/>
    <w:rsid w:val="00915E6A"/>
    <w:rsid w:val="00940BBC"/>
    <w:rsid w:val="00955E16"/>
    <w:rsid w:val="009578E1"/>
    <w:rsid w:val="00975DF2"/>
    <w:rsid w:val="009D63AF"/>
    <w:rsid w:val="009E4F00"/>
    <w:rsid w:val="009F74E0"/>
    <w:rsid w:val="00A172DD"/>
    <w:rsid w:val="00A323DF"/>
    <w:rsid w:val="00A461EA"/>
    <w:rsid w:val="00A61758"/>
    <w:rsid w:val="00A8215D"/>
    <w:rsid w:val="00A93B91"/>
    <w:rsid w:val="00A942B5"/>
    <w:rsid w:val="00AC797A"/>
    <w:rsid w:val="00AD2BAB"/>
    <w:rsid w:val="00AD65F2"/>
    <w:rsid w:val="00B001CA"/>
    <w:rsid w:val="00B173E0"/>
    <w:rsid w:val="00B273D5"/>
    <w:rsid w:val="00B524CB"/>
    <w:rsid w:val="00BB0FC4"/>
    <w:rsid w:val="00C16E92"/>
    <w:rsid w:val="00C1732B"/>
    <w:rsid w:val="00C359C6"/>
    <w:rsid w:val="00C3762D"/>
    <w:rsid w:val="00C56674"/>
    <w:rsid w:val="00C632E8"/>
    <w:rsid w:val="00C772EC"/>
    <w:rsid w:val="00C774FC"/>
    <w:rsid w:val="00C84F99"/>
    <w:rsid w:val="00C93646"/>
    <w:rsid w:val="00CB6050"/>
    <w:rsid w:val="00CD2547"/>
    <w:rsid w:val="00CE1AE9"/>
    <w:rsid w:val="00CE2762"/>
    <w:rsid w:val="00CE4FB8"/>
    <w:rsid w:val="00D51F43"/>
    <w:rsid w:val="00D53AE9"/>
    <w:rsid w:val="00D63FBE"/>
    <w:rsid w:val="00D64481"/>
    <w:rsid w:val="00DA68B5"/>
    <w:rsid w:val="00DC31A5"/>
    <w:rsid w:val="00DD6994"/>
    <w:rsid w:val="00DE1D8A"/>
    <w:rsid w:val="00DE629D"/>
    <w:rsid w:val="00DF23C4"/>
    <w:rsid w:val="00E105E2"/>
    <w:rsid w:val="00E23C1F"/>
    <w:rsid w:val="00E30EBD"/>
    <w:rsid w:val="00E54BEF"/>
    <w:rsid w:val="00E57124"/>
    <w:rsid w:val="00E738F8"/>
    <w:rsid w:val="00E96124"/>
    <w:rsid w:val="00EB281A"/>
    <w:rsid w:val="00EB7463"/>
    <w:rsid w:val="00ED0E27"/>
    <w:rsid w:val="00EE20D2"/>
    <w:rsid w:val="00EE7FFD"/>
    <w:rsid w:val="00F12BE7"/>
    <w:rsid w:val="00F6439C"/>
    <w:rsid w:val="00F86801"/>
    <w:rsid w:val="00FB4754"/>
    <w:rsid w:val="00FC6717"/>
    <w:rsid w:val="00FF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29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95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722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245A"/>
  </w:style>
  <w:style w:type="character" w:styleId="PageNumber">
    <w:name w:val="page number"/>
    <w:basedOn w:val="DefaultParagraphFont"/>
    <w:uiPriority w:val="99"/>
    <w:semiHidden/>
    <w:unhideWhenUsed/>
    <w:rsid w:val="0072245A"/>
  </w:style>
  <w:style w:type="table" w:styleId="TableGrid">
    <w:name w:val="Table Grid"/>
    <w:basedOn w:val="TableNormal"/>
    <w:uiPriority w:val="59"/>
    <w:rsid w:val="00B52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E2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29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95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722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245A"/>
  </w:style>
  <w:style w:type="character" w:styleId="PageNumber">
    <w:name w:val="page number"/>
    <w:basedOn w:val="DefaultParagraphFont"/>
    <w:uiPriority w:val="99"/>
    <w:semiHidden/>
    <w:unhideWhenUsed/>
    <w:rsid w:val="0072245A"/>
  </w:style>
  <w:style w:type="table" w:styleId="TableGrid">
    <w:name w:val="Table Grid"/>
    <w:basedOn w:val="TableNormal"/>
    <w:uiPriority w:val="59"/>
    <w:rsid w:val="00B52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E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5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5604F-48EE-4ABF-8E0A-12BABCD8B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184</cp:revision>
  <dcterms:created xsi:type="dcterms:W3CDTF">2012-09-24T18:13:00Z</dcterms:created>
  <dcterms:modified xsi:type="dcterms:W3CDTF">2012-09-24T21:34:00Z</dcterms:modified>
</cp:coreProperties>
</file>