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856E9" w14:textId="4BFE5B29" w:rsidR="005C61F9" w:rsidRPr="005C61F9" w:rsidRDefault="005C61F9" w:rsidP="005C61F9">
      <w:pPr>
        <w:spacing w:line="360" w:lineRule="auto"/>
        <w:ind w:firstLineChars="200" w:firstLine="420"/>
        <w:rPr>
          <w:rFonts w:ascii="Times New Roman" w:hAnsi="Times New Roman"/>
          <w:szCs w:val="20"/>
        </w:rPr>
      </w:pPr>
      <w:r w:rsidRPr="005C61F9">
        <w:rPr>
          <w:rFonts w:ascii="Times New Roman" w:hAnsi="Times New Roman"/>
          <w:szCs w:val="20"/>
        </w:rPr>
        <w:t xml:space="preserve">In order to better apply to the examination of HD-SEMG decomposition algorithm, based on the sEMG simulation system developed by Li </w:t>
      </w:r>
      <w:proofErr w:type="spellStart"/>
      <w:r w:rsidRPr="005C61F9">
        <w:rPr>
          <w:rFonts w:ascii="Times New Roman" w:hAnsi="Times New Roman"/>
          <w:szCs w:val="20"/>
        </w:rPr>
        <w:t>Qiang</w:t>
      </w:r>
      <w:proofErr w:type="spellEnd"/>
      <w:r w:rsidRPr="005C61F9">
        <w:rPr>
          <w:rFonts w:ascii="Times New Roman" w:hAnsi="Times New Roman"/>
          <w:szCs w:val="20"/>
        </w:rPr>
        <w:t xml:space="preserve">, we simulated the electrode arrays with 64 channels (8*8) and 128 (16*8) channels, and the </w:t>
      </w:r>
      <w:r>
        <w:rPr>
          <w:rFonts w:ascii="Times New Roman" w:hAnsi="Times New Roman"/>
          <w:szCs w:val="20"/>
        </w:rPr>
        <w:t>inter</w:t>
      </w:r>
      <w:r w:rsidRPr="005C61F9">
        <w:rPr>
          <w:rFonts w:ascii="Times New Roman" w:hAnsi="Times New Roman"/>
          <w:szCs w:val="20"/>
        </w:rPr>
        <w:t xml:space="preserve">electrode </w:t>
      </w:r>
      <w:r>
        <w:rPr>
          <w:rFonts w:ascii="Times New Roman" w:hAnsi="Times New Roman" w:hint="eastAsia"/>
          <w:szCs w:val="20"/>
        </w:rPr>
        <w:t>distan</w:t>
      </w:r>
      <w:r>
        <w:rPr>
          <w:rFonts w:ascii="Times New Roman" w:hAnsi="Times New Roman"/>
          <w:szCs w:val="20"/>
        </w:rPr>
        <w:t xml:space="preserve">ce </w:t>
      </w:r>
      <w:r w:rsidRPr="005C61F9">
        <w:rPr>
          <w:rFonts w:ascii="Times New Roman" w:hAnsi="Times New Roman"/>
          <w:szCs w:val="20"/>
        </w:rPr>
        <w:t>was determined by the system parameters. And using the elliptical muscle</w:t>
      </w:r>
      <w:r>
        <w:rPr>
          <w:rFonts w:ascii="Times New Roman" w:hAnsi="Times New Roman"/>
          <w:szCs w:val="20"/>
        </w:rPr>
        <w:t xml:space="preserve"> to replace</w:t>
      </w:r>
      <w:r w:rsidRPr="005C61F9">
        <w:rPr>
          <w:rFonts w:ascii="Times New Roman" w:hAnsi="Times New Roman"/>
          <w:szCs w:val="20"/>
        </w:rPr>
        <w:t xml:space="preserve"> original circular and rectangular muscles, and the long and short axes of the ellipse were determined by</w:t>
      </w:r>
      <w:r>
        <w:rPr>
          <w:rFonts w:ascii="Times New Roman" w:hAnsi="Times New Roman"/>
          <w:szCs w:val="20"/>
        </w:rPr>
        <w:t xml:space="preserve"> “Total length of the muscle” and “Total width of the muscle”</w:t>
      </w:r>
      <w:r w:rsidRPr="005C61F9">
        <w:rPr>
          <w:rFonts w:ascii="Times New Roman" w:hAnsi="Times New Roman"/>
          <w:szCs w:val="20"/>
        </w:rPr>
        <w:t xml:space="preserve">. Where the simulation of the MUAP waveform and the MU dispensing strategy are based on [1] and [2], respectively. The </w:t>
      </w:r>
      <w:r>
        <w:rPr>
          <w:rFonts w:ascii="Times New Roman" w:hAnsi="Times New Roman"/>
          <w:szCs w:val="20"/>
        </w:rPr>
        <w:t>more details about</w:t>
      </w:r>
      <w:r w:rsidRPr="005C61F9">
        <w:rPr>
          <w:rFonts w:ascii="Times New Roman" w:hAnsi="Times New Roman"/>
          <w:szCs w:val="20"/>
        </w:rPr>
        <w:t xml:space="preserve"> the simulation system can be found in [3].</w:t>
      </w:r>
    </w:p>
    <w:p w14:paraId="0F5A09BF" w14:textId="1C40101E" w:rsidR="005C61F9" w:rsidRDefault="005C61F9" w:rsidP="005C61F9">
      <w:pPr>
        <w:spacing w:line="360" w:lineRule="auto"/>
        <w:rPr>
          <w:rFonts w:ascii="Times New Roman" w:hAnsi="Times New Roman"/>
          <w:szCs w:val="20"/>
        </w:rPr>
      </w:pPr>
      <w:r w:rsidRPr="005C61F9">
        <w:rPr>
          <w:rFonts w:ascii="Times New Roman" w:hAnsi="Times New Roman"/>
          <w:szCs w:val="20"/>
        </w:rPr>
        <w:t>The main interface of the simulation system:</w:t>
      </w:r>
    </w:p>
    <w:p w14:paraId="60B70DC3" w14:textId="54EF1F4D" w:rsidR="005C61F9" w:rsidRDefault="001D2803" w:rsidP="005C61F9">
      <w:pPr>
        <w:spacing w:line="360" w:lineRule="auto"/>
        <w:rPr>
          <w:rFonts w:ascii="Times New Roman" w:hAnsi="Times New Roman"/>
          <w:szCs w:val="20"/>
        </w:rPr>
      </w:pPr>
      <w:r>
        <w:rPr>
          <w:noProof/>
        </w:rPr>
        <w:drawing>
          <wp:inline distT="0" distB="0" distL="0" distR="0" wp14:anchorId="7490A011" wp14:editId="6B01572B">
            <wp:extent cx="5274310" cy="4371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371340"/>
                    </a:xfrm>
                    <a:prstGeom prst="rect">
                      <a:avLst/>
                    </a:prstGeom>
                  </pic:spPr>
                </pic:pic>
              </a:graphicData>
            </a:graphic>
          </wp:inline>
        </w:drawing>
      </w:r>
    </w:p>
    <w:p w14:paraId="1156C5A2" w14:textId="609D7E5C" w:rsidR="0060053B" w:rsidRDefault="00A67C90" w:rsidP="00A67C90">
      <w:pPr>
        <w:spacing w:line="360" w:lineRule="auto"/>
        <w:ind w:firstLineChars="200" w:firstLine="420"/>
        <w:rPr>
          <w:rFonts w:ascii="Times New Roman" w:hAnsi="Times New Roman"/>
          <w:szCs w:val="20"/>
        </w:rPr>
      </w:pPr>
      <w:r w:rsidRPr="00A67C90">
        <w:rPr>
          <w:rFonts w:ascii="Times New Roman" w:hAnsi="Times New Roman"/>
          <w:szCs w:val="20"/>
        </w:rPr>
        <w:t xml:space="preserve">Fill in the parameters and click the “Calculate” </w:t>
      </w:r>
      <w:r>
        <w:rPr>
          <w:rFonts w:ascii="Times New Roman" w:hAnsi="Times New Roman" w:hint="eastAsia"/>
          <w:szCs w:val="20"/>
        </w:rPr>
        <w:t>b</w:t>
      </w:r>
      <w:r w:rsidRPr="00A67C90">
        <w:rPr>
          <w:rFonts w:ascii="Times New Roman" w:hAnsi="Times New Roman"/>
          <w:szCs w:val="20"/>
        </w:rPr>
        <w:t xml:space="preserve">utton, the result </w:t>
      </w:r>
      <w:r>
        <w:rPr>
          <w:rFonts w:ascii="Times New Roman" w:hAnsi="Times New Roman"/>
          <w:szCs w:val="20"/>
        </w:rPr>
        <w:t xml:space="preserve">and </w:t>
      </w:r>
      <w:r w:rsidRPr="00A67C90">
        <w:rPr>
          <w:rFonts w:ascii="Times New Roman" w:hAnsi="Times New Roman"/>
          <w:szCs w:val="20"/>
        </w:rPr>
        <w:t xml:space="preserve">graph will be displayed in the window. If you want to display the sEMG of a specific channel or the MUAP waveform of a specific MU, please input the parameters in the corresponding position, e.g., </w:t>
      </w:r>
      <w:r>
        <w:rPr>
          <w:rFonts w:ascii="Times New Roman" w:hAnsi="Times New Roman"/>
          <w:szCs w:val="20"/>
        </w:rPr>
        <w:t>show</w:t>
      </w:r>
      <w:r w:rsidRPr="00A67C90">
        <w:rPr>
          <w:rFonts w:ascii="Times New Roman" w:hAnsi="Times New Roman"/>
          <w:szCs w:val="20"/>
        </w:rPr>
        <w:t xml:space="preserve"> the 6th MU of channel 30, and press the Enter key.</w:t>
      </w:r>
      <w:r>
        <w:rPr>
          <w:rFonts w:ascii="Times New Roman" w:hAnsi="Times New Roman"/>
          <w:szCs w:val="20"/>
        </w:rPr>
        <w:t xml:space="preserve"> </w:t>
      </w:r>
      <w:r w:rsidR="0060053B" w:rsidRPr="0060053B">
        <w:rPr>
          <w:rFonts w:ascii="Times New Roman" w:hAnsi="Times New Roman"/>
          <w:szCs w:val="20"/>
        </w:rPr>
        <w:t xml:space="preserve">If you need to save the synthesized sEMG and its constituent </w:t>
      </w:r>
      <w:r>
        <w:rPr>
          <w:rFonts w:ascii="Times New Roman" w:hAnsi="Times New Roman"/>
          <w:szCs w:val="20"/>
        </w:rPr>
        <w:t xml:space="preserve">MUAP </w:t>
      </w:r>
      <w:r w:rsidR="0060053B" w:rsidRPr="0060053B">
        <w:rPr>
          <w:rFonts w:ascii="Times New Roman" w:hAnsi="Times New Roman"/>
          <w:szCs w:val="20"/>
        </w:rPr>
        <w:t xml:space="preserve">and MU pulse </w:t>
      </w:r>
      <w:r>
        <w:rPr>
          <w:rFonts w:ascii="Times New Roman" w:hAnsi="Times New Roman"/>
          <w:szCs w:val="20"/>
        </w:rPr>
        <w:t>train</w:t>
      </w:r>
      <w:r w:rsidR="0060053B" w:rsidRPr="0060053B">
        <w:rPr>
          <w:rFonts w:ascii="Times New Roman" w:hAnsi="Times New Roman"/>
          <w:szCs w:val="20"/>
        </w:rPr>
        <w:t xml:space="preserve">, you can click the “Save Data” button to save them in a specified location </w:t>
      </w:r>
      <w:r w:rsidR="0060053B" w:rsidRPr="0060053B">
        <w:rPr>
          <w:rFonts w:ascii="Times New Roman" w:hAnsi="Times New Roman"/>
          <w:szCs w:val="20"/>
        </w:rPr>
        <w:lastRenderedPageBreak/>
        <w:t>on your computer.</w:t>
      </w:r>
    </w:p>
    <w:p w14:paraId="33EC575E" w14:textId="77777777" w:rsidR="00122D5C" w:rsidRPr="00122D5C" w:rsidRDefault="00122D5C" w:rsidP="00122D5C">
      <w:pPr>
        <w:spacing w:line="360" w:lineRule="auto"/>
        <w:rPr>
          <w:rFonts w:ascii="Times New Roman" w:hAnsi="Times New Roman"/>
          <w:szCs w:val="20"/>
        </w:rPr>
      </w:pPr>
      <w:r w:rsidRPr="00122D5C">
        <w:rPr>
          <w:rFonts w:ascii="Times New Roman" w:hAnsi="Times New Roman"/>
          <w:szCs w:val="20"/>
        </w:rPr>
        <w:t>Description of simulation parameters:</w:t>
      </w:r>
    </w:p>
    <w:p w14:paraId="0CE073D7" w14:textId="360272F0" w:rsidR="00122D5C" w:rsidRPr="00122D5C" w:rsidRDefault="00122D5C" w:rsidP="00122D5C">
      <w:pPr>
        <w:spacing w:line="360" w:lineRule="auto"/>
        <w:rPr>
          <w:rFonts w:ascii="Times New Roman" w:hAnsi="Times New Roman"/>
          <w:szCs w:val="20"/>
        </w:rPr>
      </w:pPr>
      <w:r w:rsidRPr="00122D5C">
        <w:rPr>
          <w:rFonts w:ascii="Times New Roman" w:hAnsi="Times New Roman"/>
          <w:szCs w:val="20"/>
        </w:rPr>
        <w:t xml:space="preserve">(1) Maximum Voluntary Contraction Level (MVC): refers to the maximum level of muscle contraction force that a person can produce under maximum </w:t>
      </w:r>
      <w:r>
        <w:rPr>
          <w:rFonts w:ascii="Times New Roman" w:hAnsi="Times New Roman"/>
          <w:szCs w:val="20"/>
        </w:rPr>
        <w:t>v</w:t>
      </w:r>
      <w:r w:rsidRPr="00122D5C">
        <w:rPr>
          <w:rFonts w:ascii="Times New Roman" w:hAnsi="Times New Roman"/>
          <w:szCs w:val="20"/>
        </w:rPr>
        <w:t>oluntary, usually set to 5,10,20,30 (%max). With a constant number of motor unit pools, the higher the level of contraction, the higher the number of activated motor units, the more MUAPTs are included in the generated sEMG, the more complex the signal is, and the more time is spent on computation.</w:t>
      </w:r>
    </w:p>
    <w:p w14:paraId="19C8A58C" w14:textId="5D4E315E" w:rsidR="00122D5C" w:rsidRPr="00122D5C" w:rsidRDefault="00122D5C" w:rsidP="00122D5C">
      <w:pPr>
        <w:spacing w:line="360" w:lineRule="auto"/>
        <w:rPr>
          <w:rFonts w:ascii="Times New Roman" w:hAnsi="Times New Roman"/>
          <w:szCs w:val="20"/>
        </w:rPr>
      </w:pPr>
      <w:r w:rsidRPr="00122D5C">
        <w:rPr>
          <w:rFonts w:ascii="Times New Roman" w:hAnsi="Times New Roman"/>
          <w:szCs w:val="20"/>
        </w:rPr>
        <w:t xml:space="preserve">(2) </w:t>
      </w:r>
      <w:r>
        <w:rPr>
          <w:rFonts w:ascii="Times New Roman" w:hAnsi="Times New Roman"/>
          <w:szCs w:val="20"/>
        </w:rPr>
        <w:t>R</w:t>
      </w:r>
      <w:r w:rsidRPr="00122D5C">
        <w:rPr>
          <w:rFonts w:ascii="Times New Roman" w:hAnsi="Times New Roman"/>
          <w:szCs w:val="20"/>
        </w:rPr>
        <w:t xml:space="preserve">ecruitment </w:t>
      </w:r>
      <w:proofErr w:type="gramStart"/>
      <w:r>
        <w:rPr>
          <w:rFonts w:ascii="Times New Roman" w:hAnsi="Times New Roman"/>
          <w:szCs w:val="20"/>
        </w:rPr>
        <w:t>R</w:t>
      </w:r>
      <w:r w:rsidRPr="00122D5C">
        <w:rPr>
          <w:rFonts w:ascii="Times New Roman" w:hAnsi="Times New Roman"/>
          <w:szCs w:val="20"/>
        </w:rPr>
        <w:t>ange</w:t>
      </w:r>
      <w:r w:rsidR="00DC48DF">
        <w:rPr>
          <w:rFonts w:ascii="Times New Roman" w:hAnsi="Times New Roman"/>
          <w:szCs w:val="20"/>
        </w:rPr>
        <w:t>(</w:t>
      </w:r>
      <w:proofErr w:type="gramEnd"/>
      <w:r w:rsidR="00DC48DF">
        <w:rPr>
          <w:rFonts w:ascii="Times New Roman" w:hAnsi="Times New Roman"/>
          <w:szCs w:val="20"/>
        </w:rPr>
        <w:t>RR)</w:t>
      </w:r>
      <w:r w:rsidRPr="00122D5C">
        <w:rPr>
          <w:rFonts w:ascii="Times New Roman" w:hAnsi="Times New Roman"/>
          <w:szCs w:val="20"/>
        </w:rPr>
        <w:t xml:space="preserve">: the recruitment range of MU, if the RR value is small, it presents a narrow recruitment situation. For example, if it is set to 40, it means that all MUs are involved in the </w:t>
      </w:r>
      <w:r w:rsidR="0060053B">
        <w:rPr>
          <w:rFonts w:ascii="Times New Roman" w:hAnsi="Times New Roman"/>
          <w:szCs w:val="20"/>
        </w:rPr>
        <w:t>firing</w:t>
      </w:r>
      <w:r w:rsidRPr="00122D5C">
        <w:rPr>
          <w:rFonts w:ascii="Times New Roman" w:hAnsi="Times New Roman"/>
          <w:szCs w:val="20"/>
        </w:rPr>
        <w:t xml:space="preserve"> when the muscle is at 40% of the maximum incentive; if the RR value is larger, it presents a wide recruitment situation.</w:t>
      </w:r>
      <w:r w:rsidR="0060053B">
        <w:rPr>
          <w:rFonts w:ascii="Times New Roman" w:hAnsi="Times New Roman"/>
          <w:szCs w:val="20"/>
        </w:rPr>
        <w:t xml:space="preserve"> More details shown in Figure1.</w:t>
      </w:r>
    </w:p>
    <w:p w14:paraId="4183A64E" w14:textId="0D2E8C18" w:rsidR="00122D5C" w:rsidRPr="00122D5C" w:rsidRDefault="00122D5C" w:rsidP="00122D5C">
      <w:pPr>
        <w:spacing w:line="360" w:lineRule="auto"/>
        <w:rPr>
          <w:rFonts w:ascii="Times New Roman" w:hAnsi="Times New Roman"/>
          <w:szCs w:val="20"/>
        </w:rPr>
      </w:pPr>
      <w:r w:rsidRPr="00122D5C">
        <w:rPr>
          <w:rFonts w:ascii="Times New Roman" w:hAnsi="Times New Roman"/>
          <w:szCs w:val="20"/>
        </w:rPr>
        <w:t xml:space="preserve">(3) </w:t>
      </w:r>
      <w:r w:rsidR="0060053B">
        <w:rPr>
          <w:rFonts w:ascii="Times New Roman" w:hAnsi="Times New Roman"/>
          <w:szCs w:val="20"/>
        </w:rPr>
        <w:t>Firing S</w:t>
      </w:r>
      <w:r w:rsidR="0060053B" w:rsidRPr="0060053B">
        <w:rPr>
          <w:rFonts w:ascii="Times New Roman" w:hAnsi="Times New Roman"/>
          <w:szCs w:val="20"/>
        </w:rPr>
        <w:t>trategy</w:t>
      </w:r>
      <w:r w:rsidRPr="00122D5C">
        <w:rPr>
          <w:rFonts w:ascii="Times New Roman" w:hAnsi="Times New Roman"/>
          <w:szCs w:val="20"/>
        </w:rPr>
        <w:t xml:space="preserve"> selection</w:t>
      </w:r>
    </w:p>
    <w:p w14:paraId="3F41D99F" w14:textId="1B4DAE20" w:rsidR="00122D5C" w:rsidRDefault="00122D5C" w:rsidP="0060053B">
      <w:pPr>
        <w:spacing w:line="360" w:lineRule="auto"/>
        <w:ind w:firstLineChars="200" w:firstLine="420"/>
        <w:rPr>
          <w:rFonts w:ascii="Times New Roman" w:hAnsi="Times New Roman"/>
          <w:szCs w:val="20"/>
        </w:rPr>
      </w:pPr>
      <w:r w:rsidRPr="00122D5C">
        <w:rPr>
          <w:rFonts w:ascii="Times New Roman" w:hAnsi="Times New Roman"/>
          <w:szCs w:val="20"/>
        </w:rPr>
        <w:t xml:space="preserve">MU recruitment will form the corresponding </w:t>
      </w:r>
      <w:r w:rsidR="0060053B">
        <w:rPr>
          <w:rFonts w:ascii="Times New Roman" w:hAnsi="Times New Roman"/>
          <w:szCs w:val="20"/>
        </w:rPr>
        <w:t>firing</w:t>
      </w:r>
      <w:r w:rsidRPr="00122D5C">
        <w:rPr>
          <w:rFonts w:ascii="Times New Roman" w:hAnsi="Times New Roman"/>
          <w:szCs w:val="20"/>
        </w:rPr>
        <w:t xml:space="preserve"> process. The number </w:t>
      </w:r>
      <w:proofErr w:type="gramStart"/>
      <w:r w:rsidRPr="00122D5C">
        <w:rPr>
          <w:rFonts w:ascii="Times New Roman" w:hAnsi="Times New Roman"/>
          <w:szCs w:val="20"/>
        </w:rPr>
        <w:t xml:space="preserve">of </w:t>
      </w:r>
      <w:r w:rsidR="0060053B">
        <w:rPr>
          <w:rFonts w:ascii="Times New Roman" w:hAnsi="Times New Roman"/>
          <w:szCs w:val="20"/>
        </w:rPr>
        <w:t xml:space="preserve"> discharge</w:t>
      </w:r>
      <w:proofErr w:type="gramEnd"/>
      <w:r w:rsidR="0060053B">
        <w:rPr>
          <w:rFonts w:ascii="Times New Roman" w:hAnsi="Times New Roman"/>
          <w:szCs w:val="20"/>
        </w:rPr>
        <w:t xml:space="preserve"> times of </w:t>
      </w:r>
      <w:r w:rsidRPr="00122D5C">
        <w:rPr>
          <w:rFonts w:ascii="Times New Roman" w:hAnsi="Times New Roman"/>
          <w:szCs w:val="20"/>
        </w:rPr>
        <w:t xml:space="preserve">MUs in </w:t>
      </w:r>
      <w:r w:rsidR="0060053B">
        <w:rPr>
          <w:rFonts w:ascii="Times New Roman" w:hAnsi="Times New Roman"/>
          <w:szCs w:val="20"/>
        </w:rPr>
        <w:t>the</w:t>
      </w:r>
      <w:r w:rsidRPr="00122D5C">
        <w:rPr>
          <w:rFonts w:ascii="Times New Roman" w:hAnsi="Times New Roman"/>
          <w:szCs w:val="20"/>
        </w:rPr>
        <w:t xml:space="preserve"> unit time is the</w:t>
      </w:r>
      <w:r w:rsidR="0060053B">
        <w:rPr>
          <w:rFonts w:ascii="Times New Roman" w:hAnsi="Times New Roman"/>
          <w:szCs w:val="20"/>
        </w:rPr>
        <w:t xml:space="preserve"> firing</w:t>
      </w:r>
      <w:r w:rsidRPr="00122D5C">
        <w:rPr>
          <w:rFonts w:ascii="Times New Roman" w:hAnsi="Times New Roman"/>
          <w:szCs w:val="20"/>
        </w:rPr>
        <w:t xml:space="preserve"> rate. The system provides three </w:t>
      </w:r>
      <w:r w:rsidR="0060053B">
        <w:rPr>
          <w:rFonts w:ascii="Times New Roman" w:hAnsi="Times New Roman"/>
          <w:szCs w:val="20"/>
        </w:rPr>
        <w:t>firing</w:t>
      </w:r>
      <w:r w:rsidRPr="00122D5C">
        <w:rPr>
          <w:rFonts w:ascii="Times New Roman" w:hAnsi="Times New Roman"/>
          <w:szCs w:val="20"/>
        </w:rPr>
        <w:t xml:space="preserve"> assumption schemes to calculate the </w:t>
      </w:r>
      <w:r w:rsidR="0060053B">
        <w:rPr>
          <w:rFonts w:ascii="Times New Roman" w:hAnsi="Times New Roman"/>
          <w:szCs w:val="20"/>
        </w:rPr>
        <w:t>firing</w:t>
      </w:r>
      <w:r w:rsidRPr="00122D5C">
        <w:rPr>
          <w:rFonts w:ascii="Times New Roman" w:hAnsi="Times New Roman"/>
          <w:szCs w:val="20"/>
        </w:rPr>
        <w:t xml:space="preserve"> rate of each activated MU. They are Frscheme1, Frscheme2, and Frscheme3</w:t>
      </w:r>
      <w:r w:rsidR="0089441D">
        <w:rPr>
          <w:rFonts w:ascii="Times New Roman" w:hAnsi="Times New Roman"/>
          <w:szCs w:val="20"/>
        </w:rPr>
        <w:t>(</w:t>
      </w:r>
      <w:r w:rsidR="0060053B">
        <w:rPr>
          <w:rFonts w:ascii="Times New Roman" w:hAnsi="Times New Roman"/>
          <w:szCs w:val="20"/>
        </w:rPr>
        <w:t xml:space="preserve">More details shown in </w:t>
      </w:r>
      <w:r w:rsidR="0089441D">
        <w:rPr>
          <w:rFonts w:ascii="Times New Roman" w:hAnsi="Times New Roman"/>
          <w:szCs w:val="20"/>
        </w:rPr>
        <w:t>[4]</w:t>
      </w:r>
      <w:proofErr w:type="gramStart"/>
      <w:r w:rsidR="0089441D">
        <w:rPr>
          <w:rFonts w:ascii="Times New Roman" w:hAnsi="Times New Roman"/>
          <w:szCs w:val="20"/>
        </w:rPr>
        <w:t>) ,</w:t>
      </w:r>
      <w:r w:rsidRPr="00122D5C">
        <w:rPr>
          <w:rFonts w:ascii="Times New Roman" w:hAnsi="Times New Roman"/>
          <w:szCs w:val="20"/>
        </w:rPr>
        <w:t>they</w:t>
      </w:r>
      <w:proofErr w:type="gramEnd"/>
      <w:r w:rsidRPr="00122D5C">
        <w:rPr>
          <w:rFonts w:ascii="Times New Roman" w:hAnsi="Times New Roman"/>
          <w:szCs w:val="20"/>
        </w:rPr>
        <w:t xml:space="preserve"> are described below:</w:t>
      </w:r>
    </w:p>
    <w:tbl>
      <w:tblPr>
        <w:tblStyle w:val="a7"/>
        <w:tblW w:w="9002" w:type="dxa"/>
        <w:jc w:val="center"/>
        <w:tblLook w:val="04A0" w:firstRow="1" w:lastRow="0" w:firstColumn="1" w:lastColumn="0" w:noHBand="0" w:noVBand="1"/>
      </w:tblPr>
      <w:tblGrid>
        <w:gridCol w:w="1029"/>
        <w:gridCol w:w="2629"/>
        <w:gridCol w:w="2721"/>
        <w:gridCol w:w="2623"/>
      </w:tblGrid>
      <w:tr w:rsidR="0060053B" w:rsidRPr="000503BB" w14:paraId="77074D6C" w14:textId="77777777" w:rsidTr="00722FBE">
        <w:trPr>
          <w:jc w:val="center"/>
        </w:trPr>
        <w:tc>
          <w:tcPr>
            <w:tcW w:w="1029" w:type="dxa"/>
            <w:vAlign w:val="center"/>
          </w:tcPr>
          <w:p w14:paraId="5E0BC5DA" w14:textId="77777777" w:rsidR="0060053B" w:rsidRPr="005C61F9" w:rsidRDefault="0060053B" w:rsidP="00722FBE">
            <w:pPr>
              <w:rPr>
                <w:sz w:val="18"/>
                <w:szCs w:val="18"/>
              </w:rPr>
            </w:pPr>
          </w:p>
        </w:tc>
        <w:tc>
          <w:tcPr>
            <w:tcW w:w="2629" w:type="dxa"/>
            <w:vAlign w:val="center"/>
          </w:tcPr>
          <w:p w14:paraId="04B237E8" w14:textId="77777777" w:rsidR="0060053B" w:rsidRPr="005C61F9" w:rsidRDefault="0060053B" w:rsidP="00722FBE">
            <w:pPr>
              <w:rPr>
                <w:sz w:val="18"/>
                <w:szCs w:val="18"/>
              </w:rPr>
            </w:pPr>
            <w:r w:rsidRPr="005C61F9">
              <w:rPr>
                <w:rFonts w:hint="eastAsia"/>
                <w:sz w:val="18"/>
                <w:szCs w:val="18"/>
              </w:rPr>
              <w:t>Fr</w:t>
            </w:r>
            <w:r w:rsidRPr="005C61F9">
              <w:rPr>
                <w:sz w:val="18"/>
                <w:szCs w:val="18"/>
              </w:rPr>
              <w:t>scheme1</w:t>
            </w:r>
          </w:p>
        </w:tc>
        <w:tc>
          <w:tcPr>
            <w:tcW w:w="2721" w:type="dxa"/>
            <w:vAlign w:val="center"/>
          </w:tcPr>
          <w:p w14:paraId="44176E7C" w14:textId="77777777" w:rsidR="0060053B" w:rsidRPr="005C61F9" w:rsidRDefault="0060053B" w:rsidP="00722FBE">
            <w:pPr>
              <w:rPr>
                <w:sz w:val="18"/>
                <w:szCs w:val="18"/>
              </w:rPr>
            </w:pPr>
            <w:r w:rsidRPr="005C61F9">
              <w:rPr>
                <w:rFonts w:hint="eastAsia"/>
                <w:sz w:val="18"/>
                <w:szCs w:val="18"/>
              </w:rPr>
              <w:t>Fr</w:t>
            </w:r>
            <w:r w:rsidRPr="005C61F9">
              <w:rPr>
                <w:sz w:val="18"/>
                <w:szCs w:val="18"/>
              </w:rPr>
              <w:t>scheme2</w:t>
            </w:r>
          </w:p>
        </w:tc>
        <w:tc>
          <w:tcPr>
            <w:tcW w:w="2623" w:type="dxa"/>
            <w:vAlign w:val="center"/>
          </w:tcPr>
          <w:p w14:paraId="51F67585" w14:textId="77777777" w:rsidR="0060053B" w:rsidRPr="005C61F9" w:rsidRDefault="0060053B" w:rsidP="00722FBE">
            <w:pPr>
              <w:rPr>
                <w:sz w:val="18"/>
                <w:szCs w:val="18"/>
              </w:rPr>
            </w:pPr>
            <w:r w:rsidRPr="005C61F9">
              <w:rPr>
                <w:rFonts w:hint="eastAsia"/>
                <w:sz w:val="18"/>
                <w:szCs w:val="18"/>
              </w:rPr>
              <w:t>Fr</w:t>
            </w:r>
            <w:r w:rsidRPr="005C61F9">
              <w:rPr>
                <w:sz w:val="18"/>
                <w:szCs w:val="18"/>
              </w:rPr>
              <w:t>scheme3</w:t>
            </w:r>
          </w:p>
        </w:tc>
      </w:tr>
      <w:tr w:rsidR="0060053B" w:rsidRPr="000503BB" w14:paraId="5A5BAECC" w14:textId="77777777" w:rsidTr="00722FBE">
        <w:trPr>
          <w:cantSplit/>
          <w:trHeight w:val="2375"/>
          <w:jc w:val="center"/>
        </w:trPr>
        <w:tc>
          <w:tcPr>
            <w:tcW w:w="1029" w:type="dxa"/>
            <w:vAlign w:val="center"/>
          </w:tcPr>
          <w:p w14:paraId="6E322DD4" w14:textId="77777777" w:rsidR="0060053B" w:rsidRPr="005C61F9" w:rsidRDefault="0060053B" w:rsidP="00722FBE">
            <w:pPr>
              <w:rPr>
                <w:sz w:val="18"/>
                <w:szCs w:val="18"/>
              </w:rPr>
            </w:pPr>
            <w:r w:rsidRPr="005C61F9">
              <w:rPr>
                <w:sz w:val="18"/>
                <w:szCs w:val="18"/>
              </w:rPr>
              <w:t>Narrow recruit-</w:t>
            </w:r>
            <w:proofErr w:type="spellStart"/>
            <w:r w:rsidRPr="005C61F9">
              <w:rPr>
                <w:sz w:val="18"/>
                <w:szCs w:val="18"/>
              </w:rPr>
              <w:t>ment</w:t>
            </w:r>
            <w:proofErr w:type="spellEnd"/>
          </w:p>
        </w:tc>
        <w:tc>
          <w:tcPr>
            <w:tcW w:w="2629" w:type="dxa"/>
            <w:vAlign w:val="center"/>
          </w:tcPr>
          <w:p w14:paraId="16151920" w14:textId="77777777" w:rsidR="0060053B" w:rsidRPr="005C61F9" w:rsidRDefault="0060053B" w:rsidP="00722FBE">
            <w:pPr>
              <w:rPr>
                <w:sz w:val="18"/>
                <w:szCs w:val="18"/>
              </w:rPr>
            </w:pPr>
            <w:r w:rsidRPr="005C61F9">
              <w:rPr>
                <w:noProof/>
                <w:sz w:val="18"/>
                <w:szCs w:val="18"/>
              </w:rPr>
              <w:drawing>
                <wp:inline distT="0" distB="0" distL="0" distR="0" wp14:anchorId="00C1EB7E" wp14:editId="2A73FFDD">
                  <wp:extent cx="1468619" cy="1247775"/>
                  <wp:effectExtent l="0" t="0" r="0" b="0"/>
                  <wp:docPr id="2" name="图片 88">
                    <a:extLst xmlns:a="http://schemas.openxmlformats.org/drawingml/2006/main">
                      <a:ext uri="{FF2B5EF4-FFF2-40B4-BE49-F238E27FC236}">
                        <a16:creationId xmlns:a16="http://schemas.microsoft.com/office/drawing/2014/main" id="{D7AC2E7A-DF53-417D-ADB3-A6EA09836C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8">
                            <a:extLst>
                              <a:ext uri="{FF2B5EF4-FFF2-40B4-BE49-F238E27FC236}">
                                <a16:creationId xmlns:a16="http://schemas.microsoft.com/office/drawing/2014/main" id="{D7AC2E7A-DF53-417D-ADB3-A6EA09836C06}"/>
                              </a:ext>
                            </a:extLst>
                          </pic:cNvPr>
                          <pic:cNvPicPr>
                            <a:picLocks noChangeAspect="1"/>
                          </pic:cNvPicPr>
                        </pic:nvPicPr>
                        <pic:blipFill>
                          <a:blip r:embed="rId8"/>
                          <a:stretch>
                            <a:fillRect/>
                          </a:stretch>
                        </pic:blipFill>
                        <pic:spPr>
                          <a:xfrm>
                            <a:off x="0" y="0"/>
                            <a:ext cx="1472389" cy="1250978"/>
                          </a:xfrm>
                          <a:prstGeom prst="rect">
                            <a:avLst/>
                          </a:prstGeom>
                        </pic:spPr>
                      </pic:pic>
                    </a:graphicData>
                  </a:graphic>
                </wp:inline>
              </w:drawing>
            </w:r>
          </w:p>
        </w:tc>
        <w:tc>
          <w:tcPr>
            <w:tcW w:w="2721" w:type="dxa"/>
            <w:vAlign w:val="center"/>
          </w:tcPr>
          <w:p w14:paraId="4271A4E3" w14:textId="77777777" w:rsidR="0060053B" w:rsidRPr="005C61F9" w:rsidRDefault="0060053B" w:rsidP="00722FBE">
            <w:pPr>
              <w:rPr>
                <w:sz w:val="18"/>
                <w:szCs w:val="18"/>
              </w:rPr>
            </w:pPr>
            <w:r w:rsidRPr="005C61F9">
              <w:rPr>
                <w:noProof/>
                <w:sz w:val="18"/>
                <w:szCs w:val="18"/>
              </w:rPr>
              <w:drawing>
                <wp:inline distT="0" distB="0" distL="0" distR="0" wp14:anchorId="3F2B98E1" wp14:editId="0694BBAF">
                  <wp:extent cx="1494155" cy="1233011"/>
                  <wp:effectExtent l="0" t="0" r="0" b="5715"/>
                  <wp:docPr id="3" name="图片 86">
                    <a:extLst xmlns:a="http://schemas.openxmlformats.org/drawingml/2006/main">
                      <a:ext uri="{FF2B5EF4-FFF2-40B4-BE49-F238E27FC236}">
                        <a16:creationId xmlns:a16="http://schemas.microsoft.com/office/drawing/2014/main" id="{507B7357-5408-445F-89B1-8DFBF9961E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6">
                            <a:extLst>
                              <a:ext uri="{FF2B5EF4-FFF2-40B4-BE49-F238E27FC236}">
                                <a16:creationId xmlns:a16="http://schemas.microsoft.com/office/drawing/2014/main" id="{507B7357-5408-445F-89B1-8DFBF9961EE0}"/>
                              </a:ext>
                            </a:extLst>
                          </pic:cNvPr>
                          <pic:cNvPicPr>
                            <a:picLocks noChangeAspect="1"/>
                          </pic:cNvPicPr>
                        </pic:nvPicPr>
                        <pic:blipFill>
                          <a:blip r:embed="rId9"/>
                          <a:stretch>
                            <a:fillRect/>
                          </a:stretch>
                        </pic:blipFill>
                        <pic:spPr>
                          <a:xfrm>
                            <a:off x="0" y="0"/>
                            <a:ext cx="1501373" cy="1238967"/>
                          </a:xfrm>
                          <a:prstGeom prst="rect">
                            <a:avLst/>
                          </a:prstGeom>
                        </pic:spPr>
                      </pic:pic>
                    </a:graphicData>
                  </a:graphic>
                </wp:inline>
              </w:drawing>
            </w:r>
          </w:p>
        </w:tc>
        <w:tc>
          <w:tcPr>
            <w:tcW w:w="2623" w:type="dxa"/>
            <w:vAlign w:val="center"/>
          </w:tcPr>
          <w:p w14:paraId="1CCF5E27" w14:textId="77777777" w:rsidR="0060053B" w:rsidRPr="005C61F9" w:rsidRDefault="0060053B" w:rsidP="00722FBE">
            <w:pPr>
              <w:rPr>
                <w:sz w:val="18"/>
                <w:szCs w:val="18"/>
              </w:rPr>
            </w:pPr>
            <w:r w:rsidRPr="005C61F9">
              <w:rPr>
                <w:noProof/>
                <w:sz w:val="18"/>
                <w:szCs w:val="18"/>
              </w:rPr>
              <w:drawing>
                <wp:inline distT="0" distB="0" distL="0" distR="0" wp14:anchorId="12F0CC65" wp14:editId="3ADDEB6D">
                  <wp:extent cx="1404938" cy="1212764"/>
                  <wp:effectExtent l="0" t="0" r="5080" b="6985"/>
                  <wp:docPr id="4" name="图片 90">
                    <a:extLst xmlns:a="http://schemas.openxmlformats.org/drawingml/2006/main">
                      <a:ext uri="{FF2B5EF4-FFF2-40B4-BE49-F238E27FC236}">
                        <a16:creationId xmlns:a16="http://schemas.microsoft.com/office/drawing/2014/main" id="{04C24A23-8F58-41C7-BD99-FBD0A85433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0">
                            <a:extLst>
                              <a:ext uri="{FF2B5EF4-FFF2-40B4-BE49-F238E27FC236}">
                                <a16:creationId xmlns:a16="http://schemas.microsoft.com/office/drawing/2014/main" id="{04C24A23-8F58-41C7-BD99-FBD0A85433F3}"/>
                              </a:ext>
                            </a:extLst>
                          </pic:cNvPr>
                          <pic:cNvPicPr>
                            <a:picLocks noChangeAspect="1"/>
                          </pic:cNvPicPr>
                        </pic:nvPicPr>
                        <pic:blipFill>
                          <a:blip r:embed="rId10"/>
                          <a:stretch>
                            <a:fillRect/>
                          </a:stretch>
                        </pic:blipFill>
                        <pic:spPr>
                          <a:xfrm>
                            <a:off x="0" y="0"/>
                            <a:ext cx="1413102" cy="1219811"/>
                          </a:xfrm>
                          <a:prstGeom prst="rect">
                            <a:avLst/>
                          </a:prstGeom>
                        </pic:spPr>
                      </pic:pic>
                    </a:graphicData>
                  </a:graphic>
                </wp:inline>
              </w:drawing>
            </w:r>
          </w:p>
        </w:tc>
      </w:tr>
      <w:tr w:rsidR="0060053B" w:rsidRPr="000503BB" w14:paraId="3EACA850" w14:textId="77777777" w:rsidTr="00722FBE">
        <w:trPr>
          <w:trHeight w:val="2914"/>
          <w:jc w:val="center"/>
        </w:trPr>
        <w:tc>
          <w:tcPr>
            <w:tcW w:w="1029" w:type="dxa"/>
            <w:vAlign w:val="center"/>
          </w:tcPr>
          <w:p w14:paraId="0A4D9D88" w14:textId="77777777" w:rsidR="0060053B" w:rsidRPr="005C61F9" w:rsidRDefault="0060053B" w:rsidP="00722FBE">
            <w:pPr>
              <w:rPr>
                <w:sz w:val="18"/>
                <w:szCs w:val="18"/>
              </w:rPr>
            </w:pPr>
            <w:r w:rsidRPr="005C61F9">
              <w:rPr>
                <w:sz w:val="18"/>
                <w:szCs w:val="18"/>
              </w:rPr>
              <w:t>Wide Recruit-</w:t>
            </w:r>
            <w:proofErr w:type="spellStart"/>
            <w:r w:rsidRPr="005C61F9">
              <w:rPr>
                <w:sz w:val="18"/>
                <w:szCs w:val="18"/>
              </w:rPr>
              <w:t>ment</w:t>
            </w:r>
            <w:proofErr w:type="spellEnd"/>
          </w:p>
        </w:tc>
        <w:tc>
          <w:tcPr>
            <w:tcW w:w="2629" w:type="dxa"/>
            <w:vAlign w:val="center"/>
          </w:tcPr>
          <w:p w14:paraId="5EA12094" w14:textId="77777777" w:rsidR="0060053B" w:rsidRPr="005C61F9" w:rsidRDefault="0060053B" w:rsidP="00722FBE">
            <w:pPr>
              <w:rPr>
                <w:sz w:val="18"/>
                <w:szCs w:val="18"/>
              </w:rPr>
            </w:pPr>
            <w:r w:rsidRPr="005C61F9">
              <w:rPr>
                <w:noProof/>
                <w:sz w:val="18"/>
                <w:szCs w:val="18"/>
              </w:rPr>
              <w:drawing>
                <wp:inline distT="0" distB="0" distL="0" distR="0" wp14:anchorId="6E9D78EE" wp14:editId="2A35357A">
                  <wp:extent cx="1532306" cy="1162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5621" cy="1179731"/>
                          </a:xfrm>
                          <a:prstGeom prst="rect">
                            <a:avLst/>
                          </a:prstGeom>
                        </pic:spPr>
                      </pic:pic>
                    </a:graphicData>
                  </a:graphic>
                </wp:inline>
              </w:drawing>
            </w:r>
          </w:p>
        </w:tc>
        <w:tc>
          <w:tcPr>
            <w:tcW w:w="2721" w:type="dxa"/>
            <w:vAlign w:val="center"/>
          </w:tcPr>
          <w:p w14:paraId="666BB41E" w14:textId="77777777" w:rsidR="0060053B" w:rsidRPr="005C61F9" w:rsidRDefault="0060053B" w:rsidP="00722FBE">
            <w:pPr>
              <w:rPr>
                <w:sz w:val="18"/>
                <w:szCs w:val="18"/>
              </w:rPr>
            </w:pPr>
            <w:r w:rsidRPr="005C61F9">
              <w:rPr>
                <w:noProof/>
                <w:sz w:val="18"/>
                <w:szCs w:val="18"/>
              </w:rPr>
              <w:drawing>
                <wp:inline distT="0" distB="0" distL="0" distR="0" wp14:anchorId="56515C44" wp14:editId="0A4D7978">
                  <wp:extent cx="1590675" cy="1211295"/>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08985" cy="1225238"/>
                          </a:xfrm>
                          <a:prstGeom prst="rect">
                            <a:avLst/>
                          </a:prstGeom>
                        </pic:spPr>
                      </pic:pic>
                    </a:graphicData>
                  </a:graphic>
                </wp:inline>
              </w:drawing>
            </w:r>
          </w:p>
        </w:tc>
        <w:tc>
          <w:tcPr>
            <w:tcW w:w="2623" w:type="dxa"/>
            <w:vAlign w:val="center"/>
          </w:tcPr>
          <w:p w14:paraId="4CE9C162" w14:textId="77777777" w:rsidR="0060053B" w:rsidRPr="005C61F9" w:rsidRDefault="0060053B" w:rsidP="00722FBE">
            <w:pPr>
              <w:rPr>
                <w:sz w:val="18"/>
                <w:szCs w:val="18"/>
              </w:rPr>
            </w:pPr>
            <w:r w:rsidRPr="005C61F9">
              <w:rPr>
                <w:noProof/>
                <w:sz w:val="18"/>
                <w:szCs w:val="18"/>
              </w:rPr>
              <w:drawing>
                <wp:inline distT="0" distB="0" distL="0" distR="0" wp14:anchorId="59399F1F" wp14:editId="129A60C0">
                  <wp:extent cx="1528445" cy="12954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1922" cy="1315297"/>
                          </a:xfrm>
                          <a:prstGeom prst="rect">
                            <a:avLst/>
                          </a:prstGeom>
                        </pic:spPr>
                      </pic:pic>
                    </a:graphicData>
                  </a:graphic>
                </wp:inline>
              </w:drawing>
            </w:r>
          </w:p>
        </w:tc>
      </w:tr>
    </w:tbl>
    <w:p w14:paraId="37285FCC" w14:textId="742E371A" w:rsidR="0060053B" w:rsidRDefault="0060053B" w:rsidP="00122D5C">
      <w:pPr>
        <w:spacing w:line="360" w:lineRule="auto"/>
        <w:rPr>
          <w:rFonts w:ascii="Times New Roman" w:hAnsi="Times New Roman"/>
          <w:szCs w:val="20"/>
        </w:rPr>
      </w:pPr>
      <w:r w:rsidRPr="00122D5C">
        <w:rPr>
          <w:rFonts w:ascii="Times New Roman" w:hAnsi="Times New Roman"/>
          <w:szCs w:val="20"/>
        </w:rPr>
        <w:t>Fig</w:t>
      </w:r>
      <w:r>
        <w:rPr>
          <w:rFonts w:ascii="Times New Roman" w:hAnsi="Times New Roman"/>
          <w:szCs w:val="20"/>
        </w:rPr>
        <w:t>1</w:t>
      </w:r>
      <w:r w:rsidRPr="00122D5C">
        <w:rPr>
          <w:rFonts w:ascii="Times New Roman" w:hAnsi="Times New Roman"/>
          <w:szCs w:val="20"/>
        </w:rPr>
        <w:t xml:space="preserve"> show the three distribution schemes under narrow recruitment (RR=40, for example) and wide recruitment (RR=70, for example), respectively. It can be selected according to the demand.</w:t>
      </w:r>
    </w:p>
    <w:p w14:paraId="2C04D9AE" w14:textId="1C6CFFC5" w:rsidR="006951D4" w:rsidRDefault="006951D4" w:rsidP="00122D5C">
      <w:pPr>
        <w:spacing w:line="360" w:lineRule="auto"/>
        <w:rPr>
          <w:rFonts w:ascii="Times New Roman" w:hAnsi="Times New Roman"/>
          <w:szCs w:val="20"/>
        </w:rPr>
      </w:pPr>
    </w:p>
    <w:p w14:paraId="1C9CE350" w14:textId="72FBC734" w:rsidR="006951D4" w:rsidRDefault="006951D4" w:rsidP="00122D5C">
      <w:pPr>
        <w:spacing w:line="360" w:lineRule="auto"/>
        <w:rPr>
          <w:rFonts w:ascii="Times New Roman" w:hAnsi="Times New Roman"/>
          <w:szCs w:val="20"/>
        </w:rPr>
      </w:pPr>
      <w:r w:rsidRPr="006951D4">
        <w:rPr>
          <w:rFonts w:ascii="Times New Roman" w:hAnsi="Times New Roman"/>
          <w:szCs w:val="20"/>
        </w:rPr>
        <w:t xml:space="preserve">This repository intends to service as supplementary materials for our </w:t>
      </w:r>
      <w:r>
        <w:rPr>
          <w:rFonts w:ascii="Times New Roman" w:hAnsi="Times New Roman"/>
          <w:szCs w:val="20"/>
        </w:rPr>
        <w:t>review.</w:t>
      </w:r>
      <w:r w:rsidRPr="006951D4">
        <w:t xml:space="preserve"> </w:t>
      </w:r>
      <w:r w:rsidRPr="006951D4">
        <w:rPr>
          <w:rFonts w:ascii="Times New Roman" w:hAnsi="Times New Roman"/>
          <w:szCs w:val="20"/>
        </w:rPr>
        <w:t>Detailed information to be added.</w:t>
      </w:r>
    </w:p>
    <w:p w14:paraId="401609CE" w14:textId="2882FDAD" w:rsidR="00391D59" w:rsidRDefault="00391D59" w:rsidP="00122D5C">
      <w:pPr>
        <w:spacing w:line="360" w:lineRule="auto"/>
        <w:rPr>
          <w:rFonts w:ascii="Times New Roman" w:hAnsi="Times New Roman"/>
          <w:szCs w:val="20"/>
        </w:rPr>
      </w:pPr>
      <w:bookmarkStart w:id="0" w:name="_GoBack"/>
      <w:bookmarkEnd w:id="0"/>
    </w:p>
    <w:p w14:paraId="7F0972B4" w14:textId="77777777" w:rsidR="00391D59" w:rsidRDefault="00391D59" w:rsidP="00391D59">
      <w:proofErr w:type="spellStart"/>
      <w:r>
        <w:t>Refrences</w:t>
      </w:r>
      <w:proofErr w:type="spellEnd"/>
      <w:r>
        <w:t>:</w:t>
      </w:r>
    </w:p>
    <w:p w14:paraId="288257FB" w14:textId="77777777" w:rsidR="00391D59" w:rsidRDefault="00391D59" w:rsidP="00391D59">
      <w:pPr>
        <w:pStyle w:val="a8"/>
        <w:numPr>
          <w:ilvl w:val="0"/>
          <w:numId w:val="1"/>
        </w:numPr>
        <w:spacing w:line="360" w:lineRule="auto"/>
        <w:ind w:firstLineChars="0"/>
        <w:rPr>
          <w:rFonts w:ascii="Times New Roman" w:hAnsi="Times New Roman"/>
          <w:szCs w:val="20"/>
        </w:rPr>
      </w:pPr>
      <w:bookmarkStart w:id="1" w:name="_Ref167809348"/>
      <w:r w:rsidRPr="00294EB1">
        <w:rPr>
          <w:rFonts w:ascii="Times New Roman" w:hAnsi="Times New Roman"/>
          <w:szCs w:val="20"/>
        </w:rPr>
        <w:t xml:space="preserve">R. </w:t>
      </w:r>
      <w:proofErr w:type="spellStart"/>
      <w:r w:rsidRPr="00294EB1">
        <w:rPr>
          <w:rFonts w:ascii="Times New Roman" w:hAnsi="Times New Roman"/>
          <w:szCs w:val="20"/>
        </w:rPr>
        <w:t>Merletti</w:t>
      </w:r>
      <w:proofErr w:type="spellEnd"/>
      <w:r w:rsidRPr="00294EB1">
        <w:rPr>
          <w:rFonts w:ascii="Times New Roman" w:hAnsi="Times New Roman"/>
          <w:szCs w:val="20"/>
        </w:rPr>
        <w:t xml:space="preserve">, L. Lo Conte, E. </w:t>
      </w:r>
      <w:proofErr w:type="spellStart"/>
      <w:r w:rsidRPr="00294EB1">
        <w:rPr>
          <w:rFonts w:ascii="Times New Roman" w:hAnsi="Times New Roman"/>
          <w:szCs w:val="20"/>
        </w:rPr>
        <w:t>Avignone</w:t>
      </w:r>
      <w:proofErr w:type="spellEnd"/>
      <w:r w:rsidRPr="00294EB1">
        <w:rPr>
          <w:rFonts w:ascii="Times New Roman" w:hAnsi="Times New Roman"/>
          <w:szCs w:val="20"/>
        </w:rPr>
        <w:t xml:space="preserve">, and P. </w:t>
      </w:r>
      <w:proofErr w:type="spellStart"/>
      <w:r w:rsidRPr="00294EB1">
        <w:rPr>
          <w:rFonts w:ascii="Times New Roman" w:hAnsi="Times New Roman"/>
          <w:szCs w:val="20"/>
        </w:rPr>
        <w:t>Guglielminotti</w:t>
      </w:r>
      <w:proofErr w:type="spellEnd"/>
      <w:r w:rsidRPr="00294EB1">
        <w:rPr>
          <w:rFonts w:ascii="Times New Roman" w:hAnsi="Times New Roman"/>
          <w:szCs w:val="20"/>
        </w:rPr>
        <w:t xml:space="preserve">, “Modeling of surface myoelectric signals. I. Model implementation,” IEEE Transactions on Biomedical Engineering, vol. 46, no. 7, pp. 810–820, Jul. 1999, </w:t>
      </w:r>
      <w:proofErr w:type="spellStart"/>
      <w:r w:rsidRPr="00294EB1">
        <w:rPr>
          <w:rFonts w:ascii="Times New Roman" w:hAnsi="Times New Roman"/>
          <w:szCs w:val="20"/>
        </w:rPr>
        <w:t>doi</w:t>
      </w:r>
      <w:proofErr w:type="spellEnd"/>
      <w:r w:rsidRPr="00294EB1">
        <w:rPr>
          <w:rFonts w:ascii="Times New Roman" w:hAnsi="Times New Roman"/>
          <w:szCs w:val="20"/>
        </w:rPr>
        <w:t>: 10.1109/10.771190.</w:t>
      </w:r>
      <w:bookmarkEnd w:id="1"/>
    </w:p>
    <w:p w14:paraId="2B7603F0" w14:textId="77777777" w:rsidR="00391D59" w:rsidRDefault="00391D59" w:rsidP="00391D59">
      <w:pPr>
        <w:pStyle w:val="a8"/>
        <w:numPr>
          <w:ilvl w:val="0"/>
          <w:numId w:val="1"/>
        </w:numPr>
        <w:spacing w:line="360" w:lineRule="auto"/>
        <w:ind w:firstLineChars="0"/>
        <w:rPr>
          <w:rFonts w:ascii="Times New Roman" w:hAnsi="Times New Roman"/>
          <w:szCs w:val="20"/>
        </w:rPr>
      </w:pPr>
      <w:bookmarkStart w:id="2" w:name="_Ref167809359"/>
      <w:r w:rsidRPr="00C73821">
        <w:rPr>
          <w:rFonts w:ascii="Times New Roman" w:hAnsi="Times New Roman"/>
          <w:szCs w:val="20"/>
        </w:rPr>
        <w:t xml:space="preserve">A. J. </w:t>
      </w:r>
      <w:proofErr w:type="spellStart"/>
      <w:r w:rsidRPr="00C73821">
        <w:rPr>
          <w:rFonts w:ascii="Times New Roman" w:hAnsi="Times New Roman"/>
          <w:szCs w:val="20"/>
        </w:rPr>
        <w:t>Fuglevand</w:t>
      </w:r>
      <w:proofErr w:type="spellEnd"/>
      <w:r w:rsidRPr="00C73821">
        <w:rPr>
          <w:rFonts w:ascii="Times New Roman" w:hAnsi="Times New Roman"/>
          <w:szCs w:val="20"/>
        </w:rPr>
        <w:t xml:space="preserve">, D. A. Winter, and A. E. </w:t>
      </w:r>
      <w:proofErr w:type="spellStart"/>
      <w:r w:rsidRPr="00C73821">
        <w:rPr>
          <w:rFonts w:ascii="Times New Roman" w:hAnsi="Times New Roman"/>
          <w:szCs w:val="20"/>
        </w:rPr>
        <w:t>Patla</w:t>
      </w:r>
      <w:proofErr w:type="spellEnd"/>
      <w:r w:rsidRPr="00C73821">
        <w:rPr>
          <w:rFonts w:ascii="Times New Roman" w:hAnsi="Times New Roman"/>
          <w:szCs w:val="20"/>
        </w:rPr>
        <w:t xml:space="preserve">, “Models of recruitment and rate coding organization in motor-unit pools,” Journal of Neurophysiology, vol. 70, no. 6, pp. 2470–2488, Dec. 1993, </w:t>
      </w:r>
      <w:proofErr w:type="spellStart"/>
      <w:r w:rsidRPr="00C73821">
        <w:rPr>
          <w:rFonts w:ascii="Times New Roman" w:hAnsi="Times New Roman"/>
          <w:szCs w:val="20"/>
        </w:rPr>
        <w:t>doi</w:t>
      </w:r>
      <w:proofErr w:type="spellEnd"/>
      <w:r w:rsidRPr="00C73821">
        <w:rPr>
          <w:rFonts w:ascii="Times New Roman" w:hAnsi="Times New Roman"/>
          <w:szCs w:val="20"/>
        </w:rPr>
        <w:t>: 10.1152/jn.1993.70.6.2470.</w:t>
      </w:r>
      <w:bookmarkEnd w:id="2"/>
    </w:p>
    <w:p w14:paraId="6981DA2A" w14:textId="77777777" w:rsidR="00391D59" w:rsidRDefault="00391D59" w:rsidP="00391D59">
      <w:pPr>
        <w:pStyle w:val="a8"/>
        <w:numPr>
          <w:ilvl w:val="0"/>
          <w:numId w:val="1"/>
        </w:numPr>
        <w:spacing w:line="360" w:lineRule="auto"/>
        <w:ind w:firstLineChars="0"/>
        <w:rPr>
          <w:rFonts w:ascii="Times New Roman" w:hAnsi="Times New Roman"/>
          <w:szCs w:val="20"/>
        </w:rPr>
      </w:pPr>
      <w:r w:rsidRPr="0000577D">
        <w:rPr>
          <w:rFonts w:ascii="Times New Roman" w:hAnsi="Times New Roman"/>
          <w:szCs w:val="20"/>
        </w:rPr>
        <w:t>Li, Q. (2008). Study on the detection of motor unit action potentials in surface electromyography [Doctoral dissertation, University of Science and Technology of China, Hefei, Anhui, China].</w:t>
      </w:r>
    </w:p>
    <w:p w14:paraId="359B5E24" w14:textId="77777777" w:rsidR="00391D59" w:rsidRDefault="00391D59" w:rsidP="00391D59">
      <w:pPr>
        <w:pStyle w:val="a8"/>
        <w:numPr>
          <w:ilvl w:val="0"/>
          <w:numId w:val="1"/>
        </w:numPr>
        <w:spacing w:line="360" w:lineRule="auto"/>
        <w:ind w:firstLineChars="0"/>
        <w:rPr>
          <w:rFonts w:ascii="Times New Roman" w:hAnsi="Times New Roman"/>
          <w:szCs w:val="20"/>
        </w:rPr>
      </w:pPr>
      <w:r w:rsidRPr="0089441D">
        <w:rPr>
          <w:rFonts w:ascii="Times New Roman" w:hAnsi="Times New Roman"/>
          <w:szCs w:val="20"/>
        </w:rPr>
        <w:t xml:space="preserve">P. Zhou and W. Z. </w:t>
      </w:r>
      <w:proofErr w:type="spellStart"/>
      <w:r w:rsidRPr="0089441D">
        <w:rPr>
          <w:rFonts w:ascii="Times New Roman" w:hAnsi="Times New Roman"/>
          <w:szCs w:val="20"/>
        </w:rPr>
        <w:t>Rymer</w:t>
      </w:r>
      <w:proofErr w:type="spellEnd"/>
      <w:r w:rsidRPr="0089441D">
        <w:rPr>
          <w:rFonts w:ascii="Times New Roman" w:hAnsi="Times New Roman"/>
          <w:szCs w:val="20"/>
        </w:rPr>
        <w:t xml:space="preserve">, “Factors Governing the Form of the Relation Between Muscle Force and the EMG: A Simulation Study,” Journal of Neurophysiology, vol. 92, no. 5, pp. 2878–2886, Nov. 2004, </w:t>
      </w:r>
      <w:proofErr w:type="spellStart"/>
      <w:r w:rsidRPr="0089441D">
        <w:rPr>
          <w:rFonts w:ascii="Times New Roman" w:hAnsi="Times New Roman"/>
          <w:szCs w:val="20"/>
        </w:rPr>
        <w:t>doi</w:t>
      </w:r>
      <w:proofErr w:type="spellEnd"/>
      <w:r w:rsidRPr="0089441D">
        <w:rPr>
          <w:rFonts w:ascii="Times New Roman" w:hAnsi="Times New Roman"/>
          <w:szCs w:val="20"/>
        </w:rPr>
        <w:t>: 10.1152/jn.00367.2004.</w:t>
      </w:r>
    </w:p>
    <w:p w14:paraId="24775F99" w14:textId="77777777" w:rsidR="00391D59" w:rsidRDefault="00391D59" w:rsidP="00391D59">
      <w:pPr>
        <w:spacing w:line="360" w:lineRule="auto"/>
        <w:rPr>
          <w:rFonts w:ascii="Times New Roman" w:hAnsi="Times New Roman"/>
          <w:szCs w:val="20"/>
        </w:rPr>
      </w:pPr>
    </w:p>
    <w:p w14:paraId="129B463A" w14:textId="77777777" w:rsidR="00391D59" w:rsidRDefault="00391D59" w:rsidP="00391D59">
      <w:pPr>
        <w:spacing w:line="360" w:lineRule="auto"/>
        <w:rPr>
          <w:rFonts w:ascii="Times New Roman" w:hAnsi="Times New Roman"/>
          <w:szCs w:val="20"/>
        </w:rPr>
      </w:pPr>
    </w:p>
    <w:p w14:paraId="444AA785" w14:textId="77777777" w:rsidR="00391D59" w:rsidRPr="00391D59" w:rsidRDefault="00391D59" w:rsidP="00122D5C">
      <w:pPr>
        <w:spacing w:line="360" w:lineRule="auto"/>
        <w:rPr>
          <w:rFonts w:ascii="Times New Roman" w:hAnsi="Times New Roman" w:hint="eastAsia"/>
          <w:szCs w:val="20"/>
        </w:rPr>
      </w:pPr>
    </w:p>
    <w:sectPr w:rsidR="00391D59" w:rsidRPr="00391D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1356A" w14:textId="77777777" w:rsidR="00CF7706" w:rsidRDefault="00CF7706" w:rsidP="000D225A">
      <w:r>
        <w:separator/>
      </w:r>
    </w:p>
  </w:endnote>
  <w:endnote w:type="continuationSeparator" w:id="0">
    <w:p w14:paraId="1EF93D7F" w14:textId="77777777" w:rsidR="00CF7706" w:rsidRDefault="00CF7706" w:rsidP="000D2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C8850" w14:textId="77777777" w:rsidR="00CF7706" w:rsidRDefault="00CF7706" w:rsidP="000D225A">
      <w:r>
        <w:separator/>
      </w:r>
    </w:p>
  </w:footnote>
  <w:footnote w:type="continuationSeparator" w:id="0">
    <w:p w14:paraId="364F70EF" w14:textId="77777777" w:rsidR="00CF7706" w:rsidRDefault="00CF7706" w:rsidP="000D22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A502A6"/>
    <w:multiLevelType w:val="hybridMultilevel"/>
    <w:tmpl w:val="2F042D9C"/>
    <w:lvl w:ilvl="0" w:tplc="916A0EC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F4A"/>
    <w:rsid w:val="0000577D"/>
    <w:rsid w:val="000503BB"/>
    <w:rsid w:val="000D225A"/>
    <w:rsid w:val="00122D5C"/>
    <w:rsid w:val="00165F4A"/>
    <w:rsid w:val="001D2803"/>
    <w:rsid w:val="002A592A"/>
    <w:rsid w:val="00391D59"/>
    <w:rsid w:val="005C61F9"/>
    <w:rsid w:val="0060053B"/>
    <w:rsid w:val="006951D4"/>
    <w:rsid w:val="006F459C"/>
    <w:rsid w:val="0089441D"/>
    <w:rsid w:val="008D4507"/>
    <w:rsid w:val="00A67C90"/>
    <w:rsid w:val="00AC4C60"/>
    <w:rsid w:val="00C267A6"/>
    <w:rsid w:val="00CF7706"/>
    <w:rsid w:val="00D4750A"/>
    <w:rsid w:val="00DC48DF"/>
    <w:rsid w:val="00F546A5"/>
    <w:rsid w:val="00FB7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FA196"/>
  <w15:chartTrackingRefBased/>
  <w15:docId w15:val="{22BF50F9-FB5C-44F5-B7AA-C7F04CBF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05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22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225A"/>
    <w:rPr>
      <w:sz w:val="18"/>
      <w:szCs w:val="18"/>
    </w:rPr>
  </w:style>
  <w:style w:type="paragraph" w:styleId="a5">
    <w:name w:val="footer"/>
    <w:basedOn w:val="a"/>
    <w:link w:val="a6"/>
    <w:uiPriority w:val="99"/>
    <w:unhideWhenUsed/>
    <w:rsid w:val="000D225A"/>
    <w:pPr>
      <w:tabs>
        <w:tab w:val="center" w:pos="4153"/>
        <w:tab w:val="right" w:pos="8306"/>
      </w:tabs>
      <w:snapToGrid w:val="0"/>
      <w:jc w:val="left"/>
    </w:pPr>
    <w:rPr>
      <w:sz w:val="18"/>
      <w:szCs w:val="18"/>
    </w:rPr>
  </w:style>
  <w:style w:type="character" w:customStyle="1" w:styleId="a6">
    <w:name w:val="页脚 字符"/>
    <w:basedOn w:val="a0"/>
    <w:link w:val="a5"/>
    <w:uiPriority w:val="99"/>
    <w:rsid w:val="000D225A"/>
    <w:rPr>
      <w:sz w:val="18"/>
      <w:szCs w:val="18"/>
    </w:rPr>
  </w:style>
  <w:style w:type="table" w:styleId="a7">
    <w:name w:val="Table Grid"/>
    <w:basedOn w:val="a1"/>
    <w:uiPriority w:val="39"/>
    <w:rsid w:val="000503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4750A"/>
    <w:pPr>
      <w:ind w:firstLineChars="200" w:firstLine="420"/>
    </w:pPr>
    <w:rPr>
      <w:rFonts w:ascii="等线" w:eastAsia="等线" w:hAnsi="等线"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329650">
      <w:bodyDiv w:val="1"/>
      <w:marLeft w:val="0"/>
      <w:marRight w:val="0"/>
      <w:marTop w:val="0"/>
      <w:marBottom w:val="0"/>
      <w:divBdr>
        <w:top w:val="none" w:sz="0" w:space="0" w:color="auto"/>
        <w:left w:val="none" w:sz="0" w:space="0" w:color="auto"/>
        <w:bottom w:val="none" w:sz="0" w:space="0" w:color="auto"/>
        <w:right w:val="none" w:sz="0" w:space="0" w:color="auto"/>
      </w:divBdr>
      <w:divsChild>
        <w:div w:id="1777747091">
          <w:marLeft w:val="0"/>
          <w:marRight w:val="0"/>
          <w:marTop w:val="0"/>
          <w:marBottom w:val="0"/>
          <w:divBdr>
            <w:top w:val="none" w:sz="0" w:space="0" w:color="auto"/>
            <w:left w:val="none" w:sz="0" w:space="0" w:color="auto"/>
            <w:bottom w:val="none" w:sz="0" w:space="0" w:color="auto"/>
            <w:right w:val="none" w:sz="0" w:space="0" w:color="auto"/>
          </w:divBdr>
          <w:divsChild>
            <w:div w:id="1999570657">
              <w:marLeft w:val="0"/>
              <w:marRight w:val="0"/>
              <w:marTop w:val="0"/>
              <w:marBottom w:val="0"/>
              <w:divBdr>
                <w:top w:val="none" w:sz="0" w:space="0" w:color="auto"/>
                <w:left w:val="none" w:sz="0" w:space="0" w:color="auto"/>
                <w:bottom w:val="none" w:sz="0" w:space="0" w:color="auto"/>
                <w:right w:val="none" w:sz="0" w:space="0" w:color="auto"/>
              </w:divBdr>
              <w:divsChild>
                <w:div w:id="15420164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554</Words>
  <Characters>3163</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2024-06-02T08:30:00Z</dcterms:created>
  <dcterms:modified xsi:type="dcterms:W3CDTF">2024-06-02T11:42:00Z</dcterms:modified>
</cp:coreProperties>
</file>