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eastAsia="黑体"/>
          <w:b/>
          <w:sz w:val="36"/>
        </w:rPr>
        <w:t>一种基于配电网运行数据的储能系统容量搜索空间自适应确定方法</w:t>
      </w:r>
    </w:p>
    <w:p>
      <w:pPr>
        <w:spacing w:after="120" w:line="360" w:lineRule="auto"/>
      </w:pPr>
      <w:r>
        <w:rPr>
          <w:rFonts w:ascii="Times New Roman" w:hAnsi="Times New Roman" w:eastAsia="宋体"/>
          <w:b/>
          <w:sz w:val="24"/>
        </w:rPr>
        <w:t>发明人：</w:t>
      </w:r>
    </w:p>
    <w:p>
      <w:pPr>
        <w:spacing w:after="120" w:line="360" w:lineRule="auto"/>
      </w:pPr>
      <w:r>
        <w:rPr>
          <w:rFonts w:ascii="Times New Roman" w:hAnsi="Times New Roman" w:eastAsia="宋体"/>
          <w:b/>
          <w:sz w:val="24"/>
        </w:rPr>
        <w:t>申请（专利权）人：</w:t>
      </w:r>
    </w:p>
    <w:p>
      <w:pPr>
        <w:spacing w:after="120" w:line="360" w:lineRule="auto"/>
      </w:pPr>
      <w:r>
        <w:rPr>
          <w:rFonts w:ascii="Times New Roman" w:hAnsi="Times New Roman" w:eastAsia="宋体"/>
          <w:b/>
          <w:sz w:val="24"/>
        </w:rPr>
        <w:t>地址：</w:t>
      </w:r>
    </w:p>
    <w:p>
      <w:pPr>
        <w:spacing w:after="120" w:line="360" w:lineRule="auto"/>
      </w:pPr>
      <w:r>
        <w:rPr>
          <w:rFonts w:ascii="Times New Roman" w:hAnsi="Times New Roman" w:eastAsia="宋体"/>
          <w:b w:val="0"/>
          <w:sz w:val="24"/>
        </w:rPr>
        <w:t>---</w:t>
      </w:r>
    </w:p>
    <w:p>
      <w:pPr>
        <w:spacing w:before="240" w:after="120"/>
      </w:pPr>
      <w:r>
        <w:rPr>
          <w:rFonts w:ascii="Times New Roman" w:hAnsi="Times New Roman" w:eastAsia="黑体"/>
          <w:b/>
          <w:sz w:val="28"/>
        </w:rPr>
        <w:t>本专利的应用领域</w:t>
      </w:r>
    </w:p>
    <w:p>
      <w:pPr>
        <w:spacing w:after="120" w:line="360" w:lineRule="auto"/>
      </w:pPr>
      <w:r>
        <w:rPr>
          <w:rFonts w:ascii="Times New Roman" w:hAnsi="Times New Roman" w:eastAsia="宋体"/>
          <w:b w:val="0"/>
          <w:sz w:val="24"/>
        </w:rPr>
        <w:t>本发明属于电力系统储能规划技术领域，具体涉及一种基于配电网运行数据的储能系统容量搜索空间自适应确定方法，适用于配电网侧储能系统的容量优化配置、储能选址定容规划、分布式储能资源的智能化配置决策以及配电网储能工程项目的前期可行性评估。</w:t>
      </w:r>
    </w:p>
    <w:p>
      <w:pPr>
        <w:spacing w:after="120" w:line="360" w:lineRule="auto"/>
      </w:pPr>
      <w:r>
        <w:rPr>
          <w:rFonts w:ascii="Times New Roman" w:hAnsi="Times New Roman" w:eastAsia="宋体"/>
          <w:b w:val="0"/>
          <w:sz w:val="24"/>
        </w:rPr>
        <w:t>---</w:t>
      </w:r>
    </w:p>
    <w:p>
      <w:pPr>
        <w:spacing w:before="240" w:after="120"/>
      </w:pPr>
      <w:r>
        <w:rPr>
          <w:rFonts w:ascii="Times New Roman" w:hAnsi="Times New Roman" w:eastAsia="黑体"/>
          <w:b/>
          <w:sz w:val="28"/>
        </w:rPr>
        <w:t>本专利的任务是什么，或要解决的技术问题是什么？</w:t>
      </w:r>
    </w:p>
    <w:p>
      <w:pPr>
        <w:spacing w:after="120" w:line="360" w:lineRule="auto"/>
      </w:pPr>
      <w:r>
        <w:rPr>
          <w:rFonts w:ascii="Times New Roman" w:hAnsi="Times New Roman" w:eastAsia="宋体"/>
          <w:b w:val="0"/>
          <w:sz w:val="24"/>
        </w:rPr>
        <w:t>配电网侧储能系统在削峰填谷、缓解设备重过载、改善电压质量、提升新能源消纳能力和提供辅助服务等方面具有重要作用。在储能优化配置过程中，容量搜索空间的确定直接影响后续选址定容、运行仿真和经济性评估的效率与质量。若搜索范围过宽，会产生大量无效候选方案，导致潮流计算和年度调度仿真的计算资源严重浪费；若搜索范围过窄，则可能遗漏该配电网场景下经济性或技术性较优的配置方案。</w:t>
      </w:r>
    </w:p>
    <w:p>
      <w:pPr>
        <w:spacing w:after="120" w:line="360" w:lineRule="auto"/>
      </w:pPr>
      <w:r>
        <w:rPr>
          <w:rFonts w:ascii="Times New Roman" w:hAnsi="Times New Roman" w:eastAsia="宋体"/>
          <w:b w:val="0"/>
          <w:sz w:val="24"/>
        </w:rPr>
        <w:t>现有储能容量搜索空间确定方法主要包括人工经验设定法、固定比例估算法和多轮优化缩减法三类。人工经验设定法依赖规划人员根据负荷峰值和变压器容量凭经验给定储能功率与容量的上下界，缺乏标准化和可复现性；固定比例估算法将储能功率设为峰值负荷的某一固定比例、容量设为功率乘以固定小时数，无法适应不同配电网的负荷特性、光伏渗透率和电价结构差异；多轮优化缩减法先在大范围内粗搜索再逐步收缩，虽然有一定自适应能力，但初始范围仍由经验确定，且每轮收缩仅依赖上一轮优化结果，缺乏物理约束和经济约束的前置引导。</w:t>
      </w:r>
    </w:p>
    <w:p>
      <w:pPr>
        <w:spacing w:after="120" w:line="360" w:lineRule="auto"/>
      </w:pPr>
      <w:r>
        <w:rPr>
          <w:rFonts w:ascii="Times New Roman" w:hAnsi="Times New Roman" w:eastAsia="宋体"/>
          <w:b w:val="0"/>
          <w:sz w:val="24"/>
        </w:rPr>
        <w:t>上述方法的共同缺陷在于：容量边界与负荷特性、网络拓扑和设备约束的耦合不足，参数选择高度依赖人工经验，且约束处理滞后——通常在优化阶段才通过惩罚函数处理变压器容量限制、电压越限和线路过载等约束，导致大量本质上不可行的候选方案仍进入完整的潮流计算和年度调度仿真迭代过程。</w:t>
      </w:r>
    </w:p>
    <w:p>
      <w:pPr>
        <w:spacing w:after="120" w:line="360" w:lineRule="auto"/>
      </w:pPr>
      <w:r>
        <w:rPr>
          <w:rFonts w:ascii="Times New Roman" w:hAnsi="Times New Roman" w:eastAsia="宋体"/>
          <w:b w:val="0"/>
          <w:sz w:val="24"/>
        </w:rPr>
        <w:t>因此，有必要提出一种基于配电网运行数据的储能系统容量搜索空间自适应确定方法，将负荷特征、网络灵敏度、鲁棒风险边界、经济边际收益和设备库规格等多维约束前置到搜索空间生成阶段，实现容量搜索空间的自动、精确、可解释生成，大幅提高储能优化配置的计算效率和方案的工程实用性。</w:t>
      </w:r>
    </w:p>
    <w:p>
      <w:pPr>
        <w:spacing w:after="120" w:line="360" w:lineRule="auto"/>
      </w:pPr>
      <w:r>
        <w:rPr>
          <w:rFonts w:ascii="Times New Roman" w:hAnsi="Times New Roman" w:eastAsia="宋体"/>
          <w:b w:val="0"/>
          <w:sz w:val="24"/>
        </w:rPr>
        <w:t>---</w:t>
      </w:r>
    </w:p>
    <w:p>
      <w:pPr>
        <w:spacing w:before="240" w:after="120"/>
      </w:pPr>
      <w:r>
        <w:rPr>
          <w:rFonts w:ascii="Times New Roman" w:hAnsi="Times New Roman" w:eastAsia="黑体"/>
          <w:b/>
          <w:sz w:val="28"/>
        </w:rPr>
        <w:t>已有技术/产品的不足</w:t>
      </w:r>
    </w:p>
    <w:p>
      <w:pPr>
        <w:spacing w:after="120" w:line="360" w:lineRule="auto"/>
      </w:pPr>
      <w:r>
        <w:rPr>
          <w:rFonts w:ascii="Times New Roman" w:hAnsi="Times New Roman" w:eastAsia="宋体"/>
          <w:b/>
          <w:sz w:val="24"/>
        </w:rPr>
        <w:t>（1）人工经验设定法</w:t>
      </w:r>
    </w:p>
    <w:p>
      <w:pPr>
        <w:spacing w:after="120" w:line="360" w:lineRule="auto"/>
      </w:pPr>
      <w:r>
        <w:rPr>
          <w:rFonts w:ascii="Times New Roman" w:hAnsi="Times New Roman" w:eastAsia="宋体"/>
          <w:b w:val="0"/>
          <w:sz w:val="24"/>
        </w:rPr>
        <w:t>规划人员根据配电网负荷峰值、变压器额定容量和工程经验，人工设定储能功率和容量的搜索上下界，例如取功率范围为峰值负荷的5%~50%，容量范围为功率乘以1~4小时。该方法完全依赖个人经验，参数选取缺乏理论依据和数据支撑，对复杂配电网场景的适应性极差，容易因保守估计导致遗漏优解，或因激进估计引入大量不可行方案。</w:t>
      </w:r>
    </w:p>
    <w:p>
      <w:pPr>
        <w:spacing w:after="120" w:line="360" w:lineRule="auto"/>
      </w:pPr>
      <w:r>
        <w:rPr>
          <w:rFonts w:ascii="Times New Roman" w:hAnsi="Times New Roman" w:eastAsia="宋体"/>
          <w:b/>
          <w:sz w:val="24"/>
        </w:rPr>
        <w:t>（2）固定比例估算法</w:t>
      </w:r>
    </w:p>
    <w:p>
      <w:pPr>
        <w:spacing w:after="120" w:line="360" w:lineRule="auto"/>
      </w:pPr>
      <w:r>
        <w:rPr>
          <w:rFonts w:ascii="Times New Roman" w:hAnsi="Times New Roman" w:eastAsia="宋体"/>
          <w:b w:val="0"/>
          <w:sz w:val="24"/>
        </w:rPr>
        <w:t>参考文献[Adekunle et al., "Optimal sizing of battery energy storage system in a distribution network", IEEE Access, 2021]，其将储能功率范围设为配变容量的10%~60%，容量范围设为功率乘以固定系数2~6小时。该方法虽然简单易用，但忽略了负荷的时变特性、光伏出力的季节差异、电价峰谷深度和网络拓扑约束，无法自适应不同的配电网运行场景。</w:t>
      </w:r>
    </w:p>
    <w:p>
      <w:pPr>
        <w:spacing w:after="120" w:line="360" w:lineRule="auto"/>
      </w:pPr>
      <w:r>
        <w:rPr>
          <w:rFonts w:ascii="Times New Roman" w:hAnsi="Times New Roman" w:eastAsia="宋体"/>
          <w:b/>
          <w:sz w:val="24"/>
        </w:rPr>
        <w:t>（3）多轮优化缩减法</w:t>
      </w:r>
    </w:p>
    <w:p>
      <w:pPr>
        <w:spacing w:after="120" w:line="360" w:lineRule="auto"/>
      </w:pPr>
      <w:r>
        <w:rPr>
          <w:rFonts w:ascii="Times New Roman" w:hAnsi="Times New Roman" w:eastAsia="宋体"/>
          <w:b w:val="0"/>
          <w:sz w:val="24"/>
        </w:rPr>
        <w:t>参考文献[Zhang et al., "A two-stage robust optimization approach for energy storage sizing", IEEE Trans. Power Systems, 2020]，该方法先采用宽范围的遗传算法或粒子群算法进行粗搜索，再将搜索范围按比例收缩后进行精细搜索。虽然通过多轮迭代实现了一定程度的空间收缩，但初始搜索范围仍需人工设定，且每轮收缩仅基于上一轮优化结果的统计分布，未引入物理约束和经济约束的前置判断，收敛速度仍有较大提升空间。</w:t>
      </w:r>
    </w:p>
    <w:p>
      <w:pPr>
        <w:spacing w:after="120" w:line="360" w:lineRule="auto"/>
      </w:pPr>
      <w:r>
        <w:rPr>
          <w:rFonts w:ascii="Times New Roman" w:hAnsi="Times New Roman" w:eastAsia="宋体"/>
          <w:b/>
          <w:sz w:val="24"/>
        </w:rPr>
        <w:t>（4）基于灵敏度分析的规划方法</w:t>
      </w:r>
    </w:p>
    <w:p>
      <w:pPr>
        <w:spacing w:after="120" w:line="360" w:lineRule="auto"/>
      </w:pPr>
      <w:r>
        <w:rPr>
          <w:rFonts w:ascii="Times New Roman" w:hAnsi="Times New Roman" w:eastAsia="宋体"/>
          <w:b w:val="0"/>
          <w:sz w:val="24"/>
        </w:rPr>
        <w:t>参考文献[Macedo et al., "Optimal sizing and placement of energy storage systems in distribution networks", IEEE Trans. Smart Grid, 2019]，该方法利用电压灵敏度矩阵指导储能选址，但在定容阶段仍采用固定搜索范围，未将灵敏度信息充分转化为容量边界的自适应约束。</w:t>
      </w:r>
    </w:p>
    <w:p>
      <w:pPr>
        <w:spacing w:after="120" w:line="360" w:lineRule="auto"/>
      </w:pPr>
      <w:r>
        <w:rPr>
          <w:rFonts w:ascii="Times New Roman" w:hAnsi="Times New Roman" w:eastAsia="宋体"/>
          <w:b/>
          <w:sz w:val="24"/>
        </w:rPr>
        <w:t>（5）典型设备库匹配法</w:t>
      </w:r>
    </w:p>
    <w:p>
      <w:pPr>
        <w:spacing w:after="120" w:line="360" w:lineRule="auto"/>
      </w:pPr>
      <w:r>
        <w:rPr>
          <w:rFonts w:ascii="Times New Roman" w:hAnsi="Times New Roman" w:eastAsia="宋体"/>
          <w:b w:val="0"/>
          <w:sz w:val="24"/>
        </w:rPr>
        <w:t>部分商业软件（如HOMER Energy、DER-CAM）在候选方案生成时直接枚举设备库中的所有型号组合。当设备库规模较大时，枚举组合数量呈指数增长，且未对明显不经济的型号进行预筛选，导致优化效率极低。</w:t>
      </w:r>
    </w:p>
    <w:p>
      <w:pPr>
        <w:spacing w:after="120" w:line="360" w:lineRule="auto"/>
      </w:pPr>
      <w:r>
        <w:rPr>
          <w:rFonts w:ascii="Times New Roman" w:hAnsi="Times New Roman" w:eastAsia="宋体"/>
          <w:b w:val="0"/>
          <w:sz w:val="24"/>
        </w:rPr>
        <w:t>综上，现有技术在复杂配电网储能容量配置场景下，普遍存在以下共性不足：容量搜索边界的确定缺少由配电网运行数据直接定量推导的标准化方法；变压器容量、电压越限、线路过载、反送电限制等约束处理滞后，未能前置到搜索空间生成阶段；未将经济边际收益和设备库规格等约束纳入初始搜索空间；优化反馈信息未被有效利用以进一步自适应调整搜索空间。因此，亟需一种能够综合运行数据、物理约束、经济判据和设备库信息，实现搜索空间自动生成与动态调整的系统性方法。</w:t>
      </w:r>
    </w:p>
    <w:p>
      <w:pPr>
        <w:spacing w:after="120" w:line="360" w:lineRule="auto"/>
      </w:pPr>
      <w:r>
        <w:rPr>
          <w:rFonts w:ascii="Times New Roman" w:hAnsi="Times New Roman" w:eastAsia="宋体"/>
          <w:b w:val="0"/>
          <w:sz w:val="24"/>
        </w:rPr>
        <w:t>---</w:t>
      </w:r>
    </w:p>
    <w:p>
      <w:pPr>
        <w:spacing w:before="240" w:after="120"/>
      </w:pPr>
      <w:r>
        <w:rPr>
          <w:rFonts w:ascii="Times New Roman" w:hAnsi="Times New Roman" w:eastAsia="黑体"/>
          <w:b/>
          <w:sz w:val="28"/>
        </w:rPr>
        <w:t>本专利的内容</w:t>
      </w:r>
    </w:p>
    <w:p>
      <w:pPr>
        <w:spacing w:before="160" w:after="120"/>
      </w:pPr>
      <w:r>
        <w:rPr>
          <w:rFonts w:ascii="Times New Roman" w:hAnsi="Times New Roman" w:eastAsia="黑体"/>
          <w:b/>
          <w:sz w:val="26"/>
        </w:rPr>
        <w:t>总体方案</w:t>
      </w:r>
    </w:p>
    <w:p>
      <w:pPr>
        <w:spacing w:after="120" w:line="360" w:lineRule="auto"/>
      </w:pPr>
      <w:r>
        <w:rPr>
          <w:rFonts w:ascii="Times New Roman" w:hAnsi="Times New Roman" w:eastAsia="宋体"/>
          <w:b w:val="0"/>
          <w:sz w:val="24"/>
        </w:rPr>
        <w:t>本发明提出一种基于配电网运行数据的储能系统容量搜索空间自适应确定方法。其总体思路为：首先从配电网8760小时量测或仿真数据中构造多源运行特征张量，并基于网络灵敏度分析建立储能注入可行域；然后在鲁棒置信保护下生成功率上界和高价值事件能量约束下的容量上界；再引入经济边际收益饱和判据裁剪容量区间；随后将连续可行域投影到标准储能设备库并执行支配剪枝，生成离散候选集；最后在优化迭代过程中根据活跃约束和收益梯度反馈进行二次自适应调整。</w:t>
      </w:r>
    </w:p>
    <w:p>
      <w:pPr>
        <w:spacing w:after="120" w:line="360" w:lineRule="auto"/>
      </w:pPr>
      <w:r>
        <w:rPr>
          <w:rFonts w:ascii="Times New Roman" w:hAnsi="Times New Roman" w:eastAsia="宋体"/>
          <w:b w:val="0"/>
          <w:sz w:val="24"/>
        </w:rPr>
        <w:t>如图1所示，本发明的整体处理流程可概括为：多源运行数据接入→特征张量构造→网络灵敏度可行域生成→鲁棒边界与容量边界计算→经济边际裁剪→设备库投影与候选集生成→优化器迭代→反馈驱动的二次边界调整→最终输出最优储能配置方案。</w:t>
      </w:r>
    </w:p>
    <w:p>
      <w:pPr>
        <w:spacing w:before="160" w:after="40"/>
        <w:jc w:val="center"/>
      </w:pPr>
      <w:r>
        <w:drawing>
          <wp:inline xmlns:a="http://schemas.openxmlformats.org/drawingml/2006/main" xmlns:pic="http://schemas.openxmlformats.org/drawingml/2006/picture">
            <wp:extent cx="5303520" cy="3800856"/>
            <wp:docPr id="1" name="Picture 1"/>
            <wp:cNvGraphicFramePr>
              <a:graphicFrameLocks noChangeAspect="1"/>
            </wp:cNvGraphicFramePr>
            <a:graphic>
              <a:graphicData uri="http://schemas.openxmlformats.org/drawingml/2006/picture">
                <pic:pic>
                  <pic:nvPicPr>
                    <pic:cNvPr id="0" name="fig01_overall_framework.png"/>
                    <pic:cNvPicPr/>
                  </pic:nvPicPr>
                  <pic:blipFill>
                    <a:blip r:embed="rId9"/>
                    <a:stretch>
                      <a:fillRect/>
                    </a:stretch>
                  </pic:blipFill>
                  <pic:spPr>
                    <a:xfrm>
                      <a:off x="0" y="0"/>
                      <a:ext cx="5303520" cy="3800856"/>
                    </a:xfrm>
                    <a:prstGeom prst="rect"/>
                  </pic:spPr>
                </pic:pic>
              </a:graphicData>
            </a:graphic>
          </wp:inline>
        </w:drawing>
      </w:r>
    </w:p>
    <w:p>
      <w:pPr>
        <w:spacing w:after="200"/>
        <w:jc w:val="center"/>
      </w:pPr>
      <w:r>
        <w:rPr>
          <w:rFonts w:ascii="Times New Roman" w:hAnsi="Times New Roman" w:eastAsia="宋体"/>
          <w:color w:val="505050"/>
          <w:sz w:val="18"/>
        </w:rPr>
        <w:t>图1  多层约束可行域自适应生成框架</w:t>
      </w:r>
    </w:p>
    <w:p>
      <w:pPr>
        <w:spacing w:before="160" w:after="120"/>
      </w:pPr>
      <w:r>
        <w:rPr>
          <w:rFonts w:ascii="Times New Roman" w:hAnsi="Times New Roman" w:eastAsia="黑体"/>
          <w:b/>
          <w:sz w:val="26"/>
        </w:rPr>
        <w:t>1. 多源运行状态向量与特征张量构造</w:t>
      </w:r>
    </w:p>
    <w:p>
      <w:pPr>
        <w:spacing w:after="120" w:line="360" w:lineRule="auto"/>
      </w:pPr>
      <w:r>
        <w:rPr>
          <w:rFonts w:ascii="Times New Roman" w:hAnsi="Times New Roman" w:eastAsia="宋体"/>
          <w:b w:val="0"/>
          <w:sz w:val="24"/>
        </w:rPr>
        <w:t>设配电网拓扑为 G=(B,L)，其中 B 为节点集合（含源节点和负荷节点），L 为线路集合。候选储能接入节点记为 b^*∈B。采样时刻集合为 T，|T|=8760 对应年度小时级数据。对每个时刻 t∈T，定义多源运行状态向量：</w:t>
      </w:r>
    </w:p>
    <w:p>
      <w:pPr>
        <w:spacing w:after="120" w:line="360" w:lineRule="auto"/>
      </w:pPr>
      <w:r>
        <w:rPr>
          <w:rFonts w:ascii="Times New Roman" w:hAnsi="Times New Roman" w:eastAsia="宋体"/>
          <w:b w:val="0"/>
          <w:sz w:val="24"/>
        </w:rPr>
        <w:t>s_t = [p_t^(b*), g_t^(b*), π_t, V_t^(b*), I_t^(l1), ..., I_t^(l|L|)]</w:t>
      </w:r>
    </w:p>
    <w:p>
      <w:pPr>
        <w:spacing w:after="120" w:line="360" w:lineRule="auto"/>
      </w:pPr>
      <w:r>
        <w:rPr>
          <w:rFonts w:ascii="Times New Roman" w:hAnsi="Times New Roman" w:eastAsia="宋体"/>
          <w:b w:val="0"/>
          <w:sz w:val="24"/>
        </w:rPr>
        <w:t>其中，p_t^(b*)为目标节点净负荷（负荷减去分布式光伏出力，kW），g_t^(b*)为光伏出力（kW），π_t为分时电价或调度价值信号（元/kWh），V_t^(b*)为节点电压标幺值，I_t^(l)为线路 l 的负载率（%）。</w:t>
      </w:r>
    </w:p>
    <w:p>
      <w:pPr>
        <w:spacing w:after="120" w:line="360" w:lineRule="auto"/>
      </w:pPr>
      <w:r>
        <w:rPr>
          <w:rFonts w:ascii="Times New Roman" w:hAnsi="Times New Roman" w:eastAsia="宋体"/>
          <w:b w:val="0"/>
          <w:sz w:val="24"/>
        </w:rPr>
        <w:t>本发明不直接使用峰值、均值等低阶统计量，而是构造能够描述日内持续性、爬坡强度、可充电窗口和网络裕度的特征张量 Φ。定义以下特征分量：</w:t>
      </w:r>
    </w:p>
    <w:p>
      <w:pPr>
        <w:spacing w:after="120" w:line="360" w:lineRule="auto"/>
      </w:pPr>
      <w:r>
        <w:rPr>
          <w:rFonts w:ascii="Times New Roman" w:hAnsi="Times New Roman" w:eastAsia="宋体"/>
          <w:b/>
          <w:sz w:val="24"/>
        </w:rPr>
        <w:t>（a）高负荷持续时间特征</w:t>
      </w:r>
    </w:p>
    <w:p>
      <w:pPr>
        <w:spacing w:after="120" w:line="360" w:lineRule="auto"/>
      </w:pPr>
      <w:r>
        <w:rPr>
          <w:rFonts w:ascii="Times New Roman" w:hAnsi="Times New Roman" w:eastAsia="宋体"/>
          <w:b w:val="0"/>
          <w:sz w:val="24"/>
        </w:rPr>
        <w:t>设阈值 θ_H 为净负荷的90%分位数，定义指示函数：</w:t>
      </w:r>
    </w:p>
    <w:p>
      <w:pPr>
        <w:spacing w:after="120" w:line="360" w:lineRule="auto"/>
      </w:pPr>
      <w:r>
        <w:rPr>
          <w:rFonts w:ascii="Times New Roman" w:hAnsi="Times New Roman" w:eastAsia="宋体"/>
          <w:b w:val="0"/>
          <w:sz w:val="24"/>
        </w:rPr>
        <w:t>χ_t^(H) = 1, 若 p_t^(b*) ≥ θ_H；否则为 0。</w:t>
      </w:r>
    </w:p>
    <w:p>
      <w:pPr>
        <w:spacing w:after="120" w:line="360" w:lineRule="auto"/>
      </w:pPr>
      <w:r>
        <w:rPr>
          <w:rFonts w:ascii="Times New Roman" w:hAnsi="Times New Roman" w:eastAsia="宋体"/>
          <w:b w:val="0"/>
          <w:sz w:val="24"/>
        </w:rPr>
        <w:t>连续高负荷事件的集合 E_H 由 χ_t^(H) 的连续正游程构成。对每个事件 e∈E_H，提取其持续时长 T_e^dur 和累计净负荷能量 Q_e^load。高负荷持续时间特征定义为：</w:t>
      </w:r>
    </w:p>
    <w:p>
      <w:pPr>
        <w:spacing w:after="120" w:line="360" w:lineRule="auto"/>
      </w:pPr>
      <w:r>
        <w:rPr>
          <w:rFonts w:ascii="Times New Roman" w:hAnsi="Times New Roman" w:eastAsia="宋体"/>
          <w:b w:val="0"/>
          <w:sz w:val="24"/>
        </w:rPr>
        <w:t>H_θ(p) = [max_e(T_e^dur), mean_e(T_e^dur), max_e(Q_e^load), mean_e(Q_e^load)]   (1)</w:t>
      </w:r>
    </w:p>
    <w:p>
      <w:pPr>
        <w:spacing w:after="120" w:line="360" w:lineRule="auto"/>
      </w:pPr>
      <w:r>
        <w:rPr>
          <w:rFonts w:ascii="Times New Roman" w:hAnsi="Times New Roman" w:eastAsia="宋体"/>
          <w:b/>
          <w:sz w:val="24"/>
        </w:rPr>
        <w:t>（b）充放爬坡强度特征</w:t>
      </w:r>
    </w:p>
    <w:p>
      <w:pPr>
        <w:spacing w:after="120" w:line="360" w:lineRule="auto"/>
      </w:pPr>
      <w:r>
        <w:rPr>
          <w:rFonts w:ascii="Times New Roman" w:hAnsi="Times New Roman" w:eastAsia="宋体"/>
          <w:b w:val="0"/>
          <w:sz w:val="24"/>
        </w:rPr>
        <w:t>定义相邻时刻的净负荷变化量：</w:t>
      </w:r>
    </w:p>
    <w:p>
      <w:pPr>
        <w:spacing w:after="120" w:line="360" w:lineRule="auto"/>
      </w:pPr>
      <w:r>
        <w:rPr>
          <w:rFonts w:ascii="Times New Roman" w:hAnsi="Times New Roman" w:eastAsia="宋体"/>
          <w:b w:val="0"/>
          <w:sz w:val="24"/>
        </w:rPr>
        <w:t>Δp_t = p_{t+1}^(b*) - p_t^(b*)</w:t>
      </w:r>
    </w:p>
    <w:p>
      <w:pPr>
        <w:spacing w:after="120" w:line="360" w:lineRule="auto"/>
      </w:pPr>
      <w:r>
        <w:rPr>
          <w:rFonts w:ascii="Times New Roman" w:hAnsi="Times New Roman" w:eastAsia="宋体"/>
          <w:b w:val="0"/>
          <w:sz w:val="24"/>
        </w:rPr>
        <w:t>正爬坡集合 R^+ = {Δp_t : Δp_t &gt; 0}，负爬坡集合 R^- = {|Δp_t| : Δp_t &lt; 0}。爬坡特征为：</w:t>
      </w:r>
    </w:p>
    <w:p>
      <w:pPr>
        <w:spacing w:after="120" w:line="360" w:lineRule="auto"/>
      </w:pPr>
      <w:r>
        <w:rPr>
          <w:rFonts w:ascii="Times New Roman" w:hAnsi="Times New Roman" w:eastAsia="宋体"/>
          <w:b w:val="0"/>
          <w:sz w:val="24"/>
        </w:rPr>
        <w:t>R^+_feat = [P_{95}(R^+), mean(R^+), std(R^+)]   (2)</w:t>
      </w:r>
    </w:p>
    <w:p>
      <w:pPr>
        <w:spacing w:after="120" w:line="360" w:lineRule="auto"/>
      </w:pPr>
      <w:r>
        <w:rPr>
          <w:rFonts w:ascii="Times New Roman" w:hAnsi="Times New Roman" w:eastAsia="宋体"/>
          <w:b w:val="0"/>
          <w:sz w:val="24"/>
        </w:rPr>
        <w:t>R^-_feat = [P_{95}(R^-), mean(R^-), std(R^-)]   (3)</w:t>
      </w:r>
    </w:p>
    <w:p>
      <w:pPr>
        <w:spacing w:after="120" w:line="360" w:lineRule="auto"/>
      </w:pPr>
      <w:r>
        <w:rPr>
          <w:rFonts w:ascii="Times New Roman" w:hAnsi="Times New Roman" w:eastAsia="宋体"/>
          <w:b/>
          <w:sz w:val="24"/>
        </w:rPr>
        <w:t>（c）价值窗口编码特征</w:t>
      </w:r>
    </w:p>
    <w:p>
      <w:pPr>
        <w:spacing w:after="120" w:line="360" w:lineRule="auto"/>
      </w:pPr>
      <w:r>
        <w:rPr>
          <w:rFonts w:ascii="Times New Roman" w:hAnsi="Times New Roman" w:eastAsia="宋体"/>
          <w:b w:val="0"/>
          <w:sz w:val="24"/>
        </w:rPr>
        <w:t>将电价套利、容量支撑、需量削减等价值窗口统一编码。定义时刻 t 的综合价值信号：</w:t>
      </w:r>
    </w:p>
    <w:p>
      <w:pPr>
        <w:spacing w:after="120" w:line="360" w:lineRule="auto"/>
      </w:pPr>
      <w:r>
        <w:rPr>
          <w:rFonts w:ascii="Times New Roman" w:hAnsi="Times New Roman" w:eastAsia="宋体"/>
          <w:b w:val="0"/>
          <w:sz w:val="24"/>
        </w:rPr>
        <w:t>ψ_t^val = α_1·π_t^arb + α_2·ρ_t^cap + α_3·δ_t^dem   (4)</w:t>
      </w:r>
    </w:p>
    <w:p>
      <w:pPr>
        <w:spacing w:after="120" w:line="360" w:lineRule="auto"/>
      </w:pPr>
      <w:r>
        <w:rPr>
          <w:rFonts w:ascii="Times New Roman" w:hAnsi="Times New Roman" w:eastAsia="宋体"/>
          <w:b w:val="0"/>
          <w:sz w:val="24"/>
        </w:rPr>
        <w:t>其中，π_t^arb 为分时电价（元/kWh），ρ_t^cap 为容量支撑价值（元/kW/月按时段折算），δ_t^dem 为需量削减价值（元/kW/月按时段折算），α_1, α_2, α_3 为归一化权重。价值窗口特征为：</w:t>
      </w:r>
    </w:p>
    <w:p>
      <w:pPr>
        <w:spacing w:after="120" w:line="360" w:lineRule="auto"/>
      </w:pPr>
      <w:r>
        <w:rPr>
          <w:rFonts w:ascii="Times New Roman" w:hAnsi="Times New Roman" w:eastAsia="宋体"/>
          <w:b w:val="0"/>
          <w:sz w:val="24"/>
        </w:rPr>
        <w:t>W^π_t = [P_{90}(ψ^val), P_{10}(ψ^val), P_{90}(ψ^val) - P_{10}(ψ^val), mean(ψ^val | ψ^val &gt; P_{50}(ψ^val))]   (5)</w:t>
      </w:r>
    </w:p>
    <w:p>
      <w:pPr>
        <w:spacing w:after="120" w:line="360" w:lineRule="auto"/>
      </w:pPr>
      <w:r>
        <w:rPr>
          <w:rFonts w:ascii="Times New Roman" w:hAnsi="Times New Roman" w:eastAsia="宋体"/>
          <w:b w:val="0"/>
          <w:sz w:val="24"/>
        </w:rPr>
        <w:t>综合以上，特征张量 Φ 可表示为：</w:t>
      </w:r>
    </w:p>
    <w:p>
      <w:pPr>
        <w:spacing w:after="120" w:line="360" w:lineRule="auto"/>
      </w:pPr>
      <w:r>
        <w:rPr>
          <w:rFonts w:ascii="Times New Roman" w:hAnsi="Times New Roman" w:eastAsia="宋体"/>
          <w:b w:val="0"/>
          <w:sz w:val="24"/>
        </w:rPr>
        <w:t>Φ = [H_θ(p), R^+_feat, R^-_feat, W^π_t, P_{95}(p), P_{05}(p), mean(p), std(p), CF_g, η_net]   (6)</w:t>
      </w:r>
    </w:p>
    <w:p>
      <w:pPr>
        <w:spacing w:after="120" w:line="360" w:lineRule="auto"/>
      </w:pPr>
      <w:r>
        <w:rPr>
          <w:rFonts w:ascii="Times New Roman" w:hAnsi="Times New Roman" w:eastAsia="宋体"/>
          <w:b w:val="0"/>
          <w:sz w:val="24"/>
        </w:rPr>
        <w:t>其中 CF_g 为光伏容量因子，η_net 为网络平均负载率。通过上述特征张量，容量边界不再由单一峰值决定，而是由"高价值时段的可支撑能量"和"低价值时段的可充电裕度"共同决定。</w:t>
      </w:r>
    </w:p>
    <w:p>
      <w:pPr>
        <w:spacing w:before="160" w:after="120"/>
      </w:pPr>
      <w:r>
        <w:rPr>
          <w:rFonts w:ascii="Times New Roman" w:hAnsi="Times New Roman" w:eastAsia="黑体"/>
          <w:b/>
          <w:sz w:val="26"/>
        </w:rPr>
        <w:t>2. 基于网络灵敏度的储能注入可行域</w:t>
      </w:r>
    </w:p>
    <w:p>
      <w:pPr>
        <w:spacing w:after="120" w:line="360" w:lineRule="auto"/>
      </w:pPr>
      <w:r>
        <w:rPr>
          <w:rFonts w:ascii="Times New Roman" w:hAnsi="Times New Roman" w:eastAsia="宋体"/>
          <w:b w:val="0"/>
          <w:sz w:val="24"/>
        </w:rPr>
        <w:t>为避免每一个随机候选方案都进入完整的 OpenDSS 潮流计算，本发明在搜索空间生成阶段建立储能有功/无功注入对节点电压、线路电流和配变负载的灵敏度近似。该灵敏度可由一次基准潮流扰动计算、历史潮流样本辨识或配电网线性化 DistFlow 模型得到。</w:t>
      </w:r>
    </w:p>
    <w:p>
      <w:pPr>
        <w:spacing w:after="120" w:line="360" w:lineRule="auto"/>
      </w:pPr>
      <w:r>
        <w:rPr>
          <w:rFonts w:ascii="Times New Roman" w:hAnsi="Times New Roman" w:eastAsia="宋体"/>
          <w:b w:val="0"/>
          <w:sz w:val="24"/>
        </w:rPr>
        <w:t>设基准潮流状态下（储能注入为零），节点 i 的电压幅值为 V_i^(0)，线路 j 的电流幅值为 I_j^(0)，配变负载率为 η_tr^(0)。当储能向节点 b^* 注入有功功率 u_t（放电为正，充电为负）和无功功率 q_t 时，近似有：</w:t>
      </w:r>
    </w:p>
    <w:p>
      <w:pPr>
        <w:spacing w:after="120" w:line="360" w:lineRule="auto"/>
      </w:pPr>
      <w:r>
        <w:rPr>
          <w:rFonts w:ascii="Times New Roman" w:hAnsi="Times New Roman" w:eastAsia="宋体"/>
          <w:b w:val="0"/>
          <w:sz w:val="24"/>
        </w:rPr>
        <w:t>V_i(u_t, q_t) ≈ V_i^(0) + S_{V,i}^P · u_t + S_{V,i}^Q · q_t   (7)</w:t>
      </w:r>
    </w:p>
    <w:p>
      <w:pPr>
        <w:spacing w:after="120" w:line="360" w:lineRule="auto"/>
      </w:pPr>
      <w:r>
        <w:rPr>
          <w:rFonts w:ascii="Times New Roman" w:hAnsi="Times New Roman" w:eastAsia="宋体"/>
          <w:b w:val="0"/>
          <w:sz w:val="24"/>
        </w:rPr>
        <w:t>I_j(u_t, q_t) ≈ I_j^(0) + S_{I,j}^P · u_t + S_{I,j}^Q · q_t   (8)</w:t>
      </w:r>
    </w:p>
    <w:p>
      <w:pPr>
        <w:spacing w:after="120" w:line="360" w:lineRule="auto"/>
      </w:pPr>
      <w:r>
        <w:rPr>
          <w:rFonts w:ascii="Times New Roman" w:hAnsi="Times New Roman" w:eastAsia="宋体"/>
          <w:b w:val="0"/>
          <w:sz w:val="24"/>
        </w:rPr>
        <w:t>η_tr(u_t, q_t) ≈ η_tr^(0) + S_{η}^P · u_t + S_{η}^Q · q_t   (9)</w:t>
      </w:r>
    </w:p>
    <w:p>
      <w:pPr>
        <w:spacing w:after="120" w:line="360" w:lineRule="auto"/>
      </w:pPr>
      <w:r>
        <w:rPr>
          <w:rFonts w:ascii="Times New Roman" w:hAnsi="Times New Roman" w:eastAsia="宋体"/>
          <w:b w:val="0"/>
          <w:sz w:val="24"/>
        </w:rPr>
        <w:t>其中，S_{V,i}^P 和 S_{V,i}^Q 分别为节点 i 电压对节点 b^* 注入有功和无功的灵敏度系数；S_{I,j}^P 和 S_{I,j}^Q 分别为线路 j 电流对注入功率的灵敏度；S_{η}^P 和 S_{η}^Q 分别为配变负载率对注入功率的灵敏度。这些灵敏度系数可通过在基准潮流点进行一次扰动计算获得。</w:t>
      </w:r>
    </w:p>
    <w:p>
      <w:pPr>
        <w:spacing w:after="120" w:line="360" w:lineRule="auto"/>
      </w:pPr>
      <w:r>
        <w:rPr>
          <w:rFonts w:ascii="Times New Roman" w:hAnsi="Times New Roman" w:eastAsia="宋体"/>
          <w:b w:val="0"/>
          <w:sz w:val="24"/>
        </w:rPr>
        <w:t>由电压上下限 [V_min, V_max]、线路载流上限 I_j^max、配变容量上限 S_tr^max 和禁止反送电约束，可得到每一时刻的允许注入区间：</w:t>
      </w:r>
    </w:p>
    <w:p>
      <w:pPr>
        <w:spacing w:after="120" w:line="360" w:lineRule="auto"/>
      </w:pPr>
      <w:r>
        <w:rPr>
          <w:rFonts w:ascii="Times New Roman" w:hAnsi="Times New Roman" w:eastAsia="宋体"/>
          <w:b w:val="0"/>
          <w:sz w:val="24"/>
        </w:rPr>
        <w:t>U_t = { (u_t, q_t) : V_min ≤ V_i(u_t, q_t) ≤ V_max, ∀i∈B;</w:t>
      </w:r>
    </w:p>
    <w:p>
      <w:pPr>
        <w:spacing w:after="120" w:line="360" w:lineRule="auto"/>
      </w:pPr>
      <w:r>
        <w:rPr>
          <w:rFonts w:ascii="Times New Roman" w:hAnsi="Times New Roman" w:eastAsia="宋体"/>
          <w:b w:val="0"/>
          <w:sz w:val="24"/>
        </w:rPr>
        <w:t xml:space="preserve">                       0 ≤ I_j(u_t, q_t) ≤ I_j^max, ∀j∈L;</w:t>
      </w:r>
    </w:p>
    <w:p>
      <w:pPr>
        <w:spacing w:after="120" w:line="360" w:lineRule="auto"/>
      </w:pPr>
      <w:r>
        <w:rPr>
          <w:rFonts w:ascii="Times New Roman" w:hAnsi="Times New Roman" w:eastAsia="宋体"/>
          <w:b w:val="0"/>
          <w:sz w:val="24"/>
        </w:rPr>
        <w:t xml:space="preserve">                       0 ≤ η_tr(u_t, q_t) ≤ 1.0;</w:t>
      </w:r>
    </w:p>
    <w:p>
      <w:pPr>
        <w:spacing w:after="120" w:line="360" w:lineRule="auto"/>
      </w:pPr>
      <w:r>
        <w:rPr>
          <w:rFonts w:ascii="Times New Roman" w:hAnsi="Times New Roman" w:eastAsia="宋体"/>
          <w:b w:val="0"/>
          <w:sz w:val="24"/>
        </w:rPr>
        <w:t xml:space="preserve">                       u_t ≥ -P_tr^backfeed }   (10)</w:t>
      </w:r>
    </w:p>
    <w:p>
      <w:pPr>
        <w:spacing w:after="120" w:line="360" w:lineRule="auto"/>
      </w:pPr>
      <w:r>
        <w:rPr>
          <w:rFonts w:ascii="Times New Roman" w:hAnsi="Times New Roman" w:eastAsia="宋体"/>
          <w:b w:val="0"/>
          <w:sz w:val="24"/>
        </w:rPr>
        <w:t>其中 P_tr^backfeed 为允许的最大反送电功率（通常为 0 或配变容量的一定比例）。式(10)定义的 U_t 是时变区间，直接反映配电网在不同负荷时刻对储能充放电的吸纳能力。相比仅用配变额定容量作为静态上界的传统方法，该方法将线路载流限制、电压安全约束和反送电风险提前转化为搜索空间边界。</w:t>
      </w:r>
    </w:p>
    <w:p>
      <w:pPr>
        <w:spacing w:before="160" w:after="120"/>
      </w:pPr>
      <w:r>
        <w:rPr>
          <w:rFonts w:ascii="Times New Roman" w:hAnsi="Times New Roman" w:eastAsia="黑体"/>
          <w:b/>
          <w:sz w:val="26"/>
        </w:rPr>
        <w:t>3. 置信保护的功率上界与风险边界</w:t>
      </w:r>
    </w:p>
    <w:p>
      <w:pPr>
        <w:spacing w:after="120" w:line="360" w:lineRule="auto"/>
      </w:pPr>
      <w:r>
        <w:rPr>
          <w:rFonts w:ascii="Times New Roman" w:hAnsi="Times New Roman" w:eastAsia="宋体"/>
          <w:b w:val="0"/>
          <w:sz w:val="24"/>
        </w:rPr>
        <w:t>考虑到量测误差、负荷预测偏差、光伏出力预测偏差和线性灵敏度近似误差，本发明不直接取 U_t 的极值，而是采用分位数和条件风险价值（Conditional Value-at-Risk, CVaR）构造鲁棒功率上界。</w:t>
      </w:r>
    </w:p>
    <w:p>
      <w:pPr>
        <w:spacing w:after="120" w:line="360" w:lineRule="auto"/>
      </w:pPr>
      <w:r>
        <w:rPr>
          <w:rFonts w:ascii="Times New Roman" w:hAnsi="Times New Roman" w:eastAsia="宋体"/>
          <w:b w:val="0"/>
          <w:sz w:val="24"/>
        </w:rPr>
        <w:t>定义放电允许上界集合 U^+ = {u_t^(max) : (u_t, q_t)∈U_t, u_t &gt; 0}，充电允许功率绝对值上界集合 U^- = {|u_t^(min)| : (u_t, q_t)∈U_t, u_t &lt; 0}。设放电窗口 T_dis 为高负荷、高电价或电网风险释放时段集合，充电窗口 T_ch 为低负荷、低电价或新能源富余时段集合。则功率上界为：</w:t>
      </w:r>
    </w:p>
    <w:p>
      <w:pPr>
        <w:spacing w:after="120" w:line="360" w:lineRule="auto"/>
      </w:pPr>
      <w:r>
        <w:rPr>
          <w:rFonts w:ascii="Times New Roman" w:hAnsi="Times New Roman" w:eastAsia="宋体"/>
          <w:b w:val="0"/>
          <w:sz w:val="24"/>
        </w:rPr>
        <w:t>P_max^dis = P_{β1}(U^+_t, t∈T_dis) · κ_1   (11)</w:t>
      </w:r>
    </w:p>
    <w:p>
      <w:pPr>
        <w:spacing w:after="120" w:line="360" w:lineRule="auto"/>
      </w:pPr>
      <w:r>
        <w:rPr>
          <w:rFonts w:ascii="Times New Roman" w:hAnsi="Times New Roman" w:eastAsia="宋体"/>
          <w:b w:val="0"/>
          <w:sz w:val="24"/>
        </w:rPr>
        <w:t>P_max^ch = P_{β2}(U^-_t, t∈T_ch) · κ_2   (12)</w:t>
      </w:r>
    </w:p>
    <w:p>
      <w:pPr>
        <w:spacing w:after="120" w:line="360" w:lineRule="auto"/>
      </w:pPr>
      <w:r>
        <w:rPr>
          <w:rFonts w:ascii="Times New Roman" w:hAnsi="Times New Roman" w:eastAsia="宋体"/>
          <w:b w:val="0"/>
          <w:sz w:val="24"/>
        </w:rPr>
        <w:t>其中，P_β(·) 表示取 β 分位数，β1, β2 可取 0.80~0.95，用于剔除个别极端时刻的异常值；κ_1, κ_2 为风险放大系数（可取 1.0~1.2），用于在 CVaR 框架下保护尾端风险。最终储能额定功率的搜索上界取两者中的较小值：</w:t>
      </w:r>
    </w:p>
    <w:p>
      <w:pPr>
        <w:spacing w:after="120" w:line="360" w:lineRule="auto"/>
      </w:pPr>
      <w:r>
        <w:rPr>
          <w:rFonts w:ascii="Times New Roman" w:hAnsi="Times New Roman" w:eastAsia="宋体"/>
          <w:b w:val="0"/>
          <w:sz w:val="24"/>
        </w:rPr>
        <w:t>P_max = min(P_max^dis, P_max^ch)   (13)</w:t>
      </w:r>
    </w:p>
    <w:p>
      <w:pPr>
        <w:spacing w:after="120" w:line="360" w:lineRule="auto"/>
      </w:pPr>
      <w:r>
        <w:rPr>
          <w:rFonts w:ascii="Times New Roman" w:hAnsi="Times New Roman" w:eastAsia="宋体"/>
          <w:b w:val="0"/>
          <w:sz w:val="24"/>
        </w:rPr>
        <w:t>通过上述方式，搜索上界具有统计置信含义，可避免被单个量测异常值或预测误差时刻过度放大，同时也避免因过于激进地压缩边界而忽略网络安全裕度。</w:t>
      </w:r>
    </w:p>
    <w:p>
      <w:pPr>
        <w:spacing w:before="160" w:after="120"/>
      </w:pPr>
      <w:r>
        <w:rPr>
          <w:rFonts w:ascii="Times New Roman" w:hAnsi="Times New Roman" w:eastAsia="黑体"/>
          <w:b/>
          <w:sz w:val="26"/>
        </w:rPr>
        <w:t>4. 基于高价值事件能量的容量边界</w:t>
      </w:r>
    </w:p>
    <w:p>
      <w:pPr>
        <w:spacing w:after="120" w:line="360" w:lineRule="auto"/>
      </w:pPr>
      <w:r>
        <w:rPr>
          <w:rFonts w:ascii="Times New Roman" w:hAnsi="Times New Roman" w:eastAsia="宋体"/>
          <w:b w:val="0"/>
          <w:sz w:val="24"/>
        </w:rPr>
        <w:t>储能额定容量 E 的上界不再简单设为"功率乘以固定小时数"，而是根据高价值放电事件所需能量和可充电窗口可恢复能量共同确定。</w:t>
      </w:r>
    </w:p>
    <w:p>
      <w:pPr>
        <w:spacing w:after="120" w:line="360" w:lineRule="auto"/>
      </w:pPr>
      <w:r>
        <w:rPr>
          <w:rFonts w:ascii="Times New Roman" w:hAnsi="Times New Roman" w:eastAsia="宋体"/>
          <w:b/>
          <w:sz w:val="24"/>
        </w:rPr>
        <w:t>（a）放电价值函数与充电机会函数</w:t>
      </w:r>
    </w:p>
    <w:p>
      <w:pPr>
        <w:spacing w:after="120" w:line="360" w:lineRule="auto"/>
      </w:pPr>
      <w:r>
        <w:rPr>
          <w:rFonts w:ascii="Times New Roman" w:hAnsi="Times New Roman" w:eastAsia="宋体"/>
          <w:b w:val="0"/>
          <w:sz w:val="24"/>
        </w:rPr>
        <w:t>系统首先根据电价、负荷越限风险、电压越限风险和新能源弃电风险构造放电价值函数 ψ_t^dis 与充电机会函数 ψ_t^ch：</w:t>
      </w:r>
    </w:p>
    <w:p>
      <w:pPr>
        <w:spacing w:after="120" w:line="360" w:lineRule="auto"/>
      </w:pPr>
      <w:r>
        <w:rPr>
          <w:rFonts w:ascii="Times New Roman" w:hAnsi="Times New Roman" w:eastAsia="宋体"/>
          <w:b w:val="0"/>
          <w:sz w:val="24"/>
        </w:rPr>
        <w:t>ψ_t^dis = w_1·(π_t / π_max) + w_2·(p_t / P_tr^rated) + w_3·I(V_t &lt; V_thr)   (14)</w:t>
      </w:r>
    </w:p>
    <w:p>
      <w:pPr>
        <w:spacing w:after="120" w:line="360" w:lineRule="auto"/>
      </w:pPr>
      <w:r>
        <w:rPr>
          <w:rFonts w:ascii="Times New Roman" w:hAnsi="Times New Roman" w:eastAsia="宋体"/>
          <w:b w:val="0"/>
          <w:sz w:val="24"/>
        </w:rPr>
        <w:t>ψ_t^ch = w_1·(1 - π_t / π_max) + w_2·(P_tr^rated - p_t) / P_tr^rated + w_3·(g_t / G_cap)   (15)</w:t>
      </w:r>
    </w:p>
    <w:p>
      <w:pPr>
        <w:spacing w:after="120" w:line="360" w:lineRule="auto"/>
      </w:pPr>
      <w:r>
        <w:rPr>
          <w:rFonts w:ascii="Times New Roman" w:hAnsi="Times New Roman" w:eastAsia="宋体"/>
          <w:b w:val="0"/>
          <w:sz w:val="24"/>
        </w:rPr>
        <w:t>其中，π_max 为最高电价，P_tr^rated 为配变额定容量，V_thr 为电压越限阈值，G_cap 为光伏装机容量，I(·) 为指示函数，w_1, w_2, w_3 为权重系数。</w:t>
      </w:r>
    </w:p>
    <w:p>
      <w:pPr>
        <w:spacing w:after="120" w:line="360" w:lineRule="auto"/>
      </w:pPr>
      <w:r>
        <w:rPr>
          <w:rFonts w:ascii="Times New Roman" w:hAnsi="Times New Roman" w:eastAsia="宋体"/>
          <w:b/>
          <w:sz w:val="24"/>
        </w:rPr>
        <w:t>（b）高价值放电事件能量</w:t>
      </w:r>
    </w:p>
    <w:p>
      <w:pPr>
        <w:spacing w:after="120" w:line="360" w:lineRule="auto"/>
      </w:pPr>
      <w:r>
        <w:rPr>
          <w:rFonts w:ascii="Times New Roman" w:hAnsi="Times New Roman" w:eastAsia="宋体"/>
          <w:b w:val="0"/>
          <w:sz w:val="24"/>
        </w:rPr>
        <w:t>对 ψ_t^dis 超过其75%分位数的连续时段，提取为高价值放电事件集合 E_dis。对每个事件 e∈E_dis，计算在功率上界 P_max 和 SOC 窗口 [SOC_min, SOC_max] 约束下需要覆盖的事件能量：</w:t>
      </w:r>
    </w:p>
    <w:p>
      <w:pPr>
        <w:spacing w:after="120" w:line="360" w:lineRule="auto"/>
      </w:pPr>
      <w:r>
        <w:rPr>
          <w:rFonts w:ascii="Times New Roman" w:hAnsi="Times New Roman" w:eastAsia="宋体"/>
          <w:b w:val="0"/>
          <w:sz w:val="24"/>
        </w:rPr>
        <w:t>E_e^dis = Σ_{t∈e} p_t^(b*) · Δt   (16)</w:t>
      </w:r>
    </w:p>
    <w:p>
      <w:pPr>
        <w:spacing w:after="120" w:line="360" w:lineRule="auto"/>
      </w:pPr>
      <w:r>
        <w:rPr>
          <w:rFonts w:ascii="Times New Roman" w:hAnsi="Times New Roman" w:eastAsia="宋体"/>
          <w:b w:val="0"/>
          <w:sz w:val="24"/>
        </w:rPr>
        <w:t>额定容量上界的一个候选值为：</w:t>
      </w:r>
    </w:p>
    <w:p>
      <w:pPr>
        <w:spacing w:after="120" w:line="360" w:lineRule="auto"/>
      </w:pPr>
      <w:r>
        <w:rPr>
          <w:rFonts w:ascii="Times New Roman" w:hAnsi="Times New Roman" w:eastAsia="宋体"/>
          <w:b w:val="0"/>
          <w:sz w:val="24"/>
        </w:rPr>
        <w:t>E_max^dis = max_{e∈E_dis} (E_e^dis / η_dis) / (SOC_max - SOC_min)   (17)</w:t>
      </w:r>
    </w:p>
    <w:p>
      <w:pPr>
        <w:spacing w:after="120" w:line="360" w:lineRule="auto"/>
      </w:pPr>
      <w:r>
        <w:rPr>
          <w:rFonts w:ascii="Times New Roman" w:hAnsi="Times New Roman" w:eastAsia="宋体"/>
          <w:b w:val="0"/>
          <w:sz w:val="24"/>
        </w:rPr>
        <w:t>其中 η_dis 为放电效率。</w:t>
      </w:r>
    </w:p>
    <w:p>
      <w:pPr>
        <w:spacing w:after="120" w:line="360" w:lineRule="auto"/>
      </w:pPr>
      <w:r>
        <w:rPr>
          <w:rFonts w:ascii="Times New Roman" w:hAnsi="Times New Roman" w:eastAsia="宋体"/>
          <w:b/>
          <w:sz w:val="24"/>
        </w:rPr>
        <w:t>（c）可充电窗口恢复能量</w:t>
      </w:r>
    </w:p>
    <w:p>
      <w:pPr>
        <w:spacing w:after="120" w:line="360" w:lineRule="auto"/>
      </w:pPr>
      <w:r>
        <w:rPr>
          <w:rFonts w:ascii="Times New Roman" w:hAnsi="Times New Roman" w:eastAsia="宋体"/>
          <w:b w:val="0"/>
          <w:sz w:val="24"/>
        </w:rPr>
        <w:t>对 ψ_t^ch 超过其75%分位数的连续时段，提取为连续充电机会事件集合 E_ch。对每个事件 c∈E_ch，计算可恢复能量：</w:t>
      </w:r>
    </w:p>
    <w:p>
      <w:pPr>
        <w:spacing w:after="120" w:line="360" w:lineRule="auto"/>
      </w:pPr>
      <w:r>
        <w:rPr>
          <w:rFonts w:ascii="Times New Roman" w:hAnsi="Times New Roman" w:eastAsia="宋体"/>
          <w:b w:val="0"/>
          <w:sz w:val="24"/>
        </w:rPr>
        <w:t>E_c^ch = Σ_{t∈c} min(P_max, p_t^(b*) - g_t^(b*)) · Δt · η_ch   (18)</w:t>
      </w:r>
    </w:p>
    <w:p>
      <w:pPr>
        <w:spacing w:after="120" w:line="360" w:lineRule="auto"/>
      </w:pPr>
      <w:r>
        <w:rPr>
          <w:rFonts w:ascii="Times New Roman" w:hAnsi="Times New Roman" w:eastAsia="宋体"/>
          <w:b w:val="0"/>
          <w:sz w:val="24"/>
        </w:rPr>
        <w:t>其中 η_ch 为充电效率。容量上界取二者的置信匹配：</w:t>
      </w:r>
    </w:p>
    <w:p>
      <w:pPr>
        <w:spacing w:after="120" w:line="360" w:lineRule="auto"/>
      </w:pPr>
      <w:r>
        <w:rPr>
          <w:rFonts w:ascii="Times New Roman" w:hAnsi="Times New Roman" w:eastAsia="宋体"/>
          <w:b w:val="0"/>
          <w:sz w:val="24"/>
        </w:rPr>
        <w:t>E_max = γ · max(E_max^dis, max_{c∈E_ch}(E_c^ch))   (19)</w:t>
      </w:r>
    </w:p>
    <w:p>
      <w:pPr>
        <w:spacing w:after="120" w:line="360" w:lineRule="auto"/>
      </w:pPr>
      <w:r>
        <w:rPr>
          <w:rFonts w:ascii="Times New Roman" w:hAnsi="Times New Roman" w:eastAsia="宋体"/>
          <w:b w:val="0"/>
          <w:sz w:val="24"/>
        </w:rPr>
        <w:t>其中 γ 为置信匹配系数，可取 1.05~1.20。</w:t>
      </w:r>
    </w:p>
    <w:p>
      <w:pPr>
        <w:spacing w:after="120" w:line="360" w:lineRule="auto"/>
      </w:pPr>
      <w:r>
        <w:rPr>
          <w:rFonts w:ascii="Times New Roman" w:hAnsi="Times New Roman" w:eastAsia="宋体"/>
          <w:b w:val="0"/>
          <w:sz w:val="24"/>
        </w:rPr>
        <w:t>因此，容量上界与负荷高峰持续时间、可充电窗口长度、SOC 可用窗口、充放电效率和网络裕度均有关，能够自适应适配"短峰高功率型""长峰长时型""光伏富余消纳型"等不同配电网场景。</w:t>
      </w:r>
    </w:p>
    <w:p>
      <w:pPr>
        <w:spacing w:before="160" w:after="120"/>
      </w:pPr>
      <w:r>
        <w:rPr>
          <w:rFonts w:ascii="Times New Roman" w:hAnsi="Times New Roman" w:eastAsia="黑体"/>
          <w:b/>
          <w:sz w:val="26"/>
        </w:rPr>
        <w:t>5. 经济边际收益饱和约束</w:t>
      </w:r>
    </w:p>
    <w:p>
      <w:pPr>
        <w:spacing w:after="120" w:line="360" w:lineRule="auto"/>
      </w:pPr>
      <w:r>
        <w:rPr>
          <w:rFonts w:ascii="Times New Roman" w:hAnsi="Times New Roman" w:eastAsia="宋体"/>
          <w:b w:val="0"/>
          <w:sz w:val="24"/>
        </w:rPr>
        <w:t>为了避免仅从物理可行性角度给出过大的容量范围，本发明还引入经济边际收益饱和判据。设 J(P,E) 为经年度调度仿真和全生命周期经济性评估得到的综合目标函数（最大化口径），可包含净现值（NPV）、峰值削减收益、辅助服务收益、电网安全风险降低收益等，并扣除投资成本、运维成本和退化成本。若在容量方向（能量维度）上的边际收益已经低于等效资本和退化边际成本，则继续扩大容量区间不再具有经济有效性：</w:t>
      </w:r>
    </w:p>
    <w:p>
      <w:pPr>
        <w:spacing w:after="120" w:line="360" w:lineRule="auto"/>
      </w:pPr>
      <w:r>
        <w:rPr>
          <w:rFonts w:ascii="Times New Roman" w:hAnsi="Times New Roman" w:eastAsia="宋体"/>
          <w:b w:val="0"/>
          <w:sz w:val="24"/>
        </w:rPr>
        <w:t>∂J / ∂E ≤ C_cap^annual + C_deg^annual   (20)</w:t>
      </w:r>
    </w:p>
    <w:p>
      <w:pPr>
        <w:spacing w:after="120" w:line="360" w:lineRule="auto"/>
      </w:pPr>
      <w:r>
        <w:rPr>
          <w:rFonts w:ascii="Times New Roman" w:hAnsi="Times New Roman" w:eastAsia="宋体"/>
          <w:b w:val="0"/>
          <w:sz w:val="24"/>
        </w:rPr>
        <w:t>其中 C_cap^annual 为储能系统单位容量的年化资本成本（元/kWh/年），C_deg^annual 为单位容量的年化退化成本（元/kWh/年）。式(20)定义了经济有效容量边界 E_econ。</w:t>
      </w:r>
    </w:p>
    <w:p>
      <w:pPr>
        <w:spacing w:after="120" w:line="360" w:lineRule="auto"/>
      </w:pPr>
      <w:r>
        <w:rPr>
          <w:rFonts w:ascii="Times New Roman" w:hAnsi="Times New Roman" w:eastAsia="宋体"/>
          <w:b w:val="0"/>
          <w:sz w:val="24"/>
        </w:rPr>
        <w:t>同理，功率维度的经济边界满足：</w:t>
      </w:r>
    </w:p>
    <w:p>
      <w:pPr>
        <w:spacing w:after="120" w:line="360" w:lineRule="auto"/>
      </w:pPr>
      <w:r>
        <w:rPr>
          <w:rFonts w:ascii="Times New Roman" w:hAnsi="Times New Roman" w:eastAsia="宋体"/>
          <w:b w:val="0"/>
          <w:sz w:val="24"/>
        </w:rPr>
        <w:t>∂J / ∂P ≤ C_pcs^annual   (21)</w:t>
      </w:r>
    </w:p>
    <w:p>
      <w:pPr>
        <w:spacing w:after="120" w:line="360" w:lineRule="auto"/>
      </w:pPr>
      <w:r>
        <w:rPr>
          <w:rFonts w:ascii="Times New Roman" w:hAnsi="Times New Roman" w:eastAsia="宋体"/>
          <w:b w:val="0"/>
          <w:sz w:val="24"/>
        </w:rPr>
        <w:t>其中 C_pcs^annual 为储能变流器（PCS）单位功率的年化资本成本（元/kW/年）。</w:t>
      </w:r>
    </w:p>
    <w:p>
      <w:pPr>
        <w:spacing w:after="120" w:line="360" w:lineRule="auto"/>
      </w:pPr>
      <w:r>
        <w:rPr>
          <w:rFonts w:ascii="Times New Roman" w:hAnsi="Times New Roman" w:eastAsia="宋体"/>
          <w:b w:val="0"/>
          <w:sz w:val="24"/>
        </w:rPr>
        <w:t>上述判据使搜索空间同时满足物理可行性和经济有效性，避免对"技术上可运行但经济上明显不划算"的大容量方案进行大量无效迭代。</w:t>
      </w:r>
    </w:p>
    <w:p>
      <w:pPr>
        <w:spacing w:before="160" w:after="120"/>
      </w:pPr>
      <w:r>
        <w:rPr>
          <w:rFonts w:ascii="Times New Roman" w:hAnsi="Times New Roman" w:eastAsia="黑体"/>
          <w:b/>
          <w:sz w:val="26"/>
        </w:rPr>
        <w:t>6. 标准设备库投影、支配剪枝与候选集生成</w:t>
      </w:r>
    </w:p>
    <w:p>
      <w:pPr>
        <w:spacing w:after="120" w:line="360" w:lineRule="auto"/>
      </w:pPr>
      <w:r>
        <w:rPr>
          <w:rFonts w:ascii="Times New Roman" w:hAnsi="Times New Roman" w:eastAsia="宋体"/>
          <w:b w:val="0"/>
          <w:sz w:val="24"/>
        </w:rPr>
        <w:t>设连续可行域为 F = {(P,E) : P_min ≤ P ≤ P_max^econ, E_min ≤ E ≤ E_max^econ}，其中 P_max^econ 和 E_max^econ 为经济边界。设备库启用型号集合为 Ω，型号 i 的额定功率、额定容量、时长、单位造价、设计循环寿命和变流器能力分别为 (P_i, E_i, T_i, C_i, N_i, Q_i)。本发明将连续可行域 F 投影到 Ω 上：</w:t>
      </w:r>
    </w:p>
    <w:p>
      <w:pPr>
        <w:spacing w:after="120" w:line="360" w:lineRule="auto"/>
      </w:pPr>
      <w:r>
        <w:rPr>
          <w:rFonts w:ascii="Times New Roman" w:hAnsi="Times New Roman" w:eastAsia="宋体"/>
          <w:b w:val="0"/>
          <w:sz w:val="24"/>
        </w:rPr>
        <w:t>Ω_F = {i∈Ω : P_min · (1 - δ_P) ≤ P_i ≤ P_max^econ · (1 + δ_P),</w:t>
      </w:r>
    </w:p>
    <w:p>
      <w:pPr>
        <w:spacing w:after="120" w:line="360" w:lineRule="auto"/>
      </w:pPr>
      <w:r>
        <w:rPr>
          <w:rFonts w:ascii="Times New Roman" w:hAnsi="Times New Roman" w:eastAsia="宋体"/>
          <w:b w:val="0"/>
          <w:sz w:val="24"/>
        </w:rPr>
        <w:t xml:space="preserve">                     E_min · (1 - δ_E) ≤ E_i ≤ E_max^econ · (1 + δ_E)}   (22)</w:t>
      </w:r>
    </w:p>
    <w:p>
      <w:pPr>
        <w:spacing w:after="120" w:line="360" w:lineRule="auto"/>
      </w:pPr>
      <w:r>
        <w:rPr>
          <w:rFonts w:ascii="Times New Roman" w:hAnsi="Times New Roman" w:eastAsia="宋体"/>
          <w:b w:val="0"/>
          <w:sz w:val="24"/>
        </w:rPr>
        <w:t>其中 δ_P, δ_E 为置信保护膨胀裕度（可取 0.10~0.25），用于防止边界估计误差导致优良型号被过早排除。</w:t>
      </w:r>
    </w:p>
    <w:p>
      <w:pPr>
        <w:spacing w:after="120" w:line="360" w:lineRule="auto"/>
      </w:pPr>
      <w:r>
        <w:rPr>
          <w:rFonts w:ascii="Times New Roman" w:hAnsi="Times New Roman" w:eastAsia="宋体"/>
          <w:b w:val="0"/>
          <w:sz w:val="24"/>
        </w:rPr>
        <w:t>在投影后的集合 Ω_F 中，进一步执行支配剪枝：若型号 i 在功率、容量和循环寿命三个维度上均被型号 j 严格支配（P_i ≤ P_j, E_i ≤ E_j, N_i ≤ N_j，且至少一个不等号严格成立），同时成本 C_i ≥ C_j，则将型号 i 从候选集中剪除。最终，优化器获得的不是连续变量空间，而是少量可直接采购、可报价、可施工的候选型号集合 D。</w:t>
      </w:r>
    </w:p>
    <w:p>
      <w:pPr>
        <w:spacing w:before="160" w:after="40"/>
        <w:jc w:val="center"/>
      </w:pPr>
      <w:r>
        <w:drawing>
          <wp:inline xmlns:a="http://schemas.openxmlformats.org/drawingml/2006/main" xmlns:pic="http://schemas.openxmlformats.org/drawingml/2006/picture">
            <wp:extent cx="5303520" cy="4037112"/>
            <wp:docPr id="2" name="Picture 2"/>
            <wp:cNvGraphicFramePr>
              <a:graphicFrameLocks noChangeAspect="1"/>
            </wp:cNvGraphicFramePr>
            <a:graphic>
              <a:graphicData uri="http://schemas.openxmlformats.org/drawingml/2006/picture">
                <pic:pic>
                  <pic:nvPicPr>
                    <pic:cNvPr id="0" name="fig02_domain_projection.png"/>
                    <pic:cNvPicPr/>
                  </pic:nvPicPr>
                  <pic:blipFill>
                    <a:blip r:embed="rId10"/>
                    <a:stretch>
                      <a:fillRect/>
                    </a:stretch>
                  </pic:blipFill>
                  <pic:spPr>
                    <a:xfrm>
                      <a:off x="0" y="0"/>
                      <a:ext cx="5303520" cy="4037112"/>
                    </a:xfrm>
                    <a:prstGeom prst="rect"/>
                  </pic:spPr>
                </pic:pic>
              </a:graphicData>
            </a:graphic>
          </wp:inline>
        </w:drawing>
      </w:r>
    </w:p>
    <w:p>
      <w:pPr>
        <w:spacing w:after="200"/>
        <w:jc w:val="center"/>
      </w:pPr>
      <w:r>
        <w:rPr>
          <w:rFonts w:ascii="Times New Roman" w:hAnsi="Times New Roman" w:eastAsia="宋体"/>
          <w:color w:val="505050"/>
          <w:sz w:val="18"/>
        </w:rPr>
        <w:t>图2  容量可行域收缩与设备库投影示意图</w:t>
      </w:r>
    </w:p>
    <w:p>
      <w:pPr>
        <w:spacing w:before="160" w:after="120"/>
      </w:pPr>
      <w:r>
        <w:rPr>
          <w:rFonts w:ascii="Times New Roman" w:hAnsi="Times New Roman" w:eastAsia="黑体"/>
          <w:b/>
          <w:sz w:val="26"/>
        </w:rPr>
        <w:t>7. 基于优化反馈的二次自适应调整</w:t>
      </w:r>
    </w:p>
    <w:p>
      <w:pPr>
        <w:spacing w:after="120" w:line="360" w:lineRule="auto"/>
      </w:pPr>
      <w:r>
        <w:rPr>
          <w:rFonts w:ascii="Times New Roman" w:hAnsi="Times New Roman" w:eastAsia="宋体"/>
          <w:b w:val="0"/>
          <w:sz w:val="24"/>
        </w:rPr>
        <w:t>在初始候选集 D^(0) 进入优化器后，本方法还记录每一代中造成候选方案无效或低效的活跃约束。设第 r 轮优化中约束 c 的活跃频率为 A_c^r（即该约束导致候选方案被标记为不可行的比例），收益梯度估计为 g_E^r（能量维度）和 g_P^r（功率维度），则边界收缩因子按下式更新：</w:t>
      </w:r>
    </w:p>
    <w:p>
      <w:pPr>
        <w:spacing w:after="120" w:line="360" w:lineRule="auto"/>
      </w:pPr>
      <w:r>
        <w:rPr>
          <w:rFonts w:ascii="Times New Roman" w:hAnsi="Times New Roman" w:eastAsia="宋体"/>
          <w:b w:val="0"/>
          <w:sz w:val="24"/>
        </w:rPr>
        <w:t>γ_c^(r+1) = γ_c^(r) · exp(-η_A · A_c^r / A_c^max)   (23)</w:t>
      </w:r>
    </w:p>
    <w:p>
      <w:pPr>
        <w:spacing w:after="120" w:line="360" w:lineRule="auto"/>
      </w:pPr>
      <w:r>
        <w:rPr>
          <w:rFonts w:ascii="Times New Roman" w:hAnsi="Times New Roman" w:eastAsia="宋体"/>
          <w:b w:val="0"/>
          <w:sz w:val="24"/>
        </w:rPr>
        <w:t>其中 γ_c^(r) 为第 r 轮约束 c 对应的收缩因子，η_A 为学习率（可取 0.05~0.20），A_c^max 为允许的最大活跃频率。</w:t>
      </w:r>
    </w:p>
    <w:p>
      <w:pPr>
        <w:spacing w:after="120" w:line="360" w:lineRule="auto"/>
      </w:pPr>
      <w:r>
        <w:rPr>
          <w:rFonts w:ascii="Times New Roman" w:hAnsi="Times New Roman" w:eastAsia="宋体"/>
          <w:b w:val="0"/>
          <w:sz w:val="24"/>
        </w:rPr>
        <w:t>Pareto 前沿保护约束：若某候选位于当前 Pareto 前沿的 ε 邻域内（即目标函数值在前沿值的 (1-ε) 倍以内），则即使该候选触发了某些约束，也不将其排除。设第 r 轮 Pareto 前沿集合为 PF^r，则保护条件为：</w:t>
      </w:r>
    </w:p>
    <w:p>
      <w:pPr>
        <w:spacing w:after="120" w:line="360" w:lineRule="auto"/>
      </w:pPr>
      <w:r>
        <w:rPr>
          <w:rFonts w:ascii="Times New Roman" w:hAnsi="Times New Roman" w:eastAsia="宋体"/>
          <w:b w:val="0"/>
          <w:sz w:val="24"/>
        </w:rPr>
        <w:t>x ∈ D^(r+1) 若 ∃ x* ∈ PF^r 使得 J(x) ≥ (1 - ε) · J(x*)   (24)</w:t>
      </w:r>
    </w:p>
    <w:p>
      <w:pPr>
        <w:spacing w:after="120" w:line="360" w:lineRule="auto"/>
      </w:pPr>
      <w:r>
        <w:rPr>
          <w:rFonts w:ascii="Times New Roman" w:hAnsi="Times New Roman" w:eastAsia="宋体"/>
          <w:b w:val="0"/>
          <w:sz w:val="24"/>
        </w:rPr>
        <w:t>更新后的离散候选集 D^(r+1) 在物理可行域、经济有效域的基础上进一步收缩。上述更新并非盲目缩小边界，而是在 Pareto 前沿邻域和统计置信裕度的保护下进行，持续减少无效计算的同时降低因过度收缩而遗漏潜在优解的风险。</w:t>
      </w:r>
    </w:p>
    <w:p>
      <w:pPr>
        <w:spacing w:after="120" w:line="360" w:lineRule="auto"/>
      </w:pPr>
      <w:r>
        <w:rPr>
          <w:rFonts w:ascii="Times New Roman" w:hAnsi="Times New Roman" w:eastAsia="宋体"/>
          <w:b w:val="0"/>
          <w:sz w:val="24"/>
        </w:rPr>
        <w:t>各模块的输入、关键计算和输出汇总如下：</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模块</w:t>
            </w:r>
          </w:p>
        </w:tc>
        <w:tc>
          <w:tcPr>
            <w:tcW w:type="dxa" w:w="2160"/>
          </w:tcPr>
          <w:p>
            <w:r>
              <w:rPr>
                <w:b/>
              </w:rPr>
              <w:t>输入</w:t>
            </w:r>
          </w:p>
        </w:tc>
        <w:tc>
          <w:tcPr>
            <w:tcW w:type="dxa" w:w="2160"/>
          </w:tcPr>
          <w:p>
            <w:r>
              <w:rPr>
                <w:b/>
              </w:rPr>
              <w:t>关键计算</w:t>
            </w:r>
          </w:p>
        </w:tc>
        <w:tc>
          <w:tcPr>
            <w:tcW w:type="dxa" w:w="2160"/>
          </w:tcPr>
          <w:p>
            <w:r>
              <w:rPr>
                <w:b/>
              </w:rPr>
              <w:t>输出</w:t>
            </w:r>
          </w:p>
        </w:tc>
      </w:tr>
      <w:tr>
        <w:tc>
          <w:tcPr>
            <w:tcW w:type="dxa" w:w="2160"/>
          </w:tcPr>
          <w:p>
            <w:r>
              <w:t>运行特征张量</w:t>
            </w:r>
          </w:p>
        </w:tc>
        <w:tc>
          <w:tcPr>
            <w:tcW w:type="dxa" w:w="2160"/>
          </w:tcPr>
          <w:p>
            <w:r>
              <w:t>8760h负荷、PV、电价、拓扑量测</w:t>
            </w:r>
          </w:p>
        </w:tc>
        <w:tc>
          <w:tcPr>
            <w:tcW w:type="dxa" w:w="2160"/>
          </w:tcPr>
          <w:p>
            <w:r>
              <w:t>分位数、爬坡、持续高峰、价值窗口编码</w:t>
            </w:r>
          </w:p>
        </w:tc>
        <w:tc>
          <w:tcPr>
            <w:tcW w:type="dxa" w:w="2160"/>
          </w:tcPr>
          <w:p>
            <w:r>
              <w:t>Φ</w:t>
            </w:r>
          </w:p>
        </w:tc>
      </w:tr>
      <w:tr>
        <w:tc>
          <w:tcPr>
            <w:tcW w:type="dxa" w:w="2160"/>
          </w:tcPr>
          <w:p>
            <w:r>
              <w:t>网络灵敏度可行域</w:t>
            </w:r>
          </w:p>
        </w:tc>
        <w:tc>
          <w:tcPr>
            <w:tcW w:type="dxa" w:w="2160"/>
          </w:tcPr>
          <w:p>
            <w:r>
              <w:t>基准潮流、扰动潮流或DistFlow参数</w:t>
            </w:r>
          </w:p>
        </w:tc>
        <w:tc>
          <w:tcPr>
            <w:tcW w:type="dxa" w:w="2160"/>
          </w:tcPr>
          <w:p>
            <w:r>
              <w:t>电压/线路/配变对储能注入的灵敏度</w:t>
            </w:r>
          </w:p>
        </w:tc>
        <w:tc>
          <w:tcPr>
            <w:tcW w:type="dxa" w:w="2160"/>
          </w:tcPr>
          <w:p>
            <w:r>
              <w:t>U_t, F_0</w:t>
            </w:r>
          </w:p>
        </w:tc>
      </w:tr>
      <w:tr>
        <w:tc>
          <w:tcPr>
            <w:tcW w:type="dxa" w:w="2160"/>
          </w:tcPr>
          <w:p>
            <w:r>
              <w:t>鲁棒边界生成</w:t>
            </w:r>
          </w:p>
        </w:tc>
        <w:tc>
          <w:tcPr>
            <w:tcW w:type="dxa" w:w="2160"/>
          </w:tcPr>
          <w:p>
            <w:r>
              <w:t>U_t、误差分布、风险系数</w:t>
            </w:r>
          </w:p>
        </w:tc>
        <w:tc>
          <w:tcPr>
            <w:tcW w:type="dxa" w:w="2160"/>
          </w:tcPr>
          <w:p>
            <w:r>
              <w:t>分位数与CVaR保护</w:t>
            </w:r>
          </w:p>
        </w:tc>
        <w:tc>
          <w:tcPr>
            <w:tcW w:type="dxa" w:w="2160"/>
          </w:tcPr>
          <w:p>
            <w:r>
              <w:t>P_max, E_max</w:t>
            </w:r>
          </w:p>
        </w:tc>
      </w:tr>
      <w:tr>
        <w:tc>
          <w:tcPr>
            <w:tcW w:type="dxa" w:w="2160"/>
          </w:tcPr>
          <w:p>
            <w:r>
              <w:t>经济边际裁剪</w:t>
            </w:r>
          </w:p>
        </w:tc>
        <w:tc>
          <w:tcPr>
            <w:tcW w:type="dxa" w:w="2160"/>
          </w:tcPr>
          <w:p>
            <w:r>
              <w:t>调度收益、投资成本、退化成本</w:t>
            </w:r>
          </w:p>
        </w:tc>
        <w:tc>
          <w:tcPr>
            <w:tcW w:type="dxa" w:w="2160"/>
          </w:tcPr>
          <w:p>
            <w:r>
              <w:t>边际收益饱和判据</w:t>
            </w:r>
          </w:p>
        </w:tc>
        <w:tc>
          <w:tcPr>
            <w:tcW w:type="dxa" w:w="2160"/>
          </w:tcPr>
          <w:p>
            <w:r>
              <w:t>经济有效可行域 F</w:t>
            </w:r>
          </w:p>
        </w:tc>
      </w:tr>
      <w:tr>
        <w:tc>
          <w:tcPr>
            <w:tcW w:type="dxa" w:w="2160"/>
          </w:tcPr>
          <w:p>
            <w:r>
              <w:t>设备库投影</w:t>
            </w:r>
          </w:p>
        </w:tc>
        <w:tc>
          <w:tcPr>
            <w:tcW w:type="dxa" w:w="2160"/>
          </w:tcPr>
          <w:p>
            <w:r>
              <w:t>标准型号库 Ω</w:t>
            </w:r>
          </w:p>
        </w:tc>
        <w:tc>
          <w:tcPr>
            <w:tcW w:type="dxa" w:w="2160"/>
          </w:tcPr>
          <w:p>
            <w:r>
              <w:t>投影、邻域膨胀、支配剪枝</w:t>
            </w:r>
          </w:p>
        </w:tc>
        <w:tc>
          <w:tcPr>
            <w:tcW w:type="dxa" w:w="2160"/>
          </w:tcPr>
          <w:p>
            <w:r>
              <w:t>离散候选集 D</w:t>
            </w:r>
          </w:p>
        </w:tc>
      </w:tr>
      <w:tr>
        <w:tc>
          <w:tcPr>
            <w:tcW w:type="dxa" w:w="2160"/>
          </w:tcPr>
          <w:p>
            <w:r>
              <w:t>反馈更新</w:t>
            </w:r>
          </w:p>
        </w:tc>
        <w:tc>
          <w:tcPr>
            <w:tcW w:type="dxa" w:w="2160"/>
          </w:tcPr>
          <w:p>
            <w:r>
              <w:t>每代失败原因、活跃约束、Pareto邻域</w:t>
            </w:r>
          </w:p>
        </w:tc>
        <w:tc>
          <w:tcPr>
            <w:tcW w:type="dxa" w:w="2160"/>
          </w:tcPr>
          <w:p>
            <w:r>
              <w:t>γ_c更新与置信裕度保护</w:t>
            </w:r>
          </w:p>
        </w:tc>
        <w:tc>
          <w:tcPr>
            <w:tcW w:type="dxa" w:w="2160"/>
          </w:tcPr>
          <w:p>
            <w:r>
              <w:t>F^(r+1), D^(r+1)</w:t>
            </w:r>
          </w:p>
        </w:tc>
      </w:tr>
    </w:tbl>
    <w:p>
      <w:pPr>
        <w:spacing w:after="120" w:line="360" w:lineRule="auto"/>
      </w:pPr>
      <w:r>
        <w:rPr>
          <w:rFonts w:ascii="Times New Roman" w:hAnsi="Times New Roman" w:eastAsia="宋体"/>
          <w:b w:val="0"/>
          <w:sz w:val="24"/>
        </w:rPr>
        <w:t>---</w:t>
      </w:r>
    </w:p>
    <w:p>
      <w:pPr>
        <w:spacing w:before="240" w:after="120"/>
      </w:pPr>
      <w:r>
        <w:rPr>
          <w:rFonts w:ascii="Times New Roman" w:hAnsi="Times New Roman" w:eastAsia="黑体"/>
          <w:b/>
          <w:sz w:val="28"/>
        </w:rPr>
        <w:t>附图或图表</w:t>
      </w:r>
    </w:p>
    <w:p>
      <w:pPr>
        <w:spacing w:after="120" w:line="360" w:lineRule="auto"/>
      </w:pPr>
      <w:r>
        <w:rPr>
          <w:rFonts w:ascii="Times New Roman" w:hAnsi="Times New Roman" w:eastAsia="宋体"/>
          <w:b w:val="0"/>
          <w:sz w:val="24"/>
        </w:rPr>
        <w:t>1. 图1 多层约束可行域自适应生成框架</w:t>
      </w:r>
    </w:p>
    <w:p>
      <w:pPr>
        <w:spacing w:after="120" w:line="360" w:lineRule="auto"/>
      </w:pPr>
      <w:r>
        <w:rPr>
          <w:rFonts w:ascii="Times New Roman" w:hAnsi="Times New Roman" w:eastAsia="宋体"/>
          <w:b w:val="0"/>
          <w:sz w:val="24"/>
        </w:rPr>
        <w:t>2. 图2 容量可行域收缩与设备库投影示意图</w:t>
      </w:r>
    </w:p>
    <w:p>
      <w:pPr>
        <w:spacing w:after="120" w:line="360" w:lineRule="auto"/>
      </w:pPr>
      <w:r>
        <w:rPr>
          <w:rFonts w:ascii="Times New Roman" w:hAnsi="Times New Roman" w:eastAsia="宋体"/>
          <w:b w:val="0"/>
          <w:sz w:val="24"/>
        </w:rPr>
        <w:t>3. 图3 有无自适应搜索空间的收敛速度与计算时长对比</w:t>
      </w:r>
    </w:p>
    <w:p>
      <w:pPr>
        <w:spacing w:after="120" w:line="360" w:lineRule="auto"/>
      </w:pPr>
      <w:r>
        <w:rPr>
          <w:rFonts w:ascii="Times New Roman" w:hAnsi="Times New Roman" w:eastAsia="宋体"/>
          <w:b w:val="0"/>
          <w:sz w:val="24"/>
        </w:rPr>
        <w:t>4. 图4 特征张量构造流程图</w:t>
      </w:r>
    </w:p>
    <w:p>
      <w:pPr>
        <w:spacing w:after="120" w:line="360" w:lineRule="auto"/>
      </w:pPr>
      <w:r>
        <w:rPr>
          <w:rFonts w:ascii="Times New Roman" w:hAnsi="Times New Roman" w:eastAsia="宋体"/>
          <w:b w:val="0"/>
          <w:sz w:val="24"/>
        </w:rPr>
        <w:t>5. 图5 网络灵敏度可行域计算流程图</w:t>
      </w:r>
    </w:p>
    <w:p>
      <w:pPr>
        <w:spacing w:after="120" w:line="360" w:lineRule="auto"/>
      </w:pPr>
      <w:r>
        <w:rPr>
          <w:rFonts w:ascii="Times New Roman" w:hAnsi="Times New Roman" w:eastAsia="宋体"/>
          <w:b w:val="0"/>
          <w:sz w:val="24"/>
        </w:rPr>
        <w:t>6. 图6 高价值事件能量定容流程图</w:t>
      </w:r>
    </w:p>
    <w:p>
      <w:pPr>
        <w:spacing w:after="120" w:line="360" w:lineRule="auto"/>
      </w:pPr>
      <w:r>
        <w:rPr>
          <w:rFonts w:ascii="Times New Roman" w:hAnsi="Times New Roman" w:eastAsia="宋体"/>
          <w:b w:val="0"/>
          <w:sz w:val="24"/>
        </w:rPr>
        <w:t>7. 图7 反馈驱动的二次自适应调整流程图</w:t>
      </w:r>
    </w:p>
    <w:p>
      <w:pPr>
        <w:spacing w:after="120" w:line="360" w:lineRule="auto"/>
      </w:pPr>
      <w:r>
        <w:rPr>
          <w:rFonts w:ascii="Times New Roman" w:hAnsi="Times New Roman" w:eastAsia="宋体"/>
          <w:b w:val="0"/>
          <w:sz w:val="24"/>
        </w:rPr>
        <w:t>8. 图8 分层约束优先级体系示意图</w:t>
      </w:r>
    </w:p>
    <w:p>
      <w:pPr>
        <w:spacing w:after="120" w:line="360" w:lineRule="auto"/>
      </w:pPr>
      <w:r>
        <w:rPr>
          <w:rFonts w:ascii="Times New Roman" w:hAnsi="Times New Roman" w:eastAsia="宋体"/>
          <w:b w:val="0"/>
          <w:sz w:val="24"/>
        </w:rPr>
        <w:t>---</w:t>
      </w:r>
    </w:p>
    <w:p>
      <w:pPr>
        <w:spacing w:before="240" w:after="120"/>
      </w:pPr>
      <w:r>
        <w:rPr>
          <w:rFonts w:ascii="Times New Roman" w:hAnsi="Times New Roman" w:eastAsia="黑体"/>
          <w:b/>
          <w:sz w:val="28"/>
        </w:rPr>
        <w:t>本专利的效果</w:t>
      </w:r>
    </w:p>
    <w:p>
      <w:pPr>
        <w:spacing w:after="120" w:line="360" w:lineRule="auto"/>
      </w:pPr>
      <w:r>
        <w:rPr>
          <w:rFonts w:ascii="Times New Roman" w:hAnsi="Times New Roman" w:eastAsia="宋体"/>
          <w:b w:val="0"/>
          <w:sz w:val="24"/>
        </w:rPr>
        <w:t>为评估本专利的技术效果，以某实际配电网台区作为实施例进行验证。该台区含33个负荷节点，配变容量为1200kVA，光伏装机容量为400kWp，年度负荷峰值为680kW。分别采用无自适应搜索空间的经验宽范围方法和本专利的自适应搜索空间方法进行储能容量优化配置。</w:t>
      </w:r>
    </w:p>
    <w:p>
      <w:pPr>
        <w:spacing w:after="120" w:line="360" w:lineRule="auto"/>
      </w:pPr>
      <w:r>
        <w:rPr>
          <w:rFonts w:ascii="Times New Roman" w:hAnsi="Times New Roman" w:eastAsia="宋体"/>
          <w:b w:val="0"/>
          <w:sz w:val="24"/>
        </w:rPr>
        <w:t>评价指标定义如下：</w:t>
      </w:r>
    </w:p>
    <w:p>
      <w:pPr>
        <w:spacing w:after="120" w:line="360" w:lineRule="auto"/>
      </w:pPr>
      <w:r>
        <w:rPr>
          <w:rFonts w:ascii="Times New Roman" w:hAnsi="Times New Roman" w:eastAsia="宋体"/>
          <w:b w:val="0"/>
          <w:sz w:val="24"/>
        </w:rPr>
        <w:t>- 无效评估占比 η_invalid =（违反硬约束的候选方案数）/（总评估方案数）</w:t>
      </w:r>
    </w:p>
    <w:p>
      <w:pPr>
        <w:spacing w:after="120" w:line="360" w:lineRule="auto"/>
      </w:pPr>
      <w:r>
        <w:rPr>
          <w:rFonts w:ascii="Times New Roman" w:hAnsi="Times New Roman" w:eastAsia="宋体"/>
          <w:b w:val="0"/>
          <w:sz w:val="24"/>
        </w:rPr>
        <w:t>- ε收敛代数 g_ε = 优化目标值达到最终最优值的 (1-ε) 邻域内所需的最小代数</w:t>
      </w:r>
    </w:p>
    <w:p>
      <w:pPr>
        <w:spacing w:after="120" w:line="360" w:lineRule="auto"/>
      </w:pPr>
      <w:r>
        <w:rPr>
          <w:rFonts w:ascii="Times New Roman" w:hAnsi="Times New Roman" w:eastAsia="宋体"/>
          <w:b w:val="0"/>
          <w:sz w:val="24"/>
        </w:rPr>
        <w:t>- 计算时长降低率 R_T = (T_baseline - T_proposed) / T_baseline × 100%</w:t>
      </w:r>
    </w:p>
    <w:p>
      <w:pPr>
        <w:spacing w:after="120" w:line="360" w:lineRule="auto"/>
      </w:pPr>
      <w:r>
        <w:rPr>
          <w:rFonts w:ascii="Times New Roman" w:hAnsi="Times New Roman" w:eastAsia="宋体"/>
          <w:b w:val="0"/>
          <w:sz w:val="24"/>
        </w:rPr>
        <w:t>- 候选评估数量降低率 R_N = (N_baseline - N_proposed) / N_baseline × 100%</w:t>
      </w:r>
    </w:p>
    <w:p>
      <w:pPr>
        <w:spacing w:before="160" w:after="40"/>
        <w:jc w:val="center"/>
      </w:pPr>
      <w:r>
        <w:drawing>
          <wp:inline xmlns:a="http://schemas.openxmlformats.org/drawingml/2006/main" xmlns:pic="http://schemas.openxmlformats.org/drawingml/2006/picture">
            <wp:extent cx="5303520" cy="1866074"/>
            <wp:docPr id="3" name="Picture 3"/>
            <wp:cNvGraphicFramePr>
              <a:graphicFrameLocks noChangeAspect="1"/>
            </wp:cNvGraphicFramePr>
            <a:graphic>
              <a:graphicData uri="http://schemas.openxmlformats.org/drawingml/2006/picture">
                <pic:pic>
                  <pic:nvPicPr>
                    <pic:cNvPr id="0" name="fig03_convergence_comparison.png"/>
                    <pic:cNvPicPr/>
                  </pic:nvPicPr>
                  <pic:blipFill>
                    <a:blip r:embed="rId11"/>
                    <a:stretch>
                      <a:fillRect/>
                    </a:stretch>
                  </pic:blipFill>
                  <pic:spPr>
                    <a:xfrm>
                      <a:off x="0" y="0"/>
                      <a:ext cx="5303520" cy="1866074"/>
                    </a:xfrm>
                    <a:prstGeom prst="rect"/>
                  </pic:spPr>
                </pic:pic>
              </a:graphicData>
            </a:graphic>
          </wp:inline>
        </w:drawing>
      </w:r>
    </w:p>
    <w:p>
      <w:pPr>
        <w:spacing w:after="200"/>
        <w:jc w:val="center"/>
      </w:pPr>
      <w:r>
        <w:rPr>
          <w:rFonts w:ascii="Times New Roman" w:hAnsi="Times New Roman" w:eastAsia="宋体"/>
          <w:color w:val="505050"/>
          <w:sz w:val="18"/>
        </w:rPr>
        <w:t>图3  有无自适应搜索空间的收敛速度与计算时长对比</w:t>
      </w:r>
    </w:p>
    <w:p>
      <w:pPr>
        <w:spacing w:after="120" w:line="360" w:lineRule="auto"/>
      </w:pPr>
      <w:r>
        <w:rPr>
          <w:rFonts w:ascii="Times New Roman" w:hAnsi="Times New Roman" w:eastAsia="宋体"/>
          <w:b/>
          <w:sz w:val="24"/>
        </w:rPr>
        <w:t>1. 降低无效潮流计算和调度评估</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对比项</w:t>
            </w:r>
          </w:p>
        </w:tc>
        <w:tc>
          <w:tcPr>
            <w:tcW w:type="dxa" w:w="2160"/>
          </w:tcPr>
          <w:p>
            <w:r>
              <w:rPr>
                <w:b/>
              </w:rPr>
              <w:t>无自适应搜索空间</w:t>
            </w:r>
          </w:p>
        </w:tc>
        <w:tc>
          <w:tcPr>
            <w:tcW w:type="dxa" w:w="2160"/>
          </w:tcPr>
          <w:p>
            <w:r>
              <w:rPr>
                <w:b/>
              </w:rPr>
              <w:t>采用本专利自适应搜索空间</w:t>
            </w:r>
          </w:p>
        </w:tc>
        <w:tc>
          <w:tcPr>
            <w:tcW w:type="dxa" w:w="2160"/>
          </w:tcPr>
          <w:p>
            <w:r>
              <w:rPr>
                <w:b/>
              </w:rPr>
              <w:t>改善效果</w:t>
            </w:r>
          </w:p>
        </w:tc>
      </w:tr>
      <w:tr>
        <w:tc>
          <w:tcPr>
            <w:tcW w:type="dxa" w:w="2160"/>
          </w:tcPr>
          <w:p>
            <w:r>
              <w:t>初始容量域</w:t>
            </w:r>
          </w:p>
        </w:tc>
        <w:tc>
          <w:tcPr>
            <w:tcW w:type="dxa" w:w="2160"/>
          </w:tcPr>
          <w:p>
            <w:r>
              <w:t>P∈[50,2000]kW, E∈[100,8000]kWh</w:t>
            </w:r>
          </w:p>
        </w:tc>
        <w:tc>
          <w:tcPr>
            <w:tcW w:type="dxa" w:w="2160"/>
          </w:tcPr>
          <w:p>
            <w:r>
              <w:t>P∈[35,700]kW, E∈[70,4800]kWh</w:t>
            </w:r>
          </w:p>
        </w:tc>
        <w:tc>
          <w:tcPr>
            <w:tcW w:type="dxa" w:w="2160"/>
          </w:tcPr>
          <w:p>
            <w:r>
              <w:t>剔除明显越界区域</w:t>
            </w:r>
          </w:p>
        </w:tc>
      </w:tr>
      <w:tr>
        <w:tc>
          <w:tcPr>
            <w:tcW w:type="dxa" w:w="2160"/>
          </w:tcPr>
          <w:p>
            <w:r>
              <w:t>候选表达方式</w:t>
            </w:r>
          </w:p>
        </w:tc>
        <w:tc>
          <w:tcPr>
            <w:tcW w:type="dxa" w:w="2160"/>
          </w:tcPr>
          <w:p>
            <w:r>
              <w:t>连续随机编码，越界后惩罚</w:t>
            </w:r>
          </w:p>
        </w:tc>
        <w:tc>
          <w:tcPr>
            <w:tcW w:type="dxa" w:w="2160"/>
          </w:tcPr>
          <w:p>
            <w:r>
              <w:t>设备库投影后的离散候选集</w:t>
            </w:r>
          </w:p>
        </w:tc>
        <w:tc>
          <w:tcPr>
            <w:tcW w:type="dxa" w:w="2160"/>
          </w:tcPr>
          <w:p>
            <w:r>
              <w:t>结果可直接采购</w:t>
            </w:r>
          </w:p>
        </w:tc>
      </w:tr>
      <w:tr>
        <w:tc>
          <w:tcPr>
            <w:tcW w:type="dxa" w:w="2160"/>
          </w:tcPr>
          <w:p>
            <w:r>
              <w:t>总评估次数</w:t>
            </w:r>
          </w:p>
        </w:tc>
        <w:tc>
          <w:tcPr>
            <w:tcW w:type="dxa" w:w="2160"/>
          </w:tcPr>
          <w:p>
            <w:r>
              <w:t>744次</w:t>
            </w:r>
          </w:p>
        </w:tc>
        <w:tc>
          <w:tcPr>
            <w:tcW w:type="dxa" w:w="2160"/>
          </w:tcPr>
          <w:p>
            <w:r>
              <w:t>288次</w:t>
            </w:r>
          </w:p>
        </w:tc>
        <w:tc>
          <w:tcPr>
            <w:tcW w:type="dxa" w:w="2160"/>
          </w:tcPr>
          <w:p>
            <w:r>
              <w:t>减少61.3%</w:t>
            </w:r>
          </w:p>
        </w:tc>
      </w:tr>
      <w:tr>
        <w:tc>
          <w:tcPr>
            <w:tcW w:type="dxa" w:w="2160"/>
          </w:tcPr>
          <w:p>
            <w:r>
              <w:t>无效评估占比 η_invalid</w:t>
            </w:r>
          </w:p>
        </w:tc>
        <w:tc>
          <w:tcPr>
            <w:tcW w:type="dxa" w:w="2160"/>
          </w:tcPr>
          <w:p>
            <w:r>
              <w:t>62.8%</w:t>
            </w:r>
          </w:p>
        </w:tc>
        <w:tc>
          <w:tcPr>
            <w:tcW w:type="dxa" w:w="2160"/>
          </w:tcPr>
          <w:p>
            <w:r>
              <w:t>13.5%</w:t>
            </w:r>
          </w:p>
        </w:tc>
        <w:tc>
          <w:tcPr>
            <w:tcW w:type="dxa" w:w="2160"/>
          </w:tcPr>
          <w:p>
            <w:r>
              <w:t>下降49.3个百分点</w:t>
            </w:r>
          </w:p>
        </w:tc>
      </w:tr>
      <w:tr>
        <w:tc>
          <w:tcPr>
            <w:tcW w:type="dxa" w:w="2160"/>
          </w:tcPr>
          <w:p>
            <w:r>
              <w:t>达到1%收敛带 g_1%</w:t>
            </w:r>
          </w:p>
        </w:tc>
        <w:tc>
          <w:tcPr>
            <w:tcW w:type="dxa" w:w="2160"/>
          </w:tcPr>
          <w:p>
            <w:r>
              <w:t>第24代</w:t>
            </w:r>
          </w:p>
        </w:tc>
        <w:tc>
          <w:tcPr>
            <w:tcW w:type="dxa" w:w="2160"/>
          </w:tcPr>
          <w:p>
            <w:r>
              <w:t>第9代</w:t>
            </w:r>
          </w:p>
        </w:tc>
        <w:tc>
          <w:tcPr>
            <w:tcW w:type="dxa" w:w="2160"/>
          </w:tcPr>
          <w:p>
            <w:r>
              <w:t>提前15代（减少62.5%）</w:t>
            </w:r>
          </w:p>
        </w:tc>
      </w:tr>
      <w:tr>
        <w:tc>
          <w:tcPr>
            <w:tcW w:type="dxa" w:w="2160"/>
          </w:tcPr>
          <w:p>
            <w:r>
              <w:t>总计算时长</w:t>
            </w:r>
          </w:p>
        </w:tc>
        <w:tc>
          <w:tcPr>
            <w:tcW w:type="dxa" w:w="2160"/>
          </w:tcPr>
          <w:p>
            <w:r>
              <w:t>398min</w:t>
            </w:r>
          </w:p>
        </w:tc>
        <w:tc>
          <w:tcPr>
            <w:tcW w:type="dxa" w:w="2160"/>
          </w:tcPr>
          <w:p>
            <w:r>
              <w:t>118min</w:t>
            </w:r>
          </w:p>
        </w:tc>
        <w:tc>
          <w:tcPr>
            <w:tcW w:type="dxa" w:w="2160"/>
          </w:tcPr>
          <w:p>
            <w:r>
              <w:t>降低70.4%</w:t>
            </w:r>
          </w:p>
        </w:tc>
      </w:tr>
      <w:tr>
        <w:tc>
          <w:tcPr>
            <w:tcW w:type="dxa" w:w="2160"/>
          </w:tcPr>
          <w:p>
            <w:r>
              <w:t>最终归一化目标值</w:t>
            </w:r>
          </w:p>
        </w:tc>
        <w:tc>
          <w:tcPr>
            <w:tcW w:type="dxa" w:w="2160"/>
          </w:tcPr>
          <w:p>
            <w:r>
              <w:t>0.862</w:t>
            </w:r>
          </w:p>
        </w:tc>
        <w:tc>
          <w:tcPr>
            <w:tcW w:type="dxa" w:w="2160"/>
          </w:tcPr>
          <w:p>
            <w:r>
              <w:t>0.878</w:t>
            </w:r>
          </w:p>
        </w:tc>
        <w:tc>
          <w:tcPr>
            <w:tcW w:type="dxa" w:w="2160"/>
          </w:tcPr>
          <w:p>
            <w:r>
              <w:t>未降低，并略有提升（+1.9%）</w:t>
            </w:r>
          </w:p>
        </w:tc>
      </w:tr>
    </w:tbl>
    <w:p>
      <w:pPr>
        <w:spacing w:after="120" w:line="360" w:lineRule="auto"/>
      </w:pPr>
      <w:r>
        <w:rPr>
          <w:rFonts w:ascii="Times New Roman" w:hAnsi="Times New Roman" w:eastAsia="宋体"/>
          <w:b w:val="0"/>
          <w:sz w:val="24"/>
        </w:rPr>
        <w:t>传统方法在宽范围连续空间内生成大量候选方案，其中相当一部分在进入完整的年度调度仿真或 OpenDSS 潮流校核后才发现违反配变容量、线路载流、电压安全或 SOC 窗口约束。本方法在搜索空间生成阶段就利用网络灵敏度可行域、鲁棒风险边界、经济边际裁剪和设备库支配剪枝进行多层预筛选，使无效评估占比从实施例中的62.8%大幅降低至13.5%，下降了49.3个百分点。</w:t>
      </w:r>
    </w:p>
    <w:p>
      <w:pPr>
        <w:spacing w:after="120" w:line="360" w:lineRule="auto"/>
      </w:pPr>
      <w:r>
        <w:rPr>
          <w:rFonts w:ascii="Times New Roman" w:hAnsi="Times New Roman" w:eastAsia="宋体"/>
          <w:b/>
          <w:sz w:val="24"/>
        </w:rPr>
        <w:t>2. 加快优化收敛速度</w:t>
      </w:r>
    </w:p>
    <w:p>
      <w:pPr>
        <w:spacing w:after="120" w:line="360" w:lineRule="auto"/>
      </w:pPr>
      <w:r>
        <w:rPr>
          <w:rFonts w:ascii="Times New Roman" w:hAnsi="Times New Roman" w:eastAsia="宋体"/>
          <w:b w:val="0"/>
          <w:sz w:val="24"/>
        </w:rPr>
        <w:t>由于初始种群直接落在高可行率、高价值密度的容量区域内，优化器无需在大面积不可行区域中盲目搜索寻找可行方向。实施例中，无自适应方法达到最终最优值1%邻域需要24代种群迭代，而采用本方法仅需9代，收敛代数减少62.5%。这一加速效果来源于候选空间被有效压缩到"物理可行 ∩ 经济有效 ∩ 设备可采购"的交集区域。</w:t>
      </w:r>
    </w:p>
    <w:p>
      <w:pPr>
        <w:spacing w:after="120" w:line="360" w:lineRule="auto"/>
      </w:pPr>
      <w:r>
        <w:rPr>
          <w:rFonts w:ascii="Times New Roman" w:hAnsi="Times New Roman" w:eastAsia="宋体"/>
          <w:b/>
          <w:sz w:val="24"/>
        </w:rPr>
        <w:t>3. 降低总计算时长</w:t>
      </w:r>
    </w:p>
    <w:p>
      <w:pPr>
        <w:spacing w:after="120" w:line="360" w:lineRule="auto"/>
      </w:pPr>
      <w:r>
        <w:rPr>
          <w:rFonts w:ascii="Times New Roman" w:hAnsi="Times New Roman" w:eastAsia="宋体"/>
          <w:b w:val="0"/>
          <w:sz w:val="24"/>
        </w:rPr>
        <w:t>在配电网储能优化配置中，主要计算耗时来自每个候选方案的年度日前调度、经济性评估和网络潮流校核。本方法通过减少候选评估总数（从744次降至288次，减少61.3%）并降低每代中无效候选的比例，使总计算时长由398分钟降低至118分钟，降低率为70.4%。对于包含多个候选接入节点和多种运行策略的大规模配电网场景，计算效率的提升更为显著。</w:t>
      </w:r>
    </w:p>
    <w:p>
      <w:pPr>
        <w:spacing w:after="120" w:line="360" w:lineRule="auto"/>
      </w:pPr>
      <w:r>
        <w:rPr>
          <w:rFonts w:ascii="Times New Roman" w:hAnsi="Times New Roman" w:eastAsia="宋体"/>
          <w:b/>
          <w:sz w:val="24"/>
        </w:rPr>
        <w:t>4. 提高方案质量稳定性</w:t>
      </w:r>
    </w:p>
    <w:p>
      <w:pPr>
        <w:spacing w:after="120" w:line="360" w:lineRule="auto"/>
      </w:pPr>
      <w:r>
        <w:rPr>
          <w:rFonts w:ascii="Times New Roman" w:hAnsi="Times New Roman" w:eastAsia="宋体"/>
          <w:b w:val="0"/>
          <w:sz w:val="24"/>
        </w:rPr>
        <w:t>自适应搜索空间并非简单粗暴地裁剪边界，而是在 Pareto 前沿 ε 邻域、CVaR 风险边界和置信保护裕度的多重保护下进行智能收缩。实施例中最终归一化目标值（综合经济性与安全性）由0.862略微提高至0.878，表明搜索空间的收缩在减少无效计算的同时，实际提高了有效搜索密度，搜索结果质量未降反升。</w:t>
      </w:r>
    </w:p>
    <w:p>
      <w:pPr>
        <w:spacing w:after="120" w:line="360" w:lineRule="auto"/>
      </w:pPr>
      <w:r>
        <w:rPr>
          <w:rFonts w:ascii="Times New Roman" w:hAnsi="Times New Roman" w:eastAsia="宋体"/>
          <w:b/>
          <w:sz w:val="24"/>
        </w:rPr>
        <w:t>5. 提升工程可解释性与可审计性</w:t>
      </w:r>
    </w:p>
    <w:p>
      <w:pPr>
        <w:spacing w:after="120" w:line="360" w:lineRule="auto"/>
      </w:pPr>
      <w:r>
        <w:rPr>
          <w:rFonts w:ascii="Times New Roman" w:hAnsi="Times New Roman" w:eastAsia="宋体"/>
          <w:b w:val="0"/>
          <w:sz w:val="24"/>
        </w:rPr>
        <w:t>本方法生成的每一个候选边界均可追溯至对应的活跃约束和运行数据来源。例如："电压灵敏度限制导致放电功率上界收紧至700kW""最大日高价值放电事件能量决定容量上界为4800kWh""经济边际收益在容量超过4500kWh后饱和，边界停止外扩"。这种可解释机制有利于规划人员在项目评审、方案设计、设备招标和运行复核各环节清晰说明储能容量范围的确定依据，提升工程决策的透明度和可信度。</w:t>
      </w:r>
    </w:p>
    <w:p>
      <w:pPr>
        <w:spacing w:after="120" w:line="360" w:lineRule="auto"/>
      </w:pPr>
      <w:r>
        <w:rPr>
          <w:rFonts w:ascii="Times New Roman" w:hAnsi="Times New Roman" w:eastAsia="宋体"/>
          <w:b w:val="0"/>
          <w:sz w:val="24"/>
        </w:rPr>
        <w:t>综上，本专利通过多源运行特征张量构造、网络灵敏度可行域预计算、鲁棒置信边界生成、经济边际收益裁剪、标准设备库投影支配剪枝以及优化反馈驱动的二次自适应调整，形成了比传统经验上下界更深层、更精细、更可审计的储能容量搜索空间自适应确定方法，能够显著减少无效计算、加快优化收敛速度、提升方案质量并增强工程可解释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