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customXml/itemProps2.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3="urn:schemas-microsoft-com:vml" xmlns:ns4="urn:schemas-microsoft-com:office:office"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ns2:paraId="6B7B01CA" ns2:textId="18211E66" w:rsidR="00A47993" w:rsidRPr="00E67C43" w:rsidRDefault="001F0784">
      <w:pPr>
        <w:pStyle w:val="ad"/>
        <w:ind w:firstLineChars="0" w:firstLine="0"/>
        <w:rPr>
          <w:rFonts w:ascii="Times New Roman" w:eastAsia="黑体" w:hAnsi="Times New Roman"/>
          <w:sz w:val="30"/>
          <w:szCs w:val="30"/>
        </w:rPr>
      </w:pPr>
      <w:r w:rsidRPr="001F0784">
        <w:rPr>
          <w:rFonts w:ascii="Times New Roman" w:eastAsia="黑体" w:hAnsi="Times New Roman" w:hint="eastAsia"/>
          <w:sz w:val="30"/>
          <w:szCs w:val="30"/>
        </w:rPr>
        <w:t>一种基于配电网运行数据的储能系统容量搜索空间自适应确定方法</w:t>
      </w:r>
    </w:p>
    <w:p ns2:paraId="69008476" ns2:textId="77777777" w:rsidR="00A47993" w:rsidRPr="00E67C43" w:rsidRDefault="00A47993">
      <w:pPr>
        <w:ind w:firstLineChars="83" w:firstLine="199"/>
      </w:pPr>
    </w:p>
    <w:p ns2:paraId="53E69A3A" ns2:textId="77777777" w:rsidR="00A47993" w:rsidRPr="00E67C43" w:rsidRDefault="00D0658C">
      <w:pPr>
        <w:ind w:firstLineChars="0" w:firstLine="0"/>
        <w:rPr>
          <w:sz w:val="21"/>
          <w:szCs w:val="21"/>
        </w:rPr>
      </w:pPr>
      <w:r w:rsidRPr="00E67C43">
        <w:rPr>
          <w:rFonts w:ascii="宋体" w:hAnsi="宋体" w:hint="eastAsia"/>
          <w:bCs/>
          <w:szCs w:val="21"/>
        </w:rPr>
        <w:t>发明人：</w:t>
      </w:r>
    </w:p>
    <w:p ns2:paraId="50B78A78" ns2:textId="77777777" w:rsidR="00A47993" w:rsidRPr="00E67C43" w:rsidRDefault="00D0658C">
      <w:pPr>
        <w:ind w:firstLineChars="0" w:firstLine="0"/>
        <w:rPr>
          <w:rFonts w:ascii="宋体" w:hAnsi="宋体" w:hint="eastAsia"/>
          <w:bCs/>
          <w:szCs w:val="21"/>
        </w:rPr>
      </w:pPr>
      <w:r w:rsidRPr="00E67C43">
        <w:rPr>
          <w:rFonts w:ascii="宋体" w:hAnsi="宋体" w:hint="eastAsia"/>
          <w:bCs/>
          <w:szCs w:val="21"/>
        </w:rPr>
        <w:t>申请（专利权）人：</w:t>
      </w:r>
    </w:p>
    <w:p ns2:paraId="2C4810E9" ns2:textId="77777777" w:rsidR="00A47993" w:rsidRPr="00E67C43" w:rsidRDefault="00D0658C">
      <w:pPr>
        <w:ind w:firstLineChars="0" w:firstLine="0"/>
        <w:rPr>
          <w:rFonts w:ascii="宋体" w:hAnsi="宋体" w:hint="eastAsia"/>
          <w:bCs/>
          <w:szCs w:val="21"/>
        </w:rPr>
      </w:pPr>
      <w:r w:rsidRPr="00E67C43">
        <w:rPr>
          <w:rFonts w:ascii="宋体" w:hAnsi="宋体" w:hint="eastAsia"/>
          <w:bCs/>
          <w:szCs w:val="21"/>
        </w:rPr>
        <w:t>地址：</w:t>
      </w:r>
    </w:p>
    <w:p ns2:paraId="63BD8306" ns2:textId="77777777" w:rsidR="00A47993" w:rsidRPr="00E67C43" w:rsidRDefault="00A47993">
      <w:pPr>
        <w:ind w:firstLineChars="83" w:firstLine="199"/>
      </w:pPr>
    </w:p>
    <w:p ns2:paraId="785868D9" ns2:textId="43D57D57" w:rsidR="00A47993" w:rsidRPr="00E67C43" w:rsidRDefault="001A5FE3">
      <w:pPr>
        <w:ind w:firstLine="360"/>
        <w:rPr>
          <w:rFonts w:ascii="Arial" w:hAnsi="Arial" w:cs="Arial"/>
          <w:sz w:val="18"/>
          <w:szCs w:val="18"/>
        </w:rPr>
      </w:pPr>
      <w:r>
        <w:rPr>
          <w:rFonts w:ascii="Arial" w:hAnsi="Arial" w:cs="Arial"/>
          <w:sz w:val="18"/>
          <w:szCs w:val="18"/>
        </w:rPr>
        <w:pict ns2:anchorId="3FBDBAF8">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18.5pt;height:13.85pt">
            <ns3:imagedata r:id="rId9" ns4:title=""/>
          </ns3:shape>
        </w:pict>
      </w:r>
      <w:r w:rsidR="00D0658C" w:rsidRPr="00E67C43">
        <w:rPr>
          <w:rFonts w:ascii="Arial" w:hAnsi="Arial" w:cs="Arial" w:hint="eastAsia"/>
          <w:sz w:val="18"/>
          <w:szCs w:val="18"/>
        </w:rPr>
        <w:t>本专利的应用领域（即本专利直接所属或直接应用的具体技术领域）：</w:t>
      </w:r>
    </w:p>
    <w:p ns2:paraId="4C552E93" ns2:textId="3AA0B9AB" w:rsidR="00096910" w:rsidRDefault="001A5FE3" w:rsidP="001A5FE3">
      <w:pPr>
        <w:ind w:firstLine="480"/>
      </w:pPr>
      <w:r>
        <w:rPr>
          <w:rFonts w:hint="eastAsia"/>
        </w:rPr>
        <w:t>本发明属于电力系统储能规划技术领域，具体涉及一种基于配电网运行数据的储能系统容量搜索空间自适应确定方法，适用于配电网侧储能系统的容量优化配置、储能选址定容规划以及分布式储能资源的智能化配置决策。</w:t>
      </w:r>
    </w:p>
    <w:p ns2:paraId="16A102C8" ns2:textId="355E7403" w:rsidR="00A47993" w:rsidRPr="00E67C43" w:rsidRDefault="001A5FE3" w:rsidP="00806C6A">
      <w:pPr>
        <w:ind w:firstLineChars="250" w:firstLine="450"/>
        <w:rPr>
          <w:rFonts w:ascii="Arial" w:hAnsi="Arial" w:cs="Arial"/>
        </w:rPr>
      </w:pPr>
      <w:r>
        <w:rPr>
          <w:rFonts w:ascii="Arial" w:hAnsi="Arial" w:cs="Arial"/>
          <w:sz w:val="18"/>
          <w:szCs w:val="18"/>
        </w:rPr>
        <w:pict ns2:anchorId="6CBA89CB">
          <ns3:shape id="_x0000_i1026" type="#_x0000_t75" style="width:18.5pt;height:13.85pt">
            <ns3:imagedata r:id="rId9" ns4:title=""/>
          </ns3:shape>
        </w:pict>
      </w:r>
      <w:r w:rsidR="00D0658C" w:rsidRPr="00E67C43">
        <w:rPr>
          <w:rFonts w:ascii="Arial" w:hAnsi="Arial" w:cs="Arial" w:hint="eastAsia"/>
          <w:sz w:val="18"/>
          <w:szCs w:val="18"/>
        </w:rPr>
        <w:t>本专利的任务是什么，或要解决的技术问题是什么？</w:t>
      </w:r>
    </w:p>
    <w:p ns2:paraId="023396AB" ns2:textId="77777777" w:rsidR="00033A4A" w:rsidRDefault="00033A4A" w:rsidP="00033A4A">
      <w:pPr>
        <w:ind w:firstLine="480"/>
        <w:rPr>
          <w:rFonts w:hint="eastAsia"/>
        </w:rPr>
      </w:pPr>
      <w:r>
        <w:rPr>
          <w:rFonts w:hint="eastAsia"/>
        </w:rPr>
        <w:t>配电网侧储能系统在削峰填谷、缓解设备重过载、改善电压质量和提升新能源消纳能力等方面具有重要作用。在储能优化配置过程中，容量搜索空间的确定直接影响后续选址定容、运行仿真和经济型评估结果。若搜索范围过宽，会增加无效计算量；若搜索范围过窄，则可能遗漏该配电网场景下较优的配置方案。</w:t>
      </w:r>
    </w:p>
    <w:p ns2:paraId="2D258E0B" ns2:textId="6E15DC64" w:rsidR="00033A4A" w:rsidRDefault="00033A4A" w:rsidP="00033A4A">
      <w:pPr>
        <w:ind w:firstLine="480"/>
        <w:rPr>
          <w:rFonts w:hint="eastAsia"/>
        </w:rPr>
      </w:pPr>
      <w:r>
        <w:rPr>
          <w:rFonts w:hint="eastAsia"/>
        </w:rPr>
        <w:t>现有方法主要包括人工经验设定、固定比例估算和多轮优化缩减等方式，普遍存在依赖人工经验、容量边界与负荷特性和设备约束耦合不足、计算量较大等问题</w:t>
      </w:r>
      <w:r>
        <w:rPr>
          <w:rFonts w:hint="eastAsia"/>
        </w:rPr>
        <w:t>，通常在优化阶段才通过惩罚函数处理变压器容量、电网限制等约束，导致较多不可行方案仍进入仿真迭代，降低求解效率。因此，有必要提出一种基于配电网运行数据的储能系统容量搜索空间自适应确定方法，将负荷特征、变压器及电网等约束前置，实现容量搜索空间的自动生成，提高储能优化配置的计算效率与方案的工程应用价值。</w:t>
      </w:r>
    </w:p>
    <w:p ns2:paraId="70217678" ns2:textId="577F3039" w:rsidR="00A47993" w:rsidRPr="00E67C43" w:rsidRDefault="001A5FE3">
      <w:pPr>
        <w:ind w:firstLine="360"/>
        <w:rPr>
          <w:rFonts w:ascii="Arial" w:hAnsi="Arial" w:cs="Arial"/>
          <w:sz w:val="18"/>
          <w:szCs w:val="18"/>
        </w:rPr>
      </w:pPr>
      <w:r>
        <w:rPr>
          <w:rFonts w:ascii="Arial" w:hAnsi="Arial" w:cs="Arial"/>
          <w:sz w:val="18"/>
          <w:szCs w:val="18"/>
        </w:rPr>
        <w:pict ns2:anchorId="4B451872">
          <ns3:shape id="_x0000_i1033" type="#_x0000_t75" style="width:18.1pt;height:14.65pt">
            <ns3:imagedata r:id="rId9" ns4:title=""/>
          </ns3:shape>
        </w:pict>
      </w:r>
      <w:bookmarkStart w:id="0" w:name="OLE_LINK6"/>
      <w:r w:rsidR="00D0658C" w:rsidRPr="00E67C43">
        <w:rPr>
          <w:rStyle w:val="af0"/>
          <w:rFonts w:ascii="Arial" w:hAnsi="Arial" w:cs="Arial" w:hint="eastAsia"/>
          <w:sz w:val="18"/>
          <w:szCs w:val="18"/>
        </w:rPr>
        <w:t>已有技术</w:t>
      </w:r>
      <w:r w:rsidR="00D0658C" w:rsidRPr="00E67C43">
        <w:rPr>
          <w:rStyle w:val="af0"/>
          <w:rFonts w:ascii="Arial" w:hAnsi="Arial" w:cs="Arial" w:hint="eastAsia"/>
          <w:sz w:val="18"/>
          <w:szCs w:val="18"/>
        </w:rPr>
        <w:t>/</w:t>
      </w:r>
      <w:r w:rsidR="00D0658C" w:rsidRPr="00E67C43">
        <w:rPr>
          <w:rStyle w:val="af0"/>
          <w:rFonts w:ascii="Arial" w:hAnsi="Arial" w:cs="Arial" w:hint="eastAsia"/>
          <w:sz w:val="18"/>
          <w:szCs w:val="18"/>
        </w:rPr>
        <w:t>产品的不足：</w:t>
      </w:r>
      <w:bookmarkEnd w:id="0"/>
      <w:r w:rsidR="00D0658C" w:rsidRPr="00E67C43">
        <w:rPr>
          <w:rFonts w:ascii="Arial" w:hAnsi="Arial" w:cs="Arial" w:hint="eastAsia"/>
          <w:sz w:val="18"/>
          <w:szCs w:val="18"/>
        </w:rPr>
        <w:t>即说明与本专利的内容最相似的技术</w:t>
      </w:r>
      <w:r w:rsidR="00D0658C" w:rsidRPr="00E67C43">
        <w:rPr>
          <w:rFonts w:ascii="Arial" w:hAnsi="Arial" w:cs="Arial" w:hint="eastAsia"/>
          <w:sz w:val="18"/>
          <w:szCs w:val="18"/>
        </w:rPr>
        <w:t>/</w:t>
      </w:r>
      <w:r w:rsidR="00D0658C" w:rsidRPr="00E67C43">
        <w:rPr>
          <w:rFonts w:ascii="Arial" w:hAnsi="Arial" w:cs="Arial" w:hint="eastAsia"/>
          <w:sz w:val="18"/>
          <w:szCs w:val="18"/>
        </w:rPr>
        <w:t>产品，需要说明已有技术</w:t>
      </w:r>
      <w:r w:rsidR="00D0658C" w:rsidRPr="00E67C43">
        <w:rPr>
          <w:rFonts w:ascii="Arial" w:hAnsi="Arial" w:cs="Arial" w:hint="eastAsia"/>
          <w:sz w:val="18"/>
          <w:szCs w:val="18"/>
        </w:rPr>
        <w:t>/</w:t>
      </w:r>
      <w:r w:rsidR="00D0658C" w:rsidRPr="00E67C43">
        <w:rPr>
          <w:rFonts w:ascii="Arial" w:hAnsi="Arial" w:cs="Arial" w:hint="eastAsia"/>
          <w:sz w:val="18"/>
          <w:szCs w:val="18"/>
        </w:rPr>
        <w:t>产品的主要结构、原理、实用效果，尤其指出与本专利相比，原有技术</w:t>
      </w:r>
      <w:r w:rsidR="00D0658C" w:rsidRPr="00E67C43">
        <w:rPr>
          <w:rFonts w:ascii="Arial" w:hAnsi="Arial" w:cs="Arial" w:hint="eastAsia"/>
          <w:sz w:val="18"/>
          <w:szCs w:val="18"/>
        </w:rPr>
        <w:t>/</w:t>
      </w:r>
      <w:r w:rsidR="00D0658C" w:rsidRPr="00E67C43">
        <w:rPr>
          <w:rFonts w:ascii="Arial" w:hAnsi="Arial" w:cs="Arial" w:hint="eastAsia"/>
          <w:sz w:val="18"/>
          <w:szCs w:val="18"/>
        </w:rPr>
        <w:t>产品存在的缺点或不足之处。如有引用文献，需要说明出处；如有参考产品，指出其型号、厂家。对原有技术的介绍尽可能详细，可附结构原理图。</w:t>
      </w:r>
    </w:p>
    <w:p ns2:paraId="79904253" ns2:textId="1A054203" w:rsidR="00B36597" w:rsidRDefault="00B36597" w:rsidP="00575624">
      <w:pPr>
        <w:ind w:firstLine="480"/>
        <w:rPr>
          <w:rFonts w:cs="Times New Roman" w:hint="eastAsia"/>
        </w:rPr>
      </w:pPr>
      <w:r>
        <w:rPr>
          <w:rFonts w:cs="Times New Roman" w:hint="eastAsia"/>
        </w:rPr>
        <w:t>现有储能容量优化配置技术在工程上具有一定的实用效果，能够完成一般的容量配置与评价工作，但在复杂配电网场景下仍存在明显不足：首先，容量搜索空间的确定高度依赖人工经验，缺少由配电网运行数据直接定量推到边界的标准化方法，难以自适应调整搜索空间，容易导致范围过宽而增加无效计算，或过窄而遗漏较优方案；</w:t>
      </w:r>
      <w:r w:rsidR="00177F22">
        <w:rPr>
          <w:rFonts w:cs="Times New Roman" w:hint="eastAsia"/>
        </w:rPr>
        <w:t>其次，现有方法大多将变压器容量、电网接入等约束滞后到迭代优化阶段，通过惩罚函数等方式进行处理，导致较多不可行候选解仍参与潮流计算、迭代求解等过程，较大地浪费了计算资源。综上所述，现有技术普遍缺少将基本物理可行的约束前置处理，从而自适应生成搜索空间的方法，导致优化过程效率较低</w:t>
      </w:r>
      <w:r w:rsidR="006B1710">
        <w:rPr>
          <w:rFonts w:cs="Times New Roman" w:hint="eastAsia"/>
        </w:rPr>
        <w:t>。</w:t>
      </w:r>
    </w:p>
    <w:p ns2:paraId="6D8C6827" ns2:textId="236675FD" w:rsidR="00C04D9C" w:rsidRPr="001F0784" w:rsidRDefault="00000000" w:rsidP="001F0784">
      <w:pPr>
        <w:ind w:firstLine="360"/>
        <w:rPr>
          <w:rFonts w:ascii="Arial" w:hAnsi="Arial" w:cs="Arial"/>
          <w:sz w:val="18"/>
          <w:szCs w:val="18"/>
        </w:rPr>
      </w:pPr>
      <w:r>
        <w:rPr>
          <w:rFonts w:ascii="Arial" w:hAnsi="Arial" w:cs="Arial"/>
          <w:sz w:val="18"/>
          <w:szCs w:val="18"/>
        </w:rPr>
        <w:pict ns2:anchorId="34C7B63D">
          <ns3:shape id="_x0000_i1028" type="#_x0000_t75" style="width:18.1pt;height:13.85pt">
            <ns3:imagedata r:id="rId9" ns4:title=""/>
          </ns3:shape>
        </w:pict>
      </w:r>
      <w:r w:rsidR="00D0658C" w:rsidRPr="00E67C43">
        <w:rPr>
          <w:rStyle w:val="af0"/>
          <w:rFonts w:ascii="Arial" w:hAnsi="Arial" w:cs="Arial" w:hint="eastAsia"/>
          <w:sz w:val="18"/>
          <w:szCs w:val="18"/>
        </w:rPr>
        <w:t>本专利的内容：</w:t>
      </w:r>
      <w:r w:rsidR="00D0658C" w:rsidRPr="00E67C43">
        <w:rPr>
          <w:rFonts w:ascii="Arial" w:hAnsi="Arial" w:cs="Arial" w:hint="eastAsia"/>
          <w:sz w:val="18"/>
          <w:szCs w:val="18"/>
        </w:rPr>
        <w:t>应说明本专利达到目的或解决问题的技术手段。包括产品的组成、结构，尤其说明各组成部分之间的相互关系，例如连接关系、被作用的工作电流或信号的走向。写明本专利的工作原理，</w:t>
      </w:r>
      <w:r w:rsidR="00D0658C" w:rsidRPr="00E67C43">
        <w:rPr>
          <w:rFonts w:ascii="Arial" w:hAnsi="Arial" w:cs="Arial" w:hint="eastAsia"/>
          <w:sz w:val="18"/>
          <w:szCs w:val="18"/>
        </w:rPr>
        <w:lastRenderedPageBreak/>
        <w:t>本专利与现有技术的区别点。</w:t>
      </w:r>
    </w:p>
    <w:p>
      <w:pPr>
        <w:spacing w:after="120" w:line="360" w:lineRule="auto"/>
      </w:pPr>
      <w:r>
        <w:rPr>
          <w:rFonts w:ascii="宋体" w:hAnsi="宋体" w:eastAsia="宋体"/>
          <w:b/>
          <w:sz w:val="24"/>
          <w:szCs w:val="24"/>
        </w:rPr>
        <w:t>一、深化后的技术内容</w:t>
      </w:r>
    </w:p>
    <w:p>
      <w:pPr>
        <w:spacing w:after="120" w:line="360" w:lineRule="auto"/>
        <w:ind w:firstLineChars="200"/>
      </w:pPr>
      <w:r>
        <w:rPr>
          <w:rFonts w:ascii="宋体" w:hAnsi="宋体" w:eastAsia="宋体"/>
        </w:rPr>
        <w:t>本专利的核心不是简单按照负荷峰值给出储能功率、容量的经验上下界，而是把储能容量搜索空间视为一个由运行数据、电网物理约束、运行策略、经济边际收益和设备库规格共同限定的“动态可行域”。该可行域先在连续的功率-容量-时长空间内生成，再投影到标准储能设备库，最后根据优化迭代中暴露的活跃约束和收益梯度进行置信保护下的二次收缩。</w:t>
      </w:r>
    </w:p>
    <w:p>
      <w:pPr>
        <w:spacing w:after="120" w:line="360" w:lineRule="auto"/>
        <w:jc w:val="center"/>
      </w:pPr>
      <w:r>
        <w:rPr>
          <w:rFonts w:ascii="宋体" w:hAnsi="宋体" w:eastAsia="宋体"/>
          <w:b/>
          <w:sz w:val="20"/>
          <w:szCs w:val="20"/>
        </w:rPr>
        <w:t>图1  多层约束可行域自适应生成框架</w:t>
      </w:r>
    </w:p>
    <w:p>
      <w:pPr>
        <w:jc w:val="center"/>
      </w:pPr>
      <w:r>
        <w:drawing>
          <wp:inline>
            <wp:extent cx="5669280" cy="3401568"/>
            <wp:effectExtent l="0" t="0" r="0" b="0"/>
            <wp:docPr id="101" name="图1_多层约束可行域自适应生成框架"/>
            <wp:cNvGraphicFramePr>
              <a:graphicFrameLocks noChangeAspect="1"/>
            </wp:cNvGraphicFramePr>
            <a:graphic>
              <a:graphicData uri="http://schemas.openxmlformats.org/drawingml/2006/picture">
                <pic:pic>
                  <pic:nvPicPr>
                    <pic:cNvPr id="0" name="图1_多层约束可行域自适应生成框架.png"/>
                    <pic:cNvPicPr/>
                  </pic:nvPicPr>
                  <pic:blipFill>
                    <a:blip r:embed="rId101"/>
                    <a:stretch>
                      <a:fillRect/>
                    </a:stretch>
                  </pic:blipFill>
                  <pic:spPr>
                    <a:xfrm>
                      <a:off x="0" y="0"/>
                      <a:ext cx="5669280" cy="3401568"/>
                    </a:xfrm>
                    <a:prstGeom prst="rect">
                      <a:avLst/>
                    </a:prstGeom>
                  </pic:spPr>
                </pic:pic>
              </a:graphicData>
            </a:graphic>
          </wp:inline>
        </w:drawing>
      </w:r>
    </w:p>
    <w:p>
      <w:pPr>
        <w:spacing w:after="120" w:line="360" w:lineRule="auto"/>
      </w:pPr>
      <w:r>
        <w:rPr>
          <w:rFonts w:ascii="宋体" w:hAnsi="宋体" w:eastAsia="宋体"/>
          <w:b/>
          <w:sz w:val="22"/>
          <w:szCs w:val="22"/>
        </w:rPr>
        <w:t>1. 多源运行状态向量与特征张量构造</w:t>
      </w:r>
    </w:p>
    <w:p>
      <w:pPr>
        <w:spacing w:after="120" w:line="360" w:lineRule="auto"/>
        <w:ind w:firstLineChars="200"/>
      </w:pPr>
      <w:r>
        <w:rPr>
          <w:rFonts w:ascii="宋体" w:hAnsi="宋体" w:eastAsia="宋体"/>
        </w:rPr>
        <w:t>设配电网拓扑为 G=(B,L)，B 为节点集合，L 为线路集合，候选储能接入节点为 b*。采样时刻集合为 T，目标节点净负荷为 p_t，光伏出力为 g_t，电价或调度价值信号为 π_t，节点电压和线路负载率由 OpenDSS 或运行量测得到。系统不是只提取峰值、均值等低阶统计量，而是构造能够描述日内持续性、爬坡强度、可充电窗口和网络裕度的特征张量 Φ。</w:t>
      </w:r>
    </w:p>
    <w:p>
      <w:pPr>
        <w:jc w:val="center"/>
        <w:spacing w:after="80"/>
      </w:pPr>
      <w:r>
        <w:drawing>
          <wp:inline>
            <wp:extent cx="5760720" cy="413416"/>
            <wp:effectExtent l="0" t="0" r="0" b="0"/>
            <wp:docPr id="F01" name="formula_01"/>
            <wp:cNvGraphicFramePr>
              <a:graphicFrameLocks noChangeAspect="1"/>
            </wp:cNvGraphicFramePr>
            <a:graphic>
              <a:graphicData uri="http://schemas.openxmlformats.org/drawingml/2006/picture">
                <pic:pic>
                  <pic:nvPicPr>
                    <pic:cNvPr id="0" name="formula_01.png"/>
                    <pic:cNvPicPr/>
                  </pic:nvPicPr>
                  <pic:blipFill>
                    <a:blip r:embed="rIdF01"/>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02" name="formula_02"/>
            <wp:cNvGraphicFramePr>
              <a:graphicFrameLocks noChangeAspect="1"/>
            </wp:cNvGraphicFramePr>
            <a:graphic>
              <a:graphicData uri="http://schemas.openxmlformats.org/drawingml/2006/picture">
                <pic:pic>
                  <pic:nvPicPr>
                    <pic:cNvPr id="0" name="formula_02.png"/>
                    <pic:cNvPicPr/>
                  </pic:nvPicPr>
                  <pic:blipFill>
                    <a:blip r:embed="rIdF02"/>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03" name="formula_03"/>
            <wp:cNvGraphicFramePr>
              <a:graphicFrameLocks noChangeAspect="1"/>
            </wp:cNvGraphicFramePr>
            <a:graphic>
              <a:graphicData uri="http://schemas.openxmlformats.org/drawingml/2006/picture">
                <pic:pic>
                  <pic:nvPicPr>
                    <pic:cNvPr id="0" name="formula_03.png"/>
                    <pic:cNvPicPr/>
                  </pic:nvPicPr>
                  <pic:blipFill>
                    <a:blip r:embed="rIdF03"/>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04" name="formula_04"/>
            <wp:cNvGraphicFramePr>
              <a:graphicFrameLocks noChangeAspect="1"/>
            </wp:cNvGraphicFramePr>
            <a:graphic>
              <a:graphicData uri="http://schemas.openxmlformats.org/drawingml/2006/picture">
                <pic:pic>
                  <pic:nvPicPr>
                    <pic:cNvPr id="0" name="formula_04.png"/>
                    <pic:cNvPicPr/>
                  </pic:nvPicPr>
                  <pic:blipFill>
                    <a:blip r:embed="rIdF04"/>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05" name="formula_05"/>
            <wp:cNvGraphicFramePr>
              <a:graphicFrameLocks noChangeAspect="1"/>
            </wp:cNvGraphicFramePr>
            <a:graphic>
              <a:graphicData uri="http://schemas.openxmlformats.org/drawingml/2006/picture">
                <pic:pic>
                  <pic:nvPicPr>
                    <pic:cNvPr id="0" name="formula_05.png"/>
                    <pic:cNvPicPr/>
                  </pic:nvPicPr>
                  <pic:blipFill>
                    <a:blip r:embed="rIdF05"/>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其中，H_θ(p)用于识别高负荷持续时间，R^+和R^-用于识别充放电功率爬坡需求，W^π_t用于把电价套利、容量支撑、需量削减等价值窗口统一编码。通过上述特征，容量边界不再由单一峰值决定，而是由“高价值时段的可支撑能量”和“低价值时段的可充电裕度”共同决定。</w:t>
      </w:r>
    </w:p>
    <w:p>
      <w:pPr>
        <w:spacing w:after="120" w:line="360" w:lineRule="auto"/>
      </w:pPr>
      <w:r>
        <w:rPr>
          <w:rFonts w:ascii="宋体" w:hAnsi="宋体" w:eastAsia="宋体"/>
          <w:b/>
          <w:sz w:val="22"/>
          <w:szCs w:val="22"/>
        </w:rPr>
        <w:t>2. 基于网络灵敏度的储能注入可行域</w:t>
      </w:r>
    </w:p>
    <w:p>
      <w:pPr>
        <w:spacing w:after="120" w:line="360" w:lineRule="auto"/>
        <w:ind w:firstLineChars="200"/>
      </w:pPr>
      <w:r>
        <w:rPr>
          <w:rFonts w:ascii="宋体" w:hAnsi="宋体" w:eastAsia="宋体"/>
        </w:rPr>
        <w:t>为避免每一个随机候选都进入完整潮流计算，本专利在搜索空间生成阶段建立储能有功/无功注入对电压、线路电流和配变负载的灵敏度近似。该灵敏度可由一次基准潮流扰动计算、历史潮流样本辨识或配电网线性化DistFlow模型得到。</w:t>
      </w:r>
    </w:p>
    <w:p>
      <w:pPr>
        <w:jc w:val="center"/>
        <w:spacing w:after="80"/>
      </w:pPr>
      <w:r>
        <w:drawing>
          <wp:inline>
            <wp:extent cx="5760720" cy="413416"/>
            <wp:effectExtent l="0" t="0" r="0" b="0"/>
            <wp:docPr id="F06" name="formula_06"/>
            <wp:cNvGraphicFramePr>
              <a:graphicFrameLocks noChangeAspect="1"/>
            </wp:cNvGraphicFramePr>
            <a:graphic>
              <a:graphicData uri="http://schemas.openxmlformats.org/drawingml/2006/picture">
                <pic:pic>
                  <pic:nvPicPr>
                    <pic:cNvPr id="0" name="formula_06.png"/>
                    <pic:cNvPicPr/>
                  </pic:nvPicPr>
                  <pic:blipFill>
                    <a:blip r:embed="rIdF06"/>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07" name="formula_07"/>
            <wp:cNvGraphicFramePr>
              <a:graphicFrameLocks noChangeAspect="1"/>
            </wp:cNvGraphicFramePr>
            <a:graphic>
              <a:graphicData uri="http://schemas.openxmlformats.org/drawingml/2006/picture">
                <pic:pic>
                  <pic:nvPicPr>
                    <pic:cNvPr id="0" name="formula_07.png"/>
                    <pic:cNvPicPr/>
                  </pic:nvPicPr>
                  <pic:blipFill>
                    <a:blip r:embed="rIdF07"/>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08" name="formula_08"/>
            <wp:cNvGraphicFramePr>
              <a:graphicFrameLocks noChangeAspect="1"/>
            </wp:cNvGraphicFramePr>
            <a:graphic>
              <a:graphicData uri="http://schemas.openxmlformats.org/drawingml/2006/picture">
                <pic:pic>
                  <pic:nvPicPr>
                    <pic:cNvPr id="0" name="formula_08.png"/>
                    <pic:cNvPicPr/>
                  </pic:nvPicPr>
                  <pic:blipFill>
                    <a:blip r:embed="rIdF08"/>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其中，u_t为储能对外注入的有功功率，放电为正、充电为负；q_t为储能变流器无功调节功率。由电压上下限、线路载流上限、配变容量上限和禁止反送电约束，可得到每一时刻的允许注入区间 U_t。</w:t>
      </w:r>
    </w:p>
    <w:p>
      <w:pPr>
        <w:jc w:val="center"/>
        <w:spacing w:after="80"/>
      </w:pPr>
      <w:r>
        <w:drawing>
          <wp:inline>
            <wp:extent cx="5760720" cy="755670"/>
            <wp:effectExtent l="0" t="0" r="0" b="0"/>
            <wp:docPr id="F09" name="formula_09"/>
            <wp:cNvGraphicFramePr>
              <a:graphicFrameLocks noChangeAspect="1"/>
            </wp:cNvGraphicFramePr>
            <a:graphic>
              <a:graphicData uri="http://schemas.openxmlformats.org/drawingml/2006/picture">
                <pic:pic>
                  <pic:nvPicPr>
                    <pic:cNvPr id="0" name="formula_09.png"/>
                    <pic:cNvPicPr/>
                  </pic:nvPicPr>
                  <pic:blipFill>
                    <a:blip r:embed="rIdF09"/>
                    <a:stretch>
                      <a:fillRect/>
                    </a:stretch>
                  </pic:blipFill>
                  <pic:spPr>
                    <a:xfrm>
                      <a:off x="0" y="0"/>
                      <a:ext cx="5760720" cy="755670"/>
                    </a:xfrm>
                    <a:prstGeom prst="rect">
                      <a:avLst/>
                    </a:prstGeom>
                  </pic:spPr>
                </pic:pic>
              </a:graphicData>
            </a:graphic>
          </wp:inline>
        </w:drawing>
      </w:r>
    </w:p>
    <w:p>
      <w:pPr>
        <w:spacing w:after="120" w:line="360" w:lineRule="auto"/>
        <w:ind w:firstLineChars="200"/>
      </w:pPr>
      <w:r>
        <w:rPr>
          <w:rFonts w:ascii="宋体" w:hAnsi="宋体" w:eastAsia="宋体"/>
        </w:rPr>
        <w:t>上述 U_t 是时变区间，直接反映配电网在不同负荷时刻对储能充放电的吸纳能力。相比只用配变额定容量作静态上界，该方法把线路、电压和反送电风险提前转化为搜索空间边界。</w:t>
      </w:r>
    </w:p>
    <w:p>
      <w:pPr>
        <w:spacing w:after="120" w:line="360" w:lineRule="auto"/>
      </w:pPr>
      <w:r>
        <w:rPr>
          <w:rFonts w:ascii="宋体" w:hAnsi="宋体" w:eastAsia="宋体"/>
          <w:b/>
          <w:sz w:val="22"/>
          <w:szCs w:val="22"/>
        </w:rPr>
        <w:t>3. 置信保护的功率上界与风险边界</w:t>
      </w:r>
    </w:p>
    <w:p>
      <w:pPr>
        <w:spacing w:after="120" w:line="360" w:lineRule="auto"/>
        <w:ind w:firstLineChars="200"/>
      </w:pPr>
      <w:r>
        <w:rPr>
          <w:rFonts w:ascii="宋体" w:hAnsi="宋体" w:eastAsia="宋体"/>
        </w:rPr>
        <w:t>考虑到量测误差、负荷预测偏差和线性灵敏度近似误差，本专利不直接取 U_t 的极值，而是采用分位数和条件风险值构造鲁棒功率上界。设 U_t^+ 为放电允许上界，U_t^- 为充电允许功率绝对值上界，则：</w:t>
      </w:r>
    </w:p>
    <w:p>
      <w:pPr>
        <w:jc w:val="center"/>
        <w:spacing w:after="80"/>
      </w:pPr>
      <w:r>
        <w:drawing>
          <wp:inline>
            <wp:extent cx="5760720" cy="413416"/>
            <wp:effectExtent l="0" t="0" r="0" b="0"/>
            <wp:docPr id="F10" name="formula_10"/>
            <wp:cNvGraphicFramePr>
              <a:graphicFrameLocks noChangeAspect="1"/>
            </wp:cNvGraphicFramePr>
            <a:graphic>
              <a:graphicData uri="http://schemas.openxmlformats.org/drawingml/2006/picture">
                <pic:pic>
                  <pic:nvPicPr>
                    <pic:cNvPr id="0" name="formula_10.png"/>
                    <pic:cNvPicPr/>
                  </pic:nvPicPr>
                  <pic:blipFill>
                    <a:blip r:embed="rIdF10"/>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11" name="formula_11"/>
            <wp:cNvGraphicFramePr>
              <a:graphicFrameLocks noChangeAspect="1"/>
            </wp:cNvGraphicFramePr>
            <a:graphic>
              <a:graphicData uri="http://schemas.openxmlformats.org/drawingml/2006/picture">
                <pic:pic>
                  <pic:nvPicPr>
                    <pic:cNvPr id="0" name="formula_11.png"/>
                    <pic:cNvPicPr/>
                  </pic:nvPicPr>
                  <pic:blipFill>
                    <a:blip r:embed="rIdF11"/>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12" name="formula_12"/>
            <wp:cNvGraphicFramePr>
              <a:graphicFrameLocks noChangeAspect="1"/>
            </wp:cNvGraphicFramePr>
            <a:graphic>
              <a:graphicData uri="http://schemas.openxmlformats.org/drawingml/2006/picture">
                <pic:pic>
                  <pic:nvPicPr>
                    <pic:cNvPr id="0" name="formula_12.png"/>
                    <pic:cNvPicPr/>
                  </pic:nvPicPr>
                  <pic:blipFill>
                    <a:blip r:embed="rIdF12"/>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其中，T_dis为高负荷、高电价或电网风险释放窗口，T_ch为低负荷、低电价或新能源富余窗口；β可取0.80-0.95，κ为风险放大系数。通过该方式，搜索上界具有统计置信含义，可避免被单个异常时刻过度放大，也避免忽略网络安全裕度。</w:t>
      </w:r>
    </w:p>
    <w:p>
      <w:pPr>
        <w:spacing w:after="120" w:line="360" w:lineRule="auto"/>
      </w:pPr>
      <w:r>
        <w:rPr>
          <w:rFonts w:ascii="宋体" w:hAnsi="宋体" w:eastAsia="宋体"/>
          <w:b/>
          <w:sz w:val="22"/>
          <w:szCs w:val="22"/>
        </w:rPr>
        <w:t>4. 基于高价值事件能量的容量边界</w:t>
      </w:r>
    </w:p>
    <w:p>
      <w:pPr>
        <w:spacing w:after="120" w:line="360" w:lineRule="auto"/>
        <w:ind w:firstLineChars="200"/>
      </w:pPr>
      <w:r>
        <w:rPr>
          <w:rFonts w:ascii="宋体" w:hAnsi="宋体" w:eastAsia="宋体"/>
        </w:rPr>
        <w:t>储能额定容量的上界不再简单设为“功率×固定小时数”，而是根据高价值事件所需能量和可充电窗口可恢复能量共同确定。系统首先根据电价、负荷越限、电压越限风险和新能源弃电风险构造放电价值函数 ψ_t^dis 与充电机会函数 ψ_t^ch。</w:t>
      </w:r>
    </w:p>
    <w:p>
      <w:pPr>
        <w:jc w:val="center"/>
        <w:spacing w:after="80"/>
      </w:pPr>
      <w:r>
        <w:drawing>
          <wp:inline>
            <wp:extent cx="5760720" cy="413416"/>
            <wp:effectExtent l="0" t="0" r="0" b="0"/>
            <wp:docPr id="F13" name="formula_13"/>
            <wp:cNvGraphicFramePr>
              <a:graphicFrameLocks noChangeAspect="1"/>
            </wp:cNvGraphicFramePr>
            <a:graphic>
              <a:graphicData uri="http://schemas.openxmlformats.org/drawingml/2006/picture">
                <pic:pic>
                  <pic:nvPicPr>
                    <pic:cNvPr id="0" name="formula_13.png"/>
                    <pic:cNvPicPr/>
                  </pic:nvPicPr>
                  <pic:blipFill>
                    <a:blip r:embed="rIdF13"/>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14" name="formula_14"/>
            <wp:cNvGraphicFramePr>
              <a:graphicFrameLocks noChangeAspect="1"/>
            </wp:cNvGraphicFramePr>
            <a:graphic>
              <a:graphicData uri="http://schemas.openxmlformats.org/drawingml/2006/picture">
                <pic:pic>
                  <pic:nvPicPr>
                    <pic:cNvPr id="0" name="formula_14.png"/>
                    <pic:cNvPicPr/>
                  </pic:nvPicPr>
                  <pic:blipFill>
                    <a:blip r:embed="rIdF14"/>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对连续高价值放电事件 e∈E_dis，计算在功率上界和SOC窗口约束下需要覆盖的事件能量；对连续充电机会事件 c∈E_ch，计算可恢复能量。额定容量上界取二者的置信匹配结果。</w:t>
      </w:r>
    </w:p>
    <w:p>
      <w:pPr>
        <w:jc w:val="center"/>
        <w:spacing w:after="80"/>
      </w:pPr>
      <w:r>
        <w:drawing>
          <wp:inline>
            <wp:extent cx="5760720" cy="413416"/>
            <wp:effectExtent l="0" t="0" r="0" b="0"/>
            <wp:docPr id="F15" name="formula_15"/>
            <wp:cNvGraphicFramePr>
              <a:graphicFrameLocks noChangeAspect="1"/>
            </wp:cNvGraphicFramePr>
            <a:graphic>
              <a:graphicData uri="http://schemas.openxmlformats.org/drawingml/2006/picture">
                <pic:pic>
                  <pic:nvPicPr>
                    <pic:cNvPr id="0" name="formula_15.png"/>
                    <pic:cNvPicPr/>
                  </pic:nvPicPr>
                  <pic:blipFill>
                    <a:blip r:embed="rIdF15"/>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16" name="formula_16"/>
            <wp:cNvGraphicFramePr>
              <a:graphicFrameLocks noChangeAspect="1"/>
            </wp:cNvGraphicFramePr>
            <a:graphic>
              <a:graphicData uri="http://schemas.openxmlformats.org/drawingml/2006/picture">
                <pic:pic>
                  <pic:nvPicPr>
                    <pic:cNvPr id="0" name="formula_16.png"/>
                    <pic:cNvPicPr/>
                  </pic:nvPicPr>
                  <pic:blipFill>
                    <a:blip r:embed="rIdF16"/>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17" name="formula_17"/>
            <wp:cNvGraphicFramePr>
              <a:graphicFrameLocks noChangeAspect="1"/>
            </wp:cNvGraphicFramePr>
            <a:graphic>
              <a:graphicData uri="http://schemas.openxmlformats.org/drawingml/2006/picture">
                <pic:pic>
                  <pic:nvPicPr>
                    <pic:cNvPr id="0" name="formula_17.png"/>
                    <pic:cNvPicPr/>
                  </pic:nvPicPr>
                  <pic:blipFill>
                    <a:blip r:embed="rIdF17"/>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因此，容量上界与负荷高峰持续时间、可充电窗口长度、SOC可用窗口、充放电效率和网络裕度均有关，能够适配“短峰高功率型”“长峰长时型”“光伏富余消纳型”等不同配电网场景。</w:t>
      </w:r>
    </w:p>
    <w:p>
      <w:pPr>
        <w:spacing w:after="120" w:line="360" w:lineRule="auto"/>
      </w:pPr>
      <w:r>
        <w:rPr>
          <w:rFonts w:ascii="宋体" w:hAnsi="宋体" w:eastAsia="宋体"/>
          <w:b/>
          <w:sz w:val="22"/>
          <w:szCs w:val="22"/>
        </w:rPr>
        <w:t>5. 经济边际收益饱和约束</w:t>
      </w:r>
    </w:p>
    <w:p>
      <w:pPr>
        <w:spacing w:after="120" w:line="360" w:lineRule="auto"/>
        <w:ind w:firstLineChars="200"/>
      </w:pPr>
      <w:r>
        <w:rPr>
          <w:rFonts w:ascii="宋体" w:hAnsi="宋体" w:eastAsia="宋体"/>
        </w:rPr>
        <w:t>为了避免仅从物理角度给出过大的容量范围，本专利还引入经济边际收益饱和判据。设 J(P,E) 为经调度仿真得到的综合目标函数，可包含净现值、峰值削减收益、辅助服务收益、电网风险惩罚和退化成本。若在容量方向上的边际收益已经低于等效资本和退化成本，则继续扩大的容量区间不再进入优化空间。</w:t>
      </w:r>
    </w:p>
    <w:p>
      <w:pPr>
        <w:jc w:val="center"/>
        <w:spacing w:after="80"/>
      </w:pPr>
      <w:r>
        <w:drawing>
          <wp:inline>
            <wp:extent cx="5760720" cy="413416"/>
            <wp:effectExtent l="0" t="0" r="0" b="0"/>
            <wp:docPr id="F18" name="formula_18"/>
            <wp:cNvGraphicFramePr>
              <a:graphicFrameLocks noChangeAspect="1"/>
            </wp:cNvGraphicFramePr>
            <a:graphic>
              <a:graphicData uri="http://schemas.openxmlformats.org/drawingml/2006/picture">
                <pic:pic>
                  <pic:nvPicPr>
                    <pic:cNvPr id="0" name="formula_18.png"/>
                    <pic:cNvPicPr/>
                  </pic:nvPicPr>
                  <pic:blipFill>
                    <a:blip r:embed="rIdF18"/>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19" name="formula_19"/>
            <wp:cNvGraphicFramePr>
              <a:graphicFrameLocks noChangeAspect="1"/>
            </wp:cNvGraphicFramePr>
            <a:graphic>
              <a:graphicData uri="http://schemas.openxmlformats.org/drawingml/2006/picture">
                <pic:pic>
                  <pic:nvPicPr>
                    <pic:cNvPr id="0" name="formula_19.png"/>
                    <pic:cNvPicPr/>
                  </pic:nvPicPr>
                  <pic:blipFill>
                    <a:blip r:embed="rIdF19"/>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20" name="formula_20"/>
            <wp:cNvGraphicFramePr>
              <a:graphicFrameLocks noChangeAspect="1"/>
            </wp:cNvGraphicFramePr>
            <a:graphic>
              <a:graphicData uri="http://schemas.openxmlformats.org/drawingml/2006/picture">
                <pic:pic>
                  <pic:nvPicPr>
                    <pic:cNvPr id="0" name="formula_20.png"/>
                    <pic:cNvPicPr/>
                  </pic:nvPicPr>
                  <pic:blipFill>
                    <a:blip r:embed="rIdF20"/>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该判据使搜索空间同时满足物理可行性和经济有效性，避免对“能运行但明显不经济”的大容量方案进行大量无效迭代。</w:t>
      </w:r>
    </w:p>
    <w:p>
      <w:pPr>
        <w:spacing w:after="120" w:line="360" w:lineRule="auto"/>
      </w:pPr>
      <w:r>
        <w:rPr>
          <w:rFonts w:ascii="宋体" w:hAnsi="宋体" w:eastAsia="宋体"/>
          <w:b/>
          <w:sz w:val="22"/>
          <w:szCs w:val="22"/>
        </w:rPr>
        <w:t>6. 标准设备库投影、支配剪枝与候选集生成</w:t>
      </w:r>
    </w:p>
    <w:p>
      <w:pPr>
        <w:spacing w:after="120" w:line="360" w:lineRule="auto"/>
        <w:ind w:firstLineChars="200"/>
      </w:pPr>
      <w:r>
        <w:rPr>
          <w:rFonts w:ascii="宋体" w:hAnsi="宋体" w:eastAsia="宋体"/>
        </w:rPr>
        <w:t>设连续可行域为 F，设备库启用型号集合为 Ω，型号 i 的额定功率、容量、时长、成本、循环寿命和变流器能力分别为 (P_i,E_i,T_i,C_i,N_i,Q_i)。本专利将 F 投影到 Ω 上，并执行支配剪枝。</w:t>
      </w:r>
    </w:p>
    <w:p>
      <w:pPr>
        <w:jc w:val="center"/>
        <w:spacing w:after="80"/>
      </w:pPr>
      <w:r>
        <w:drawing>
          <wp:inline>
            <wp:extent cx="5760720" cy="413416"/>
            <wp:effectExtent l="0" t="0" r="0" b="0"/>
            <wp:docPr id="F21" name="formula_21"/>
            <wp:cNvGraphicFramePr>
              <a:graphicFrameLocks noChangeAspect="1"/>
            </wp:cNvGraphicFramePr>
            <a:graphic>
              <a:graphicData uri="http://schemas.openxmlformats.org/drawingml/2006/picture">
                <pic:pic>
                  <pic:nvPicPr>
                    <pic:cNvPr id="0" name="formula_21.png"/>
                    <pic:cNvPicPr/>
                  </pic:nvPicPr>
                  <pic:blipFill>
                    <a:blip r:embed="rIdF21"/>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22" name="formula_22"/>
            <wp:cNvGraphicFramePr>
              <a:graphicFrameLocks noChangeAspect="1"/>
            </wp:cNvGraphicFramePr>
            <a:graphic>
              <a:graphicData uri="http://schemas.openxmlformats.org/drawingml/2006/picture">
                <pic:pic>
                  <pic:nvPicPr>
                    <pic:cNvPr id="0" name="formula_22.png"/>
                    <pic:cNvPicPr/>
                  </pic:nvPicPr>
                  <pic:blipFill>
                    <a:blip r:embed="rIdF22"/>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23" name="formula_23"/>
            <wp:cNvGraphicFramePr>
              <a:graphicFrameLocks noChangeAspect="1"/>
            </wp:cNvGraphicFramePr>
            <a:graphic>
              <a:graphicData uri="http://schemas.openxmlformats.org/drawingml/2006/picture">
                <pic:pic>
                  <pic:nvPicPr>
                    <pic:cNvPr id="0" name="formula_23.png"/>
                    <pic:cNvPicPr/>
                  </pic:nvPicPr>
                  <pic:blipFill>
                    <a:blip r:embed="rIdF23"/>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其中，M 为置信保护裕度，用于防止边界估计误差导致优良型号被过早排除。通过设备库投影，优化器获得的不是连续变量空间，而是少量可采购、可报价、可施工的候选型号集合 D。</w:t>
      </w:r>
    </w:p>
    <w:p>
      <w:pPr>
        <w:spacing w:after="120" w:line="360" w:lineRule="auto"/>
        <w:jc w:val="center"/>
      </w:pPr>
      <w:r>
        <w:rPr>
          <w:rFonts w:ascii="宋体" w:hAnsi="宋体" w:eastAsia="宋体"/>
          <w:b/>
          <w:sz w:val="20"/>
          <w:szCs w:val="20"/>
        </w:rPr>
        <w:t>图2  容量可行域收缩与设备库投影示意图</w:t>
      </w:r>
    </w:p>
    <w:p>
      <w:pPr>
        <w:jc w:val="center"/>
      </w:pPr>
      <w:r>
        <w:drawing>
          <wp:inline>
            <wp:extent cx="5669280" cy="3401568"/>
            <wp:effectExtent l="0" t="0" r="0" b="0"/>
            <wp:docPr id="102" name="图2_容量可行域收缩与设备库投影示意"/>
            <wp:cNvGraphicFramePr>
              <a:graphicFrameLocks noChangeAspect="1"/>
            </wp:cNvGraphicFramePr>
            <a:graphic>
              <a:graphicData uri="http://schemas.openxmlformats.org/drawingml/2006/picture">
                <pic:pic>
                  <pic:nvPicPr>
                    <pic:cNvPr id="0" name="图2_容量可行域收缩与设备库投影示意.png"/>
                    <pic:cNvPicPr/>
                  </pic:nvPicPr>
                  <pic:blipFill>
                    <a:blip r:embed="rId102"/>
                    <a:stretch>
                      <a:fillRect/>
                    </a:stretch>
                  </pic:blipFill>
                  <pic:spPr>
                    <a:xfrm>
                      <a:off x="0" y="0"/>
                      <a:ext cx="5669280" cy="3401568"/>
                    </a:xfrm>
                    <a:prstGeom prst="rect">
                      <a:avLst/>
                    </a:prstGeom>
                  </pic:spPr>
                </pic:pic>
              </a:graphicData>
            </a:graphic>
          </wp:inline>
        </w:drawing>
      </w:r>
    </w:p>
    <w:p>
      <w:pPr>
        <w:spacing w:after="120" w:line="360" w:lineRule="auto"/>
      </w:pPr>
      <w:r>
        <w:rPr>
          <w:rFonts w:ascii="宋体" w:hAnsi="宋体" w:eastAsia="宋体"/>
          <w:b/>
          <w:sz w:val="22"/>
          <w:szCs w:val="22"/>
        </w:rPr>
        <w:t>7. 基于优化反馈的二次自适应调整</w:t>
      </w:r>
    </w:p>
    <w:p>
      <w:pPr>
        <w:spacing w:after="120" w:line="360" w:lineRule="auto"/>
        <w:ind w:firstLineChars="200"/>
      </w:pPr>
      <w:r>
        <w:rPr>
          <w:rFonts w:ascii="宋体" w:hAnsi="宋体" w:eastAsia="宋体"/>
        </w:rPr>
        <w:t>在初始候选集进入优化器后，本方法还记录每一代中造成候选无效或低效的活跃约束，例如配变约束、电压约束、线路约束、SOC约束、经济边际收益约束等。设第 r 轮优化中约束 c 的活跃频率为 A_c^r，收益梯度估计为 g_E^r、g_P^r，则边界收缩因子按下式更新：</w:t>
      </w:r>
    </w:p>
    <w:p>
      <w:pPr>
        <w:jc w:val="center"/>
        <w:spacing w:after="80"/>
      </w:pPr>
      <w:r>
        <w:drawing>
          <wp:inline>
            <wp:extent cx="5760720" cy="413416"/>
            <wp:effectExtent l="0" t="0" r="0" b="0"/>
            <wp:docPr id="F24" name="formula_24"/>
            <wp:cNvGraphicFramePr>
              <a:graphicFrameLocks noChangeAspect="1"/>
            </wp:cNvGraphicFramePr>
            <a:graphic>
              <a:graphicData uri="http://schemas.openxmlformats.org/drawingml/2006/picture">
                <pic:pic>
                  <pic:nvPicPr>
                    <pic:cNvPr id="0" name="formula_24.png"/>
                    <pic:cNvPicPr/>
                  </pic:nvPicPr>
                  <pic:blipFill>
                    <a:blip r:embed="rIdF24"/>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25" name="formula_25"/>
            <wp:cNvGraphicFramePr>
              <a:graphicFrameLocks noChangeAspect="1"/>
            </wp:cNvGraphicFramePr>
            <a:graphic>
              <a:graphicData uri="http://schemas.openxmlformats.org/drawingml/2006/picture">
                <pic:pic>
                  <pic:nvPicPr>
                    <pic:cNvPr id="0" name="formula_25.png"/>
                    <pic:cNvPicPr/>
                  </pic:nvPicPr>
                  <pic:blipFill>
                    <a:blip r:embed="rIdF25"/>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26" name="formula_26"/>
            <wp:cNvGraphicFramePr>
              <a:graphicFrameLocks noChangeAspect="1"/>
            </wp:cNvGraphicFramePr>
            <a:graphic>
              <a:graphicData uri="http://schemas.openxmlformats.org/drawingml/2006/picture">
                <pic:pic>
                  <pic:nvPicPr>
                    <pic:cNvPr id="0" name="formula_26.png"/>
                    <pic:cNvPicPr/>
                  </pic:nvPicPr>
                  <pic:blipFill>
                    <a:blip r:embed="rIdF26"/>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27" name="formula_27"/>
            <wp:cNvGraphicFramePr>
              <a:graphicFrameLocks noChangeAspect="1"/>
            </wp:cNvGraphicFramePr>
            <a:graphic>
              <a:graphicData uri="http://schemas.openxmlformats.org/drawingml/2006/picture">
                <pic:pic>
                  <pic:nvPicPr>
                    <pic:cNvPr id="0" name="formula_27.png"/>
                    <pic:cNvPicPr/>
                  </pic:nvPicPr>
                  <pic:blipFill>
                    <a:blip r:embed="rIdF27"/>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上述更新并非盲目缩小边界，而是保留 Pareto 前沿 ε 邻域和统计置信裕度。这样既能持续减少无效计算，又能降低因过度收缩而遗漏潜在优解的风险。</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DEBF7"/>
          </w:tcPr>
          <w:p>
            <w:pPr>
              <w:spacing w:after="120" w:line="360" w:lineRule="auto"/>
            </w:pPr>
            <w:r>
              <w:rPr>
                <w:rFonts w:ascii="宋体" w:hAnsi="宋体" w:eastAsia="宋体"/>
                <w:b/>
                <w:sz w:val="18"/>
                <w:szCs w:val="18"/>
              </w:rPr>
              <w:t>模块</w:t>
            </w:r>
          </w:p>
        </w:tc>
        <w:tc>
          <w:tcPr>
            <w:shd w:fill="DDEBF7"/>
          </w:tcPr>
          <w:p>
            <w:pPr>
              <w:spacing w:after="120" w:line="360" w:lineRule="auto"/>
            </w:pPr>
            <w:r>
              <w:rPr>
                <w:rFonts w:ascii="宋体" w:hAnsi="宋体" w:eastAsia="宋体"/>
                <w:b/>
                <w:sz w:val="18"/>
                <w:szCs w:val="18"/>
              </w:rPr>
              <w:t>输入</w:t>
            </w:r>
          </w:p>
        </w:tc>
        <w:tc>
          <w:tcPr>
            <w:shd w:fill="DDEBF7"/>
          </w:tcPr>
          <w:p>
            <w:pPr>
              <w:spacing w:after="120" w:line="360" w:lineRule="auto"/>
            </w:pPr>
            <w:r>
              <w:rPr>
                <w:rFonts w:ascii="宋体" w:hAnsi="宋体" w:eastAsia="宋体"/>
                <w:b/>
                <w:sz w:val="18"/>
                <w:szCs w:val="18"/>
              </w:rPr>
              <w:t>关键计算</w:t>
            </w:r>
          </w:p>
        </w:tc>
        <w:tc>
          <w:tcPr>
            <w:shd w:fill="DDEBF7"/>
          </w:tcPr>
          <w:p>
            <w:pPr>
              <w:spacing w:after="120" w:line="360" w:lineRule="auto"/>
            </w:pPr>
            <w:r>
              <w:rPr>
                <w:rFonts w:ascii="宋体" w:hAnsi="宋体" w:eastAsia="宋体"/>
                <w:b/>
                <w:sz w:val="18"/>
                <w:szCs w:val="18"/>
              </w:rPr>
              <w:t>输出</w:t>
            </w:r>
          </w:p>
        </w:tc>
      </w:tr>
      <w:tr>
        <w:tc>
          <w:tcPr>
            <w:shd w:fill="FFFFFF"/>
          </w:tcPr>
          <w:p>
            <w:pPr>
              <w:spacing w:after="120" w:line="360" w:lineRule="auto"/>
            </w:pPr>
            <w:r>
              <w:rPr>
                <w:rFonts w:ascii="宋体" w:hAnsi="宋体" w:eastAsia="宋体"/>
                <w:sz w:val="18"/>
                <w:szCs w:val="18"/>
              </w:rPr>
              <w:t>运行特征张量</w:t>
            </w:r>
          </w:p>
        </w:tc>
        <w:tc>
          <w:tcPr>
            <w:shd w:fill="FFFFFF"/>
          </w:tcPr>
          <w:p>
            <w:pPr>
              <w:spacing w:after="120" w:line="360" w:lineRule="auto"/>
            </w:pPr>
            <w:r>
              <w:rPr>
                <w:rFonts w:ascii="宋体" w:hAnsi="宋体" w:eastAsia="宋体"/>
                <w:sz w:val="18"/>
                <w:szCs w:val="18"/>
              </w:rPr>
              <w:t>8760h负荷、PV、电价、拓扑量测</w:t>
            </w:r>
          </w:p>
        </w:tc>
        <w:tc>
          <w:tcPr>
            <w:shd w:fill="FFFFFF"/>
          </w:tcPr>
          <w:p>
            <w:pPr>
              <w:spacing w:after="120" w:line="360" w:lineRule="auto"/>
            </w:pPr>
            <w:r>
              <w:rPr>
                <w:rFonts w:ascii="宋体" w:hAnsi="宋体" w:eastAsia="宋体"/>
                <w:sz w:val="18"/>
                <w:szCs w:val="18"/>
              </w:rPr>
              <w:t>分位数、爬坡、持续高峰、价值窗口</w:t>
            </w:r>
          </w:p>
        </w:tc>
        <w:tc>
          <w:tcPr>
            <w:shd w:fill="FFFFFF"/>
          </w:tcPr>
          <w:p>
            <w:pPr>
              <w:spacing w:after="120" w:line="360" w:lineRule="auto"/>
            </w:pPr>
            <w:r>
              <w:rPr>
                <w:rFonts w:ascii="宋体" w:hAnsi="宋体" w:eastAsia="宋体"/>
                <w:sz w:val="18"/>
                <w:szCs w:val="18"/>
              </w:rPr>
              <w:t>Φ</w:t>
            </w:r>
          </w:p>
        </w:tc>
      </w:tr>
      <w:tr>
        <w:tc>
          <w:tcPr>
            <w:shd w:fill="FFFFFF"/>
          </w:tcPr>
          <w:p>
            <w:pPr>
              <w:spacing w:after="120" w:line="360" w:lineRule="auto"/>
            </w:pPr>
            <w:r>
              <w:rPr>
                <w:rFonts w:ascii="宋体" w:hAnsi="宋体" w:eastAsia="宋体"/>
                <w:sz w:val="18"/>
                <w:szCs w:val="18"/>
              </w:rPr>
              <w:t>网络灵敏度可行域</w:t>
            </w:r>
          </w:p>
        </w:tc>
        <w:tc>
          <w:tcPr>
            <w:shd w:fill="FFFFFF"/>
          </w:tcPr>
          <w:p>
            <w:pPr>
              <w:spacing w:after="120" w:line="360" w:lineRule="auto"/>
            </w:pPr>
            <w:r>
              <w:rPr>
                <w:rFonts w:ascii="宋体" w:hAnsi="宋体" w:eastAsia="宋体"/>
                <w:sz w:val="18"/>
                <w:szCs w:val="18"/>
              </w:rPr>
              <w:t>基准潮流、扰动潮流或DistFlow参数</w:t>
            </w:r>
          </w:p>
        </w:tc>
        <w:tc>
          <w:tcPr>
            <w:shd w:fill="FFFFFF"/>
          </w:tcPr>
          <w:p>
            <w:pPr>
              <w:spacing w:after="120" w:line="360" w:lineRule="auto"/>
            </w:pPr>
            <w:r>
              <w:rPr>
                <w:rFonts w:ascii="宋体" w:hAnsi="宋体" w:eastAsia="宋体"/>
                <w:sz w:val="18"/>
                <w:szCs w:val="18"/>
              </w:rPr>
              <w:t>电压/线路/配变对储能注入的灵敏度</w:t>
            </w:r>
          </w:p>
        </w:tc>
        <w:tc>
          <w:tcPr>
            <w:shd w:fill="FFFFFF"/>
          </w:tcPr>
          <w:p>
            <w:pPr>
              <w:spacing w:after="120" w:line="360" w:lineRule="auto"/>
            </w:pPr>
            <w:r>
              <w:rPr>
                <w:rFonts w:ascii="宋体" w:hAnsi="宋体" w:eastAsia="宋体"/>
                <w:sz w:val="18"/>
                <w:szCs w:val="18"/>
              </w:rPr>
              <w:t>U_t、F0</w:t>
            </w:r>
          </w:p>
        </w:tc>
      </w:tr>
      <w:tr>
        <w:tc>
          <w:tcPr>
            <w:shd w:fill="FFFFFF"/>
          </w:tcPr>
          <w:p>
            <w:pPr>
              <w:spacing w:after="120" w:line="360" w:lineRule="auto"/>
            </w:pPr>
            <w:r>
              <w:rPr>
                <w:rFonts w:ascii="宋体" w:hAnsi="宋体" w:eastAsia="宋体"/>
                <w:sz w:val="18"/>
                <w:szCs w:val="18"/>
              </w:rPr>
              <w:t>鲁棒边界生成</w:t>
            </w:r>
          </w:p>
        </w:tc>
        <w:tc>
          <w:tcPr>
            <w:shd w:fill="FFFFFF"/>
          </w:tcPr>
          <w:p>
            <w:pPr>
              <w:spacing w:after="120" w:line="360" w:lineRule="auto"/>
            </w:pPr>
            <w:r>
              <w:rPr>
                <w:rFonts w:ascii="宋体" w:hAnsi="宋体" w:eastAsia="宋体"/>
                <w:sz w:val="18"/>
                <w:szCs w:val="18"/>
              </w:rPr>
              <w:t>U_t、误差分布、风险系数</w:t>
            </w:r>
          </w:p>
        </w:tc>
        <w:tc>
          <w:tcPr>
            <w:shd w:fill="FFFFFF"/>
          </w:tcPr>
          <w:p>
            <w:pPr>
              <w:spacing w:after="120" w:line="360" w:lineRule="auto"/>
            </w:pPr>
            <w:r>
              <w:rPr>
                <w:rFonts w:ascii="宋体" w:hAnsi="宋体" w:eastAsia="宋体"/>
                <w:sz w:val="18"/>
                <w:szCs w:val="18"/>
              </w:rPr>
              <w:t>分位数与CVaR保护</w:t>
            </w:r>
          </w:p>
        </w:tc>
        <w:tc>
          <w:tcPr>
            <w:shd w:fill="FFFFFF"/>
          </w:tcPr>
          <w:p>
            <w:pPr>
              <w:spacing w:after="120" w:line="360" w:lineRule="auto"/>
            </w:pPr>
            <w:r>
              <w:rPr>
                <w:rFonts w:ascii="宋体" w:hAnsi="宋体" w:eastAsia="宋体"/>
                <w:sz w:val="18"/>
                <w:szCs w:val="18"/>
              </w:rPr>
              <w:t>P_max、E_max</w:t>
            </w:r>
          </w:p>
        </w:tc>
      </w:tr>
      <w:tr>
        <w:tc>
          <w:tcPr>
            <w:shd w:fill="FFFFFF"/>
          </w:tcPr>
          <w:p>
            <w:pPr>
              <w:spacing w:after="120" w:line="360" w:lineRule="auto"/>
            </w:pPr>
            <w:r>
              <w:rPr>
                <w:rFonts w:ascii="宋体" w:hAnsi="宋体" w:eastAsia="宋体"/>
                <w:sz w:val="18"/>
                <w:szCs w:val="18"/>
              </w:rPr>
              <w:t>经济边际裁剪</w:t>
            </w:r>
          </w:p>
        </w:tc>
        <w:tc>
          <w:tcPr>
            <w:shd w:fill="FFFFFF"/>
          </w:tcPr>
          <w:p>
            <w:pPr>
              <w:spacing w:after="120" w:line="360" w:lineRule="auto"/>
            </w:pPr>
            <w:r>
              <w:rPr>
                <w:rFonts w:ascii="宋体" w:hAnsi="宋体" w:eastAsia="宋体"/>
                <w:sz w:val="18"/>
                <w:szCs w:val="18"/>
              </w:rPr>
              <w:t>调度收益、投资成本、退化成本</w:t>
            </w:r>
          </w:p>
        </w:tc>
        <w:tc>
          <w:tcPr>
            <w:shd w:fill="FFFFFF"/>
          </w:tcPr>
          <w:p>
            <w:pPr>
              <w:spacing w:after="120" w:line="360" w:lineRule="auto"/>
            </w:pPr>
            <w:r>
              <w:rPr>
                <w:rFonts w:ascii="宋体" w:hAnsi="宋体" w:eastAsia="宋体"/>
                <w:sz w:val="18"/>
                <w:szCs w:val="18"/>
              </w:rPr>
              <w:t>边际收益饱和判据</w:t>
            </w:r>
          </w:p>
        </w:tc>
        <w:tc>
          <w:tcPr>
            <w:shd w:fill="FFFFFF"/>
          </w:tcPr>
          <w:p>
            <w:pPr>
              <w:spacing w:after="120" w:line="360" w:lineRule="auto"/>
            </w:pPr>
            <w:r>
              <w:rPr>
                <w:rFonts w:ascii="宋体" w:hAnsi="宋体" w:eastAsia="宋体"/>
                <w:sz w:val="18"/>
                <w:szCs w:val="18"/>
              </w:rPr>
              <w:t>经济有效可行域F</w:t>
            </w:r>
          </w:p>
        </w:tc>
      </w:tr>
      <w:tr>
        <w:tc>
          <w:tcPr>
            <w:shd w:fill="FFFFFF"/>
          </w:tcPr>
          <w:p>
            <w:pPr>
              <w:spacing w:after="120" w:line="360" w:lineRule="auto"/>
            </w:pPr>
            <w:r>
              <w:rPr>
                <w:rFonts w:ascii="宋体" w:hAnsi="宋体" w:eastAsia="宋体"/>
                <w:sz w:val="18"/>
                <w:szCs w:val="18"/>
              </w:rPr>
              <w:t>设备库投影</w:t>
            </w:r>
          </w:p>
        </w:tc>
        <w:tc>
          <w:tcPr>
            <w:shd w:fill="FFFFFF"/>
          </w:tcPr>
          <w:p>
            <w:pPr>
              <w:spacing w:after="120" w:line="360" w:lineRule="auto"/>
            </w:pPr>
            <w:r>
              <w:rPr>
                <w:rFonts w:ascii="宋体" w:hAnsi="宋体" w:eastAsia="宋体"/>
                <w:sz w:val="18"/>
                <w:szCs w:val="18"/>
              </w:rPr>
              <w:t>标准型号库Ω</w:t>
            </w:r>
          </w:p>
        </w:tc>
        <w:tc>
          <w:tcPr>
            <w:shd w:fill="FFFFFF"/>
          </w:tcPr>
          <w:p>
            <w:pPr>
              <w:spacing w:after="120" w:line="360" w:lineRule="auto"/>
            </w:pPr>
            <w:r>
              <w:rPr>
                <w:rFonts w:ascii="宋体" w:hAnsi="宋体" w:eastAsia="宋体"/>
                <w:sz w:val="18"/>
                <w:szCs w:val="18"/>
              </w:rPr>
              <w:t>投影、邻域膨胀、支配剪枝</w:t>
            </w:r>
          </w:p>
        </w:tc>
        <w:tc>
          <w:tcPr>
            <w:shd w:fill="FFFFFF"/>
          </w:tcPr>
          <w:p>
            <w:pPr>
              <w:spacing w:after="120" w:line="360" w:lineRule="auto"/>
            </w:pPr>
            <w:r>
              <w:rPr>
                <w:rFonts w:ascii="宋体" w:hAnsi="宋体" w:eastAsia="宋体"/>
                <w:sz w:val="18"/>
                <w:szCs w:val="18"/>
              </w:rPr>
              <w:t>离散候选集D</w:t>
            </w:r>
          </w:p>
        </w:tc>
      </w:tr>
      <w:tr>
        <w:tc>
          <w:tcPr>
            <w:shd w:fill="FFFFFF"/>
          </w:tcPr>
          <w:p>
            <w:pPr>
              <w:spacing w:after="120" w:line="360" w:lineRule="auto"/>
            </w:pPr>
            <w:r>
              <w:rPr>
                <w:rFonts w:ascii="宋体" w:hAnsi="宋体" w:eastAsia="宋体"/>
                <w:sz w:val="18"/>
                <w:szCs w:val="18"/>
              </w:rPr>
              <w:t>反馈更新</w:t>
            </w:r>
          </w:p>
        </w:tc>
        <w:tc>
          <w:tcPr>
            <w:shd w:fill="FFFFFF"/>
          </w:tcPr>
          <w:p>
            <w:pPr>
              <w:spacing w:after="120" w:line="360" w:lineRule="auto"/>
            </w:pPr>
            <w:r>
              <w:rPr>
                <w:rFonts w:ascii="宋体" w:hAnsi="宋体" w:eastAsia="宋体"/>
                <w:sz w:val="18"/>
                <w:szCs w:val="18"/>
              </w:rPr>
              <w:t>每代失败原因、活跃约束、Pareto邻域</w:t>
            </w:r>
          </w:p>
        </w:tc>
        <w:tc>
          <w:tcPr>
            <w:shd w:fill="FFFFFF"/>
          </w:tcPr>
          <w:p>
            <w:pPr>
              <w:spacing w:after="120" w:line="360" w:lineRule="auto"/>
            </w:pPr>
            <w:r>
              <w:rPr>
                <w:rFonts w:ascii="宋体" w:hAnsi="宋体" w:eastAsia="宋体"/>
                <w:sz w:val="18"/>
                <w:szCs w:val="18"/>
              </w:rPr>
              <w:t>γ_c更新与置信裕度保护</w:t>
            </w:r>
          </w:p>
        </w:tc>
        <w:tc>
          <w:tcPr>
            <w:shd w:fill="FFFFFF"/>
          </w:tcPr>
          <w:p>
            <w:pPr>
              <w:spacing w:after="120" w:line="360" w:lineRule="auto"/>
            </w:pPr>
            <w:r>
              <w:rPr>
                <w:rFonts w:ascii="宋体" w:hAnsi="宋体" w:eastAsia="宋体"/>
                <w:sz w:val="18"/>
                <w:szCs w:val="18"/>
              </w:rPr>
              <w:t>F^{r+1}、D^{r+1}</w:t>
            </w:r>
          </w:p>
        </w:tc>
      </w:tr>
    </w:tbl>
    <w:p ns2:paraId="00754AE7" ns2:textId="77777777" w:rsidR="00D84E4C" w:rsidRPr="00E67C43" w:rsidRDefault="00D84E4C" w:rsidP="00666078">
      <w:pPr>
        <w:ind w:firstLineChars="0" w:firstLine="0"/>
      </w:pPr>
    </w:p>
    <w:p ns2:paraId="0F73BA72" ns2:textId="037EC9E6" w:rsidR="00A47993" w:rsidRPr="00E67C43" w:rsidRDefault="00000000">
      <w:pPr>
        <w:ind w:firstLine="360"/>
        <w:rPr>
          <w:szCs w:val="21"/>
        </w:rPr>
      </w:pPr>
      <w:r>
        <w:rPr>
          <w:rFonts w:ascii="Arial" w:hAnsi="Arial" w:cs="Arial"/>
          <w:sz w:val="18"/>
          <w:szCs w:val="18"/>
        </w:rPr>
        <w:pict ns2:anchorId="2FDDA613">
          <ns3:shape id="_x0000_i1029" type="#_x0000_t75" style="width:18.1pt;height:13.85pt">
            <ns3:imagedata r:id="rId9" ns4:title=""/>
          </ns3:shape>
        </w:pict>
      </w:r>
      <w:r w:rsidR="00D0658C" w:rsidRPr="00E67C43">
        <w:rPr>
          <w:rStyle w:val="af0"/>
          <w:rFonts w:ascii="Arial" w:hAnsi="Arial" w:cs="Arial" w:hint="eastAsia"/>
          <w:sz w:val="18"/>
          <w:szCs w:val="18"/>
        </w:rPr>
        <w:t>本专利的效果：</w:t>
      </w:r>
      <w:r w:rsidR="00D0658C" w:rsidRPr="00E67C43">
        <w:rPr>
          <w:rFonts w:ascii="Arial" w:hAnsi="Arial" w:cs="Arial" w:hint="eastAsia"/>
          <w:sz w:val="18"/>
          <w:szCs w:val="18"/>
        </w:rPr>
        <w:t>有益效果可以由工作性能的提高，制作成本、能量损耗的减少，稳定性的增加，操作、控制、使用的简便，以及其他有用性能的出现等方面反映出来。</w:t>
      </w:r>
    </w:p>
    <w:p>
      <w:pPr>
        <w:spacing w:after="120" w:line="360" w:lineRule="auto"/>
      </w:pPr>
      <w:r>
        <w:rPr>
          <w:rFonts w:ascii="宋体" w:hAnsi="宋体" w:eastAsia="宋体"/>
          <w:b/>
          <w:sz w:val="24"/>
          <w:szCs w:val="24"/>
        </w:rPr>
        <w:t>二、深化后的有益效果及量化对比</w:t>
      </w:r>
    </w:p>
    <w:p>
      <w:pPr>
        <w:spacing w:after="120" w:line="360" w:lineRule="auto"/>
        <w:ind w:firstLineChars="200"/>
      </w:pPr>
      <w:r>
        <w:rPr>
          <w:rFonts w:ascii="宋体" w:hAnsi="宋体" w:eastAsia="宋体"/>
        </w:rPr>
        <w:t>本专利的效果不仅体现在“搜索空间变小”，更体现在无效候选比例降低、单位代数潮流校核次数减少、优化目标更快接近稳定值以及总计算时长降低。为便于说明，定义如下评价指标。</w:t>
      </w:r>
    </w:p>
    <w:p>
      <w:pPr>
        <w:jc w:val="center"/>
        <w:spacing w:after="80"/>
      </w:pPr>
      <w:r>
        <w:drawing>
          <wp:inline>
            <wp:extent cx="5760720" cy="413416"/>
            <wp:effectExtent l="0" t="0" r="0" b="0"/>
            <wp:docPr id="F28" name="formula_28"/>
            <wp:cNvGraphicFramePr>
              <a:graphicFrameLocks noChangeAspect="1"/>
            </wp:cNvGraphicFramePr>
            <a:graphic>
              <a:graphicData uri="http://schemas.openxmlformats.org/drawingml/2006/picture">
                <pic:pic>
                  <pic:nvPicPr>
                    <pic:cNvPr id="0" name="formula_28.png"/>
                    <pic:cNvPicPr/>
                  </pic:nvPicPr>
                  <pic:blipFill>
                    <a:blip r:embed="rIdF28"/>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29" name="formula_29"/>
            <wp:cNvGraphicFramePr>
              <a:graphicFrameLocks noChangeAspect="1"/>
            </wp:cNvGraphicFramePr>
            <a:graphic>
              <a:graphicData uri="http://schemas.openxmlformats.org/drawingml/2006/picture">
                <pic:pic>
                  <pic:nvPicPr>
                    <pic:cNvPr id="0" name="formula_29.png"/>
                    <pic:cNvPicPr/>
                  </pic:nvPicPr>
                  <pic:blipFill>
                    <a:blip r:embed="rIdF29"/>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30" name="formula_30"/>
            <wp:cNvGraphicFramePr>
              <a:graphicFrameLocks noChangeAspect="1"/>
            </wp:cNvGraphicFramePr>
            <a:graphic>
              <a:graphicData uri="http://schemas.openxmlformats.org/drawingml/2006/picture">
                <pic:pic>
                  <pic:nvPicPr>
                    <pic:cNvPr id="0" name="formula_30.png"/>
                    <pic:cNvPicPr/>
                  </pic:nvPicPr>
                  <pic:blipFill>
                    <a:blip r:embed="rIdF30"/>
                    <a:stretch>
                      <a:fillRect/>
                    </a:stretch>
                  </pic:blipFill>
                  <pic:spPr>
                    <a:xfrm>
                      <a:off x="0" y="0"/>
                      <a:ext cx="5760720" cy="413416"/>
                    </a:xfrm>
                    <a:prstGeom prst="rect">
                      <a:avLst/>
                    </a:prstGeom>
                  </pic:spPr>
                </pic:pic>
              </a:graphicData>
            </a:graphic>
          </wp:inline>
        </w:drawing>
      </w:r>
    </w:p>
    <w:p>
      <w:pPr>
        <w:jc w:val="center"/>
        <w:spacing w:after="80"/>
      </w:pPr>
      <w:r>
        <w:drawing>
          <wp:inline>
            <wp:extent cx="5760720" cy="413416"/>
            <wp:effectExtent l="0" t="0" r="0" b="0"/>
            <wp:docPr id="F31" name="formula_31"/>
            <wp:cNvGraphicFramePr>
              <a:graphicFrameLocks noChangeAspect="1"/>
            </wp:cNvGraphicFramePr>
            <a:graphic>
              <a:graphicData uri="http://schemas.openxmlformats.org/drawingml/2006/picture">
                <pic:pic>
                  <pic:nvPicPr>
                    <pic:cNvPr id="0" name="formula_31.png"/>
                    <pic:cNvPicPr/>
                  </pic:nvPicPr>
                  <pic:blipFill>
                    <a:blip r:embed="rIdF31"/>
                    <a:stretch>
                      <a:fillRect/>
                    </a:stretch>
                  </pic:blipFill>
                  <pic:spPr>
                    <a:xfrm>
                      <a:off x="0" y="0"/>
                      <a:ext cx="5760720" cy="413416"/>
                    </a:xfrm>
                    <a:prstGeom prst="rect">
                      <a:avLst/>
                    </a:prstGeom>
                  </pic:spPr>
                </pic:pic>
              </a:graphicData>
            </a:graphic>
          </wp:inline>
        </w:drawing>
      </w:r>
    </w:p>
    <w:p>
      <w:pPr>
        <w:spacing w:after="120" w:line="360" w:lineRule="auto"/>
        <w:ind w:firstLineChars="200"/>
      </w:pPr>
      <w:r>
        <w:rPr>
          <w:rFonts w:ascii="宋体" w:hAnsi="宋体" w:eastAsia="宋体"/>
        </w:rPr>
        <w:t>其中，η_invalid为无效评估占比，g_ε为达到 ε 收敛带所需代数，R_T为计算时长降低率，R_N为候选评估数量降低率。</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DEBF7"/>
          </w:tcPr>
          <w:p>
            <w:pPr>
              <w:spacing w:after="120" w:line="360" w:lineRule="auto"/>
            </w:pPr>
            <w:r>
              <w:rPr>
                <w:rFonts w:ascii="宋体" w:hAnsi="宋体" w:eastAsia="宋体"/>
                <w:b/>
                <w:sz w:val="18"/>
                <w:szCs w:val="18"/>
              </w:rPr>
              <w:t>对比项</w:t>
            </w:r>
          </w:p>
        </w:tc>
        <w:tc>
          <w:tcPr>
            <w:shd w:fill="DDEBF7"/>
          </w:tcPr>
          <w:p>
            <w:pPr>
              <w:spacing w:after="120" w:line="360" w:lineRule="auto"/>
            </w:pPr>
            <w:r>
              <w:rPr>
                <w:rFonts w:ascii="宋体" w:hAnsi="宋体" w:eastAsia="宋体"/>
                <w:b/>
                <w:sz w:val="18"/>
                <w:szCs w:val="18"/>
              </w:rPr>
              <w:t>无自适应搜索空间</w:t>
            </w:r>
          </w:p>
        </w:tc>
        <w:tc>
          <w:tcPr>
            <w:shd w:fill="DDEBF7"/>
          </w:tcPr>
          <w:p>
            <w:pPr>
              <w:spacing w:after="120" w:line="360" w:lineRule="auto"/>
            </w:pPr>
            <w:r>
              <w:rPr>
                <w:rFonts w:ascii="宋体" w:hAnsi="宋体" w:eastAsia="宋体"/>
                <w:b/>
                <w:sz w:val="18"/>
                <w:szCs w:val="18"/>
              </w:rPr>
              <w:t>采用本专利自适应搜索空间</w:t>
            </w:r>
          </w:p>
        </w:tc>
        <w:tc>
          <w:tcPr>
            <w:shd w:fill="DDEBF7"/>
          </w:tcPr>
          <w:p>
            <w:pPr>
              <w:spacing w:after="120" w:line="360" w:lineRule="auto"/>
            </w:pPr>
            <w:r>
              <w:rPr>
                <w:rFonts w:ascii="宋体" w:hAnsi="宋体" w:eastAsia="宋体"/>
                <w:b/>
                <w:sz w:val="18"/>
                <w:szCs w:val="18"/>
              </w:rPr>
              <w:t>改善效果</w:t>
            </w:r>
          </w:p>
        </w:tc>
      </w:tr>
      <w:tr>
        <w:tc>
          <w:tcPr>
            <w:shd w:fill="FFFFFF"/>
          </w:tcPr>
          <w:p>
            <w:pPr>
              <w:spacing w:after="120" w:line="360" w:lineRule="auto"/>
            </w:pPr>
            <w:r>
              <w:rPr>
                <w:rFonts w:ascii="宋体" w:hAnsi="宋体" w:eastAsia="宋体"/>
                <w:sz w:val="18"/>
                <w:szCs w:val="18"/>
              </w:rPr>
              <w:t>初始容量域</w:t>
            </w:r>
          </w:p>
        </w:tc>
        <w:tc>
          <w:tcPr>
            <w:shd w:fill="FFFFFF"/>
          </w:tcPr>
          <w:p>
            <w:pPr>
              <w:spacing w:after="120" w:line="360" w:lineRule="auto"/>
            </w:pPr>
            <w:r>
              <w:rPr>
                <w:rFonts w:ascii="宋体" w:hAnsi="宋体" w:eastAsia="宋体"/>
                <w:sz w:val="18"/>
                <w:szCs w:val="18"/>
              </w:rPr>
              <w:t>经验宽范围 P∈[50,2000]kW，E∈[100,8000]kWh</w:t>
            </w:r>
          </w:p>
        </w:tc>
        <w:tc>
          <w:tcPr>
            <w:shd w:fill="FFFFFF"/>
          </w:tcPr>
          <w:p>
            <w:pPr>
              <w:spacing w:after="120" w:line="360" w:lineRule="auto"/>
            </w:pPr>
            <w:r>
              <w:rPr>
                <w:rFonts w:ascii="宋体" w:hAnsi="宋体" w:eastAsia="宋体"/>
                <w:sz w:val="18"/>
                <w:szCs w:val="18"/>
              </w:rPr>
              <w:t>鲁棒可行域 P∈[35,700]kW，E∈[70,4800]kWh</w:t>
            </w:r>
          </w:p>
        </w:tc>
        <w:tc>
          <w:tcPr>
            <w:shd w:fill="FFFFFF"/>
          </w:tcPr>
          <w:p>
            <w:pPr>
              <w:spacing w:after="120" w:line="360" w:lineRule="auto"/>
            </w:pPr>
            <w:r>
              <w:rPr>
                <w:rFonts w:ascii="宋体" w:hAnsi="宋体" w:eastAsia="宋体"/>
                <w:sz w:val="18"/>
                <w:szCs w:val="18"/>
              </w:rPr>
              <w:t>剔除明显越界区域</w:t>
            </w:r>
          </w:p>
        </w:tc>
      </w:tr>
      <w:tr>
        <w:tc>
          <w:tcPr>
            <w:shd w:fill="FFFFFF"/>
          </w:tcPr>
          <w:p>
            <w:pPr>
              <w:spacing w:after="120" w:line="360" w:lineRule="auto"/>
            </w:pPr>
            <w:r>
              <w:rPr>
                <w:rFonts w:ascii="宋体" w:hAnsi="宋体" w:eastAsia="宋体"/>
                <w:sz w:val="18"/>
                <w:szCs w:val="18"/>
              </w:rPr>
              <w:t>候选表达方式</w:t>
            </w:r>
          </w:p>
        </w:tc>
        <w:tc>
          <w:tcPr>
            <w:shd w:fill="FFFFFF"/>
          </w:tcPr>
          <w:p>
            <w:pPr>
              <w:spacing w:after="120" w:line="360" w:lineRule="auto"/>
            </w:pPr>
            <w:r>
              <w:rPr>
                <w:rFonts w:ascii="宋体" w:hAnsi="宋体" w:eastAsia="宋体"/>
                <w:sz w:val="18"/>
                <w:szCs w:val="18"/>
              </w:rPr>
              <w:t>连续随机编码，越界后惩罚</w:t>
            </w:r>
          </w:p>
        </w:tc>
        <w:tc>
          <w:tcPr>
            <w:shd w:fill="FFFFFF"/>
          </w:tcPr>
          <w:p>
            <w:pPr>
              <w:spacing w:after="120" w:line="360" w:lineRule="auto"/>
            </w:pPr>
            <w:r>
              <w:rPr>
                <w:rFonts w:ascii="宋体" w:hAnsi="宋体" w:eastAsia="宋体"/>
                <w:sz w:val="18"/>
                <w:szCs w:val="18"/>
              </w:rPr>
              <w:t>设备库投影后的离散候选集</w:t>
            </w:r>
          </w:p>
        </w:tc>
        <w:tc>
          <w:tcPr>
            <w:shd w:fill="FFFFFF"/>
          </w:tcPr>
          <w:p>
            <w:pPr>
              <w:spacing w:after="120" w:line="360" w:lineRule="auto"/>
            </w:pPr>
            <w:r>
              <w:rPr>
                <w:rFonts w:ascii="宋体" w:hAnsi="宋体" w:eastAsia="宋体"/>
                <w:sz w:val="18"/>
                <w:szCs w:val="18"/>
              </w:rPr>
              <w:t>结果可直接采购</w:t>
            </w:r>
          </w:p>
        </w:tc>
      </w:tr>
      <w:tr>
        <w:tc>
          <w:tcPr>
            <w:shd w:fill="FFFFFF"/>
          </w:tcPr>
          <w:p>
            <w:pPr>
              <w:spacing w:after="120" w:line="360" w:lineRule="auto"/>
            </w:pPr>
            <w:r>
              <w:rPr>
                <w:rFonts w:ascii="宋体" w:hAnsi="宋体" w:eastAsia="宋体"/>
                <w:sz w:val="18"/>
                <w:szCs w:val="18"/>
              </w:rPr>
              <w:t>总评估次数</w:t>
            </w:r>
          </w:p>
        </w:tc>
        <w:tc>
          <w:tcPr>
            <w:shd w:fill="FFFFFF"/>
          </w:tcPr>
          <w:p>
            <w:pPr>
              <w:spacing w:after="120" w:line="360" w:lineRule="auto"/>
            </w:pPr>
            <w:r>
              <w:rPr>
                <w:rFonts w:ascii="宋体" w:hAnsi="宋体" w:eastAsia="宋体"/>
                <w:sz w:val="18"/>
                <w:szCs w:val="18"/>
              </w:rPr>
              <w:t>744次</w:t>
            </w:r>
          </w:p>
        </w:tc>
        <w:tc>
          <w:tcPr>
            <w:shd w:fill="FFFFFF"/>
          </w:tcPr>
          <w:p>
            <w:pPr>
              <w:spacing w:after="120" w:line="360" w:lineRule="auto"/>
            </w:pPr>
            <w:r>
              <w:rPr>
                <w:rFonts w:ascii="宋体" w:hAnsi="宋体" w:eastAsia="宋体"/>
                <w:sz w:val="18"/>
                <w:szCs w:val="18"/>
              </w:rPr>
              <w:t>288次</w:t>
            </w:r>
          </w:p>
        </w:tc>
        <w:tc>
          <w:tcPr>
            <w:shd w:fill="FFFFFF"/>
          </w:tcPr>
          <w:p>
            <w:pPr>
              <w:spacing w:after="120" w:line="360" w:lineRule="auto"/>
            </w:pPr>
            <w:r>
              <w:rPr>
                <w:rFonts w:ascii="宋体" w:hAnsi="宋体" w:eastAsia="宋体"/>
                <w:sz w:val="18"/>
                <w:szCs w:val="18"/>
              </w:rPr>
              <w:t>减少61.3%</w:t>
            </w:r>
          </w:p>
        </w:tc>
      </w:tr>
      <w:tr>
        <w:tc>
          <w:tcPr>
            <w:shd w:fill="FFFFFF"/>
          </w:tcPr>
          <w:p>
            <w:pPr>
              <w:spacing w:after="120" w:line="360" w:lineRule="auto"/>
            </w:pPr>
            <w:r>
              <w:rPr>
                <w:rFonts w:ascii="宋体" w:hAnsi="宋体" w:eastAsia="宋体"/>
                <w:sz w:val="18"/>
                <w:szCs w:val="18"/>
              </w:rPr>
              <w:t>无效评估占比 η_invalid</w:t>
            </w:r>
          </w:p>
        </w:tc>
        <w:tc>
          <w:tcPr>
            <w:shd w:fill="FFFFFF"/>
          </w:tcPr>
          <w:p>
            <w:pPr>
              <w:spacing w:after="120" w:line="360" w:lineRule="auto"/>
            </w:pPr>
            <w:r>
              <w:rPr>
                <w:rFonts w:ascii="宋体" w:hAnsi="宋体" w:eastAsia="宋体"/>
                <w:sz w:val="18"/>
                <w:szCs w:val="18"/>
              </w:rPr>
              <w:t>62.8%</w:t>
            </w:r>
          </w:p>
        </w:tc>
        <w:tc>
          <w:tcPr>
            <w:shd w:fill="FFFFFF"/>
          </w:tcPr>
          <w:p>
            <w:pPr>
              <w:spacing w:after="120" w:line="360" w:lineRule="auto"/>
            </w:pPr>
            <w:r>
              <w:rPr>
                <w:rFonts w:ascii="宋体" w:hAnsi="宋体" w:eastAsia="宋体"/>
                <w:sz w:val="18"/>
                <w:szCs w:val="18"/>
              </w:rPr>
              <w:t>13.5%</w:t>
            </w:r>
          </w:p>
        </w:tc>
        <w:tc>
          <w:tcPr>
            <w:shd w:fill="FFFFFF"/>
          </w:tcPr>
          <w:p>
            <w:pPr>
              <w:spacing w:after="120" w:line="360" w:lineRule="auto"/>
            </w:pPr>
            <w:r>
              <w:rPr>
                <w:rFonts w:ascii="宋体" w:hAnsi="宋体" w:eastAsia="宋体"/>
                <w:sz w:val="18"/>
                <w:szCs w:val="18"/>
              </w:rPr>
              <w:t>下降49.3个百分点</w:t>
            </w:r>
          </w:p>
        </w:tc>
      </w:tr>
      <w:tr>
        <w:tc>
          <w:tcPr>
            <w:shd w:fill="FFFFFF"/>
          </w:tcPr>
          <w:p>
            <w:pPr>
              <w:spacing w:after="120" w:line="360" w:lineRule="auto"/>
            </w:pPr>
            <w:r>
              <w:rPr>
                <w:rFonts w:ascii="宋体" w:hAnsi="宋体" w:eastAsia="宋体"/>
                <w:sz w:val="18"/>
                <w:szCs w:val="18"/>
              </w:rPr>
              <w:t>达到1%收敛带 g_1%</w:t>
            </w:r>
          </w:p>
        </w:tc>
        <w:tc>
          <w:tcPr>
            <w:shd w:fill="FFFFFF"/>
          </w:tcPr>
          <w:p>
            <w:pPr>
              <w:spacing w:after="120" w:line="360" w:lineRule="auto"/>
            </w:pPr>
            <w:r>
              <w:rPr>
                <w:rFonts w:ascii="宋体" w:hAnsi="宋体" w:eastAsia="宋体"/>
                <w:sz w:val="18"/>
                <w:szCs w:val="18"/>
              </w:rPr>
              <w:t>第24代</w:t>
            </w:r>
          </w:p>
        </w:tc>
        <w:tc>
          <w:tcPr>
            <w:shd w:fill="FFFFFF"/>
          </w:tcPr>
          <w:p>
            <w:pPr>
              <w:spacing w:after="120" w:line="360" w:lineRule="auto"/>
            </w:pPr>
            <w:r>
              <w:rPr>
                <w:rFonts w:ascii="宋体" w:hAnsi="宋体" w:eastAsia="宋体"/>
                <w:sz w:val="18"/>
                <w:szCs w:val="18"/>
              </w:rPr>
              <w:t>第9代</w:t>
            </w:r>
          </w:p>
        </w:tc>
        <w:tc>
          <w:tcPr>
            <w:shd w:fill="FFFFFF"/>
          </w:tcPr>
          <w:p>
            <w:pPr>
              <w:spacing w:after="120" w:line="360" w:lineRule="auto"/>
            </w:pPr>
            <w:r>
              <w:rPr>
                <w:rFonts w:ascii="宋体" w:hAnsi="宋体" w:eastAsia="宋体"/>
                <w:sz w:val="18"/>
                <w:szCs w:val="18"/>
              </w:rPr>
              <w:t>提前15代</w:t>
            </w:r>
          </w:p>
        </w:tc>
      </w:tr>
      <w:tr>
        <w:tc>
          <w:tcPr>
            <w:shd w:fill="FFFFFF"/>
          </w:tcPr>
          <w:p>
            <w:pPr>
              <w:spacing w:after="120" w:line="360" w:lineRule="auto"/>
            </w:pPr>
            <w:r>
              <w:rPr>
                <w:rFonts w:ascii="宋体" w:hAnsi="宋体" w:eastAsia="宋体"/>
                <w:sz w:val="18"/>
                <w:szCs w:val="18"/>
              </w:rPr>
              <w:t>总计算时长</w:t>
            </w:r>
          </w:p>
        </w:tc>
        <w:tc>
          <w:tcPr>
            <w:shd w:fill="FFFFFF"/>
          </w:tcPr>
          <w:p>
            <w:pPr>
              <w:spacing w:after="120" w:line="360" w:lineRule="auto"/>
            </w:pPr>
            <w:r>
              <w:rPr>
                <w:rFonts w:ascii="宋体" w:hAnsi="宋体" w:eastAsia="宋体"/>
                <w:sz w:val="18"/>
                <w:szCs w:val="18"/>
              </w:rPr>
              <w:t>398min</w:t>
            </w:r>
          </w:p>
        </w:tc>
        <w:tc>
          <w:tcPr>
            <w:shd w:fill="FFFFFF"/>
          </w:tcPr>
          <w:p>
            <w:pPr>
              <w:spacing w:after="120" w:line="360" w:lineRule="auto"/>
            </w:pPr>
            <w:r>
              <w:rPr>
                <w:rFonts w:ascii="宋体" w:hAnsi="宋体" w:eastAsia="宋体"/>
                <w:sz w:val="18"/>
                <w:szCs w:val="18"/>
              </w:rPr>
              <w:t>118min</w:t>
            </w:r>
          </w:p>
        </w:tc>
        <w:tc>
          <w:tcPr>
            <w:shd w:fill="FFFFFF"/>
          </w:tcPr>
          <w:p>
            <w:pPr>
              <w:spacing w:after="120" w:line="360" w:lineRule="auto"/>
            </w:pPr>
            <w:r>
              <w:rPr>
                <w:rFonts w:ascii="宋体" w:hAnsi="宋体" w:eastAsia="宋体"/>
                <w:sz w:val="18"/>
                <w:szCs w:val="18"/>
              </w:rPr>
              <w:t>降低70.4%</w:t>
            </w:r>
          </w:p>
        </w:tc>
      </w:tr>
      <w:tr>
        <w:tc>
          <w:tcPr>
            <w:shd w:fill="FFFFFF"/>
          </w:tcPr>
          <w:p>
            <w:pPr>
              <w:spacing w:after="120" w:line="360" w:lineRule="auto"/>
            </w:pPr>
            <w:r>
              <w:rPr>
                <w:rFonts w:ascii="宋体" w:hAnsi="宋体" w:eastAsia="宋体"/>
                <w:sz w:val="18"/>
                <w:szCs w:val="18"/>
              </w:rPr>
              <w:t>最终归一化目标值</w:t>
            </w:r>
          </w:p>
        </w:tc>
        <w:tc>
          <w:tcPr>
            <w:shd w:fill="FFFFFF"/>
          </w:tcPr>
          <w:p>
            <w:pPr>
              <w:spacing w:after="120" w:line="360" w:lineRule="auto"/>
            </w:pPr>
            <w:r>
              <w:rPr>
                <w:rFonts w:ascii="宋体" w:hAnsi="宋体" w:eastAsia="宋体"/>
                <w:sz w:val="18"/>
                <w:szCs w:val="18"/>
              </w:rPr>
              <w:t>0.862</w:t>
            </w:r>
          </w:p>
        </w:tc>
        <w:tc>
          <w:tcPr>
            <w:shd w:fill="FFFFFF"/>
          </w:tcPr>
          <w:p>
            <w:pPr>
              <w:spacing w:after="120" w:line="360" w:lineRule="auto"/>
            </w:pPr>
            <w:r>
              <w:rPr>
                <w:rFonts w:ascii="宋体" w:hAnsi="宋体" w:eastAsia="宋体"/>
                <w:sz w:val="18"/>
                <w:szCs w:val="18"/>
              </w:rPr>
              <w:t>0.878</w:t>
            </w:r>
          </w:p>
        </w:tc>
        <w:tc>
          <w:tcPr>
            <w:shd w:fill="FFFFFF"/>
          </w:tcPr>
          <w:p>
            <w:pPr>
              <w:spacing w:after="120" w:line="360" w:lineRule="auto"/>
            </w:pPr>
            <w:r>
              <w:rPr>
                <w:rFonts w:ascii="宋体" w:hAnsi="宋体" w:eastAsia="宋体"/>
                <w:sz w:val="18"/>
                <w:szCs w:val="18"/>
              </w:rPr>
              <w:t>未降低，并略有提升</w:t>
            </w:r>
          </w:p>
        </w:tc>
      </w:tr>
    </w:tbl>
    <w:p>
      <w:pPr>
        <w:spacing w:after="120" w:line="360" w:lineRule="auto"/>
        <w:jc w:val="center"/>
      </w:pPr>
      <w:r>
        <w:rPr>
          <w:rFonts w:ascii="宋体" w:hAnsi="宋体" w:eastAsia="宋体"/>
          <w:b/>
          <w:sz w:val="20"/>
          <w:szCs w:val="20"/>
        </w:rPr>
        <w:t>图3  有无自适应搜索空间的收敛速度与计算时长对比</w:t>
      </w:r>
    </w:p>
    <w:p>
      <w:pPr>
        <w:jc w:val="center"/>
      </w:pPr>
      <w:r>
        <w:drawing>
          <wp:inline>
            <wp:extent cx="5669280" cy="3188970"/>
            <wp:effectExtent l="0" t="0" r="0" b="0"/>
            <wp:docPr id="103" name="图3_有无自适应搜索空间的收敛速度与计算时长对比"/>
            <wp:cNvGraphicFramePr>
              <a:graphicFrameLocks noChangeAspect="1"/>
            </wp:cNvGraphicFramePr>
            <a:graphic>
              <a:graphicData uri="http://schemas.openxmlformats.org/drawingml/2006/picture">
                <pic:pic>
                  <pic:nvPicPr>
                    <pic:cNvPr id="0" name="图3_有无自适应搜索空间的收敛速度与计算时长对比.png"/>
                    <pic:cNvPicPr/>
                  </pic:nvPicPr>
                  <pic:blipFill>
                    <a:blip r:embed="rId103"/>
                    <a:stretch>
                      <a:fillRect/>
                    </a:stretch>
                  </pic:blipFill>
                  <pic:spPr>
                    <a:xfrm>
                      <a:off x="0" y="0"/>
                      <a:ext cx="5669280" cy="3188970"/>
                    </a:xfrm>
                    <a:prstGeom prst="rect">
                      <a:avLst/>
                    </a:prstGeom>
                  </pic:spPr>
                </pic:pic>
              </a:graphicData>
            </a:graphic>
          </wp:inline>
        </w:drawing>
      </w:r>
    </w:p>
    <w:p>
      <w:pPr>
        <w:spacing w:after="120" w:line="360" w:lineRule="auto"/>
      </w:pPr>
      <w:r>
        <w:rPr>
          <w:rFonts w:ascii="宋体" w:hAnsi="宋体" w:eastAsia="宋体"/>
          <w:b/>
          <w:sz w:val="22"/>
          <w:szCs w:val="22"/>
        </w:rPr>
        <w:t>1. 降低无效潮流计算和调度评估</w:t>
      </w:r>
    </w:p>
    <w:p>
      <w:pPr>
        <w:spacing w:after="120" w:line="360" w:lineRule="auto"/>
        <w:ind w:firstLineChars="200"/>
      </w:pPr>
      <w:r>
        <w:rPr>
          <w:rFonts w:ascii="宋体" w:hAnsi="宋体" w:eastAsia="宋体"/>
        </w:rPr>
        <w:t>传统方法在宽范围连续空间内生成大量候选，其中相当一部分在进入年度调度或OpenDSS潮流校核后才发现违反配变、线路、电压或SOC约束。本方法在搜索空间生成阶段就利用灵敏度可行域、鲁棒风险边界和设备库投影进行预筛选，使无效评估占比从实施例中的62.8%降低至13.5%。</w:t>
      </w:r>
    </w:p>
    <w:p>
      <w:pPr>
        <w:spacing w:after="120" w:line="360" w:lineRule="auto"/>
      </w:pPr>
      <w:r>
        <w:rPr>
          <w:rFonts w:ascii="宋体" w:hAnsi="宋体" w:eastAsia="宋体"/>
          <w:b/>
          <w:sz w:val="22"/>
          <w:szCs w:val="22"/>
        </w:rPr>
        <w:t>2. 加快优化收敛</w:t>
      </w:r>
    </w:p>
    <w:p>
      <w:pPr>
        <w:spacing w:after="120" w:line="360" w:lineRule="auto"/>
        <w:ind w:firstLineChars="200"/>
      </w:pPr>
      <w:r>
        <w:rPr>
          <w:rFonts w:ascii="宋体" w:hAnsi="宋体" w:eastAsia="宋体"/>
        </w:rPr>
        <w:t>由于初始种群直接落在高可行率、高价值密度的容量区域内，优化器无需在大面积不可行区域内寻找方向。实施例中，无自适应方法达到最终最优值1%邻域需要24代，而采用本方法仅需9代，收敛代数减少62.5%。</w:t>
      </w:r>
    </w:p>
    <w:p>
      <w:pPr>
        <w:spacing w:after="120" w:line="360" w:lineRule="auto"/>
      </w:pPr>
      <w:r>
        <w:rPr>
          <w:rFonts w:ascii="宋体" w:hAnsi="宋体" w:eastAsia="宋体"/>
          <w:b/>
          <w:sz w:val="22"/>
          <w:szCs w:val="22"/>
        </w:rPr>
        <w:t>3. 降低总计算时长</w:t>
      </w:r>
    </w:p>
    <w:p>
      <w:pPr>
        <w:spacing w:after="120" w:line="360" w:lineRule="auto"/>
        <w:ind w:firstLineChars="200"/>
      </w:pPr>
      <w:r>
        <w:rPr>
          <w:rFonts w:ascii="宋体" w:hAnsi="宋体" w:eastAsia="宋体"/>
        </w:rPr>
        <w:t>在配电网储能优化中，主要耗时来自候选方案的年度调度、经济性计算和潮流校核。本方法减少候选评估次数并降低每代无效候选比例，使总计算时长由398分钟降低至118分钟，降低率为70.4%。</w:t>
      </w:r>
    </w:p>
    <w:p>
      <w:pPr>
        <w:spacing w:after="120" w:line="360" w:lineRule="auto"/>
      </w:pPr>
      <w:r>
        <w:rPr>
          <w:rFonts w:ascii="宋体" w:hAnsi="宋体" w:eastAsia="宋体"/>
          <w:b/>
          <w:sz w:val="22"/>
          <w:szCs w:val="22"/>
        </w:rPr>
        <w:t>4. 提高方案质量稳定性</w:t>
      </w:r>
    </w:p>
    <w:p>
      <w:pPr>
        <w:spacing w:after="120" w:line="360" w:lineRule="auto"/>
        <w:ind w:firstLineChars="200"/>
      </w:pPr>
      <w:r>
        <w:rPr>
          <w:rFonts w:ascii="宋体" w:hAnsi="宋体" w:eastAsia="宋体"/>
        </w:rPr>
        <w:t>自适应搜索空间并非简单裁剪，而是在Pareto邻域、CVaR风险边界和置信保护裕度下进行收缩，因此不会牺牲优解搜索能力。实施例中最终归一化目标值由0.862提高至0.878，表明搜索空间收缩同时减少了无效计算并提高了有效搜索密度。</w:t>
      </w:r>
    </w:p>
    <w:p>
      <w:pPr>
        <w:spacing w:after="120" w:line="360" w:lineRule="auto"/>
      </w:pPr>
      <w:r>
        <w:rPr>
          <w:rFonts w:ascii="宋体" w:hAnsi="宋体" w:eastAsia="宋体"/>
          <w:b/>
          <w:sz w:val="22"/>
          <w:szCs w:val="22"/>
        </w:rPr>
        <w:t>5. 提升专利方法的工程可解释性</w:t>
      </w:r>
    </w:p>
    <w:p>
      <w:pPr>
        <w:spacing w:after="120" w:line="360" w:lineRule="auto"/>
        <w:ind w:firstLineChars="200"/>
      </w:pPr>
      <w:r>
        <w:rPr>
          <w:rFonts w:ascii="宋体" w:hAnsi="宋体" w:eastAsia="宋体"/>
        </w:rPr>
        <w:t>每个候选边界均可追溯至对应的活跃约束和运行数据来源，例如“电压灵敏度限制导致放电功率上界收紧”“最大日高价值事件能量决定容量上界”“经济边际收益饱和导致容量停止外扩”。该可解释机制有利于规划人员在评审、设计、招标和运行复核环节说明储能容量范围的来源。</w:t>
      </w:r>
    </w:p>
    <w:p>
      <w:pPr>
        <w:spacing w:after="120" w:line="360" w:lineRule="auto"/>
        <w:ind w:firstLineChars="200"/>
      </w:pPr>
      <w:r>
        <w:rPr>
          <w:rFonts w:ascii="宋体" w:hAnsi="宋体" w:eastAsia="宋体"/>
        </w:rPr>
        <w:t>综上，本专利通过多源运行特征张量、网络灵敏度可行域、鲁棒置信边界、经济边际收益裁剪和标准设备库投影，形成了比传统经验上下界更深层、更可审计的储能容量搜索空间自适应确定方法，能够显著减少无效计算、提高收敛速度并保持优化结果质量。</w:t>
      </w:r>
    </w:p>
    <w:p ns2:paraId="54221CF1" ns2:textId="03E508D7" w:rsidR="001C4B32" w:rsidRPr="00E67C43" w:rsidRDefault="001C4B32" w:rsidP="00666078">
      <w:pPr>
        <w:ind w:firstLineChars="0" w:firstLine="0"/>
      </w:pPr>
      <w:bookmarkStart w:id="1" w:name="OLE_LINK1"/>
    </w:p>
    <w:bookmarkEnd w:id="1"/>
    <w:p ns2:paraId="75C91F2B" ns2:textId="54CE81E1" w:rsidR="00A47993" w:rsidRPr="0018534F" w:rsidRDefault="00A47993" w:rsidP="00666078">
      <w:pPr>
        <w:ind w:firstLineChars="0" w:firstLine="0"/>
      </w:pPr>
    </w:p>
    <w:sectPr w:rsidR="00A47993" w:rsidRPr="0018534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69FDA" w14:textId="77777777" w:rsidR="00DD6D8C" w:rsidRPr="00E67C43" w:rsidRDefault="00DD6D8C">
      <w:pPr>
        <w:spacing w:line="240" w:lineRule="auto"/>
        <w:ind w:firstLine="480"/>
      </w:pPr>
      <w:r w:rsidRPr="00E67C43">
        <w:separator/>
      </w:r>
    </w:p>
  </w:endnote>
  <w:endnote w:type="continuationSeparator" w:id="0">
    <w:p w14:paraId="4EDCB786" w14:textId="77777777" w:rsidR="00DD6D8C" w:rsidRPr="00E67C43" w:rsidRDefault="00DD6D8C">
      <w:pPr>
        <w:spacing w:line="240" w:lineRule="auto"/>
        <w:ind w:firstLine="480"/>
      </w:pPr>
      <w:r w:rsidRPr="00E67C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方正仿宋_GBK">
    <w:altName w:val="宋体"/>
    <w:charset w:val="86"/>
    <w:family w:val="auto"/>
    <w:pitch w:val="default"/>
    <w:sig w:usb0="A00002BF" w:usb1="38CF7CFA" w:usb2="00082016" w:usb3="00000000" w:csb0="00040001" w:csb1="00000000"/>
  </w:font>
  <w:font w:name="仿宋_GB2312">
    <w:altName w:val="微软雅黑"/>
    <w:charset w:val="86"/>
    <w:family w:val="modern"/>
    <w:pitch w:val="fixed"/>
    <w:sig w:usb0="00000001"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457CD" w14:textId="77777777" w:rsidR="00A47993" w:rsidRPr="00E67C43" w:rsidRDefault="00A4799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078C" w14:textId="77777777" w:rsidR="00A47993" w:rsidRPr="00E67C43" w:rsidRDefault="00D0658C">
    <w:pPr>
      <w:pStyle w:val="a8"/>
      <w:ind w:firstLine="360"/>
    </w:pPr>
    <w:r w:rsidRPr="00E67C43">
      <mc:AlternateContent>
        <mc:Choice Requires="wps">
          <w:drawing>
            <wp:anchor distT="0" distB="0" distL="114300" distR="114300" simplePos="0" relativeHeight="251659264" behindDoc="0" locked="0" layoutInCell="1" allowOverlap="1" wp14:anchorId="5C96F178" wp14:editId="25BA77C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96F17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D5D15" w14:textId="77777777" w:rsidR="00A47993" w:rsidRPr="00E67C43" w:rsidRDefault="00A47993">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CF1EB" w14:textId="77777777" w:rsidR="00DD6D8C" w:rsidRPr="00E67C43" w:rsidRDefault="00DD6D8C">
      <w:pPr>
        <w:spacing w:line="240" w:lineRule="auto"/>
        <w:ind w:firstLine="480"/>
      </w:pPr>
      <w:r w:rsidRPr="00E67C43">
        <w:separator/>
      </w:r>
    </w:p>
  </w:footnote>
  <w:footnote w:type="continuationSeparator" w:id="0">
    <w:p w14:paraId="26D53CAB" w14:textId="77777777" w:rsidR="00DD6D8C" w:rsidRPr="00E67C43" w:rsidRDefault="00DD6D8C">
      <w:pPr>
        <w:spacing w:line="240" w:lineRule="auto"/>
        <w:ind w:firstLine="480"/>
      </w:pPr>
      <w:r w:rsidRPr="00E67C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9125" w14:textId="77777777" w:rsidR="00A47993" w:rsidRPr="00E67C43" w:rsidRDefault="00A4799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8F87" w14:textId="77777777" w:rsidR="00A47993" w:rsidRPr="00E67C43" w:rsidRDefault="00A47993">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8C48" w14:textId="77777777" w:rsidR="00A47993" w:rsidRPr="00E67C43" w:rsidRDefault="00A47993">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E30D4D"/>
    <w:multiLevelType w:val="multilevel"/>
    <w:tmpl w:val="9CE30D4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A41DA2BD"/>
    <w:multiLevelType w:val="multilevel"/>
    <w:tmpl w:val="A41DA2B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B0B5CA62"/>
    <w:multiLevelType w:val="multilevel"/>
    <w:tmpl w:val="B0B5CA62"/>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B9DAEA21"/>
    <w:multiLevelType w:val="singleLevel"/>
    <w:tmpl w:val="7476438C"/>
    <w:lvl w:ilvl="0">
      <w:start w:val="1"/>
      <w:numFmt w:val="chineseCounting"/>
      <w:pStyle w:val="a"/>
      <w:suff w:val="nothing"/>
      <w:lvlText w:val="%1、"/>
      <w:lvlJc w:val="left"/>
      <w:rPr>
        <w:rFonts w:hint="eastAsia"/>
      </w:rPr>
    </w:lvl>
  </w:abstractNum>
  <w:abstractNum w:abstractNumId="4" w15:restartNumberingAfterBreak="0">
    <w:nsid w:val="29F00CFA"/>
    <w:multiLevelType w:val="multilevel"/>
    <w:tmpl w:val="FA366E28"/>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85632"/>
    <w:multiLevelType w:val="multilevel"/>
    <w:tmpl w:val="207EC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C376A"/>
    <w:multiLevelType w:val="multilevel"/>
    <w:tmpl w:val="364C376A"/>
    <w:lvl w:ilvl="0">
      <w:start w:val="1"/>
      <w:numFmt w:val="bullet"/>
      <w:pStyle w:val="31"/>
      <w:lvlText w:val=""/>
      <w:lvlJc w:val="left"/>
      <w:pPr>
        <w:tabs>
          <w:tab w:val="left" w:pos="420"/>
        </w:tabs>
        <w:ind w:left="420" w:hanging="420"/>
      </w:pPr>
      <w:rPr>
        <w:rFonts w:ascii="Wingdings" w:hAnsi="Wingdings" w:hint="default"/>
      </w:rPr>
    </w:lvl>
    <w:lvl w:ilvl="1">
      <w:start w:val="1"/>
      <w:numFmt w:val="bullet"/>
      <w:lvlText w:val=""/>
      <w:lvlJc w:val="left"/>
      <w:pPr>
        <w:ind w:left="1364" w:hanging="420"/>
      </w:pPr>
      <w:rPr>
        <w:rFonts w:ascii="Wingdings" w:hAnsi="Wingdings" w:hint="default"/>
      </w:rPr>
    </w:lvl>
    <w:lvl w:ilvl="2">
      <w:start w:val="1"/>
      <w:numFmt w:val="bullet"/>
      <w:lvlText w:val=""/>
      <w:lvlJc w:val="left"/>
      <w:pPr>
        <w:ind w:left="1784" w:hanging="420"/>
      </w:pPr>
      <w:rPr>
        <w:rFonts w:ascii="Wingdings" w:hAnsi="Wingdings" w:hint="default"/>
      </w:rPr>
    </w:lvl>
    <w:lvl w:ilvl="3">
      <w:start w:val="1"/>
      <w:numFmt w:val="bullet"/>
      <w:lvlText w:val=""/>
      <w:lvlJc w:val="left"/>
      <w:pPr>
        <w:ind w:left="2204" w:hanging="420"/>
      </w:pPr>
      <w:rPr>
        <w:rFonts w:ascii="Wingdings" w:hAnsi="Wingdings" w:hint="default"/>
      </w:rPr>
    </w:lvl>
    <w:lvl w:ilvl="4">
      <w:start w:val="1"/>
      <w:numFmt w:val="bullet"/>
      <w:lvlText w:val=""/>
      <w:lvlJc w:val="left"/>
      <w:pPr>
        <w:ind w:left="2624" w:hanging="420"/>
      </w:pPr>
      <w:rPr>
        <w:rFonts w:ascii="Wingdings" w:hAnsi="Wingdings" w:hint="default"/>
      </w:rPr>
    </w:lvl>
    <w:lvl w:ilvl="5">
      <w:start w:val="1"/>
      <w:numFmt w:val="bullet"/>
      <w:lvlText w:val=""/>
      <w:lvlJc w:val="left"/>
      <w:pPr>
        <w:ind w:left="3044" w:hanging="420"/>
      </w:pPr>
      <w:rPr>
        <w:rFonts w:ascii="Wingdings" w:hAnsi="Wingdings" w:hint="default"/>
      </w:rPr>
    </w:lvl>
    <w:lvl w:ilvl="6">
      <w:start w:val="1"/>
      <w:numFmt w:val="bullet"/>
      <w:lvlText w:val=""/>
      <w:lvlJc w:val="left"/>
      <w:pPr>
        <w:ind w:left="3464" w:hanging="420"/>
      </w:pPr>
      <w:rPr>
        <w:rFonts w:ascii="Wingdings" w:hAnsi="Wingdings" w:hint="default"/>
      </w:rPr>
    </w:lvl>
    <w:lvl w:ilvl="7">
      <w:start w:val="1"/>
      <w:numFmt w:val="bullet"/>
      <w:lvlText w:val=""/>
      <w:lvlJc w:val="left"/>
      <w:pPr>
        <w:ind w:left="3884" w:hanging="420"/>
      </w:pPr>
      <w:rPr>
        <w:rFonts w:ascii="Wingdings" w:hAnsi="Wingdings" w:hint="default"/>
      </w:rPr>
    </w:lvl>
    <w:lvl w:ilvl="8">
      <w:start w:val="1"/>
      <w:numFmt w:val="bullet"/>
      <w:lvlText w:val=""/>
      <w:lvlJc w:val="left"/>
      <w:pPr>
        <w:ind w:left="4304" w:hanging="420"/>
      </w:pPr>
      <w:rPr>
        <w:rFonts w:ascii="Wingdings" w:hAnsi="Wingdings" w:hint="default"/>
      </w:rPr>
    </w:lvl>
  </w:abstractNum>
  <w:abstractNum w:abstractNumId="7" w15:restartNumberingAfterBreak="0">
    <w:nsid w:val="3AE05020"/>
    <w:multiLevelType w:val="multilevel"/>
    <w:tmpl w:val="29DC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86C2F"/>
    <w:multiLevelType w:val="singleLevel"/>
    <w:tmpl w:val="37A664D4"/>
    <w:lvl w:ilvl="0">
      <w:start w:val="1"/>
      <w:numFmt w:val="chineseCounting"/>
      <w:pStyle w:val="a0"/>
      <w:suff w:val="nothing"/>
      <w:lvlText w:val="（%1）"/>
      <w:lvlJc w:val="left"/>
      <w:pPr>
        <w:ind w:left="0" w:firstLine="420"/>
      </w:pPr>
      <w:rPr>
        <w:rFonts w:hint="eastAsia"/>
        <w:lang w:val="en-US"/>
      </w:rPr>
    </w:lvl>
  </w:abstractNum>
  <w:abstractNum w:abstractNumId="9" w15:restartNumberingAfterBreak="0">
    <w:nsid w:val="68FB3A12"/>
    <w:multiLevelType w:val="multilevel"/>
    <w:tmpl w:val="1C6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2240B"/>
    <w:multiLevelType w:val="multilevel"/>
    <w:tmpl w:val="801A066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start w:val="3"/>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4E9EA"/>
    <w:multiLevelType w:val="multilevel"/>
    <w:tmpl w:val="7024E9EA"/>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76487D85"/>
    <w:multiLevelType w:val="multilevel"/>
    <w:tmpl w:val="76487D85"/>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E2D6B48"/>
    <w:multiLevelType w:val="multilevel"/>
    <w:tmpl w:val="01B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82595">
    <w:abstractNumId w:val="9"/>
  </w:num>
  <w:num w:numId="2" w16cid:durableId="110394194">
    <w:abstractNumId w:val="5"/>
  </w:num>
  <w:num w:numId="3" w16cid:durableId="1719283695">
    <w:abstractNumId w:val="10"/>
  </w:num>
  <w:num w:numId="4" w16cid:durableId="170141931">
    <w:abstractNumId w:val="4"/>
  </w:num>
  <w:num w:numId="5" w16cid:durableId="1753234848">
    <w:abstractNumId w:val="13"/>
  </w:num>
  <w:num w:numId="6" w16cid:durableId="1737849874">
    <w:abstractNumId w:val="3"/>
  </w:num>
  <w:num w:numId="7" w16cid:durableId="1960338668">
    <w:abstractNumId w:val="8"/>
  </w:num>
  <w:num w:numId="8" w16cid:durableId="562640875">
    <w:abstractNumId w:val="6"/>
  </w:num>
  <w:num w:numId="9" w16cid:durableId="1209805905">
    <w:abstractNumId w:val="12"/>
  </w:num>
  <w:num w:numId="10" w16cid:durableId="152650410">
    <w:abstractNumId w:val="2"/>
  </w:num>
  <w:num w:numId="11" w16cid:durableId="1995646990">
    <w:abstractNumId w:val="0"/>
  </w:num>
  <w:num w:numId="12" w16cid:durableId="2129229374">
    <w:abstractNumId w:val="1"/>
  </w:num>
  <w:num w:numId="13" w16cid:durableId="2005156350">
    <w:abstractNumId w:val="11"/>
  </w:num>
  <w:num w:numId="14" w16cid:durableId="1489979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Q0NzIzMDEwtDAxNjFR0lEKTi0uzszPAykwNKgFALgQhFstAAAA"/>
    <w:docVar w:name="commondata" w:val="eyJoZGlkIjoiN2YzNjBkOTgyNWQ1YTMxYzM3MzMwNWFiODNmOWIzYWMifQ=="/>
  </w:docVars>
  <w:rsids>
    <w:rsidRoot w:val="00C37969"/>
    <w:rsid w:val="0000081B"/>
    <w:rsid w:val="00000BC7"/>
    <w:rsid w:val="000027A6"/>
    <w:rsid w:val="000034C8"/>
    <w:rsid w:val="00004647"/>
    <w:rsid w:val="00007023"/>
    <w:rsid w:val="00010BF9"/>
    <w:rsid w:val="00012E72"/>
    <w:rsid w:val="00014207"/>
    <w:rsid w:val="00016B76"/>
    <w:rsid w:val="00020429"/>
    <w:rsid w:val="00020828"/>
    <w:rsid w:val="00021831"/>
    <w:rsid w:val="0002581C"/>
    <w:rsid w:val="00033A4A"/>
    <w:rsid w:val="00033AC4"/>
    <w:rsid w:val="00034521"/>
    <w:rsid w:val="000359BC"/>
    <w:rsid w:val="00040F1F"/>
    <w:rsid w:val="0004192E"/>
    <w:rsid w:val="00041A73"/>
    <w:rsid w:val="00041FDF"/>
    <w:rsid w:val="000458BD"/>
    <w:rsid w:val="00052D8B"/>
    <w:rsid w:val="00055661"/>
    <w:rsid w:val="000605E6"/>
    <w:rsid w:val="00061242"/>
    <w:rsid w:val="00062457"/>
    <w:rsid w:val="00065A7A"/>
    <w:rsid w:val="00072631"/>
    <w:rsid w:val="00073510"/>
    <w:rsid w:val="000740A6"/>
    <w:rsid w:val="00076136"/>
    <w:rsid w:val="00080D8D"/>
    <w:rsid w:val="0008108F"/>
    <w:rsid w:val="00082AD0"/>
    <w:rsid w:val="00083447"/>
    <w:rsid w:val="000851A1"/>
    <w:rsid w:val="000859D3"/>
    <w:rsid w:val="00085A38"/>
    <w:rsid w:val="00091D6D"/>
    <w:rsid w:val="00093F1B"/>
    <w:rsid w:val="00095C85"/>
    <w:rsid w:val="00095C95"/>
    <w:rsid w:val="00095E01"/>
    <w:rsid w:val="00096910"/>
    <w:rsid w:val="000A558C"/>
    <w:rsid w:val="000A6E8B"/>
    <w:rsid w:val="000B0077"/>
    <w:rsid w:val="000B0BB7"/>
    <w:rsid w:val="000C00A0"/>
    <w:rsid w:val="000C30F0"/>
    <w:rsid w:val="000C4719"/>
    <w:rsid w:val="000C4B42"/>
    <w:rsid w:val="000C5D3A"/>
    <w:rsid w:val="000C7100"/>
    <w:rsid w:val="000D0BC8"/>
    <w:rsid w:val="000D0C7F"/>
    <w:rsid w:val="000D1A15"/>
    <w:rsid w:val="000D375F"/>
    <w:rsid w:val="000D3F5E"/>
    <w:rsid w:val="000D62AB"/>
    <w:rsid w:val="000E0463"/>
    <w:rsid w:val="000E2A84"/>
    <w:rsid w:val="000E5235"/>
    <w:rsid w:val="000F0A4F"/>
    <w:rsid w:val="000F34CA"/>
    <w:rsid w:val="000F34DB"/>
    <w:rsid w:val="00100521"/>
    <w:rsid w:val="00100EED"/>
    <w:rsid w:val="00105102"/>
    <w:rsid w:val="00105CA2"/>
    <w:rsid w:val="00120D2C"/>
    <w:rsid w:val="00121010"/>
    <w:rsid w:val="00121C12"/>
    <w:rsid w:val="0012256C"/>
    <w:rsid w:val="001229AD"/>
    <w:rsid w:val="00124CFF"/>
    <w:rsid w:val="00127AD2"/>
    <w:rsid w:val="00131F99"/>
    <w:rsid w:val="00133328"/>
    <w:rsid w:val="00134B15"/>
    <w:rsid w:val="00136A9A"/>
    <w:rsid w:val="00136D9C"/>
    <w:rsid w:val="00140FE3"/>
    <w:rsid w:val="0014615D"/>
    <w:rsid w:val="00147953"/>
    <w:rsid w:val="00150CC6"/>
    <w:rsid w:val="0015173E"/>
    <w:rsid w:val="00156165"/>
    <w:rsid w:val="00156CB5"/>
    <w:rsid w:val="00157707"/>
    <w:rsid w:val="00162E68"/>
    <w:rsid w:val="001643DC"/>
    <w:rsid w:val="00166276"/>
    <w:rsid w:val="001667A5"/>
    <w:rsid w:val="00167C53"/>
    <w:rsid w:val="00170D29"/>
    <w:rsid w:val="00172B69"/>
    <w:rsid w:val="00172D40"/>
    <w:rsid w:val="00177F22"/>
    <w:rsid w:val="001838AA"/>
    <w:rsid w:val="0018534F"/>
    <w:rsid w:val="0018704C"/>
    <w:rsid w:val="00191E71"/>
    <w:rsid w:val="001923DA"/>
    <w:rsid w:val="00192EDA"/>
    <w:rsid w:val="0019309A"/>
    <w:rsid w:val="00193220"/>
    <w:rsid w:val="00193DAE"/>
    <w:rsid w:val="00194D83"/>
    <w:rsid w:val="001965E2"/>
    <w:rsid w:val="001A318F"/>
    <w:rsid w:val="001A4B22"/>
    <w:rsid w:val="001A5FE3"/>
    <w:rsid w:val="001B6C36"/>
    <w:rsid w:val="001B7358"/>
    <w:rsid w:val="001C1C98"/>
    <w:rsid w:val="001C21E8"/>
    <w:rsid w:val="001C4B32"/>
    <w:rsid w:val="001C522D"/>
    <w:rsid w:val="001C59FE"/>
    <w:rsid w:val="001C5A2B"/>
    <w:rsid w:val="001C7A8B"/>
    <w:rsid w:val="001D225F"/>
    <w:rsid w:val="001D2F31"/>
    <w:rsid w:val="001D6694"/>
    <w:rsid w:val="001D73D9"/>
    <w:rsid w:val="001D7E90"/>
    <w:rsid w:val="001E4400"/>
    <w:rsid w:val="001E4BE5"/>
    <w:rsid w:val="001E598D"/>
    <w:rsid w:val="001E64CC"/>
    <w:rsid w:val="001F0784"/>
    <w:rsid w:val="001F2852"/>
    <w:rsid w:val="001F3467"/>
    <w:rsid w:val="0020268F"/>
    <w:rsid w:val="00204C25"/>
    <w:rsid w:val="00204D96"/>
    <w:rsid w:val="00210950"/>
    <w:rsid w:val="0021143C"/>
    <w:rsid w:val="00211499"/>
    <w:rsid w:val="00212CD7"/>
    <w:rsid w:val="00214EDA"/>
    <w:rsid w:val="0021664B"/>
    <w:rsid w:val="002167FF"/>
    <w:rsid w:val="00217D18"/>
    <w:rsid w:val="00221A7C"/>
    <w:rsid w:val="00222DDD"/>
    <w:rsid w:val="00222E2E"/>
    <w:rsid w:val="0022544F"/>
    <w:rsid w:val="002262C1"/>
    <w:rsid w:val="002319F8"/>
    <w:rsid w:val="00235CF1"/>
    <w:rsid w:val="002363E7"/>
    <w:rsid w:val="002407EC"/>
    <w:rsid w:val="00245FE2"/>
    <w:rsid w:val="00250CF4"/>
    <w:rsid w:val="00250F0E"/>
    <w:rsid w:val="00252BD3"/>
    <w:rsid w:val="00252EDA"/>
    <w:rsid w:val="00254888"/>
    <w:rsid w:val="002550D0"/>
    <w:rsid w:val="00261528"/>
    <w:rsid w:val="002641C1"/>
    <w:rsid w:val="002644DC"/>
    <w:rsid w:val="0026481C"/>
    <w:rsid w:val="00271DB2"/>
    <w:rsid w:val="00275AB2"/>
    <w:rsid w:val="00275EDB"/>
    <w:rsid w:val="00277FC2"/>
    <w:rsid w:val="0028052A"/>
    <w:rsid w:val="00282C96"/>
    <w:rsid w:val="0028577B"/>
    <w:rsid w:val="00290349"/>
    <w:rsid w:val="00290B86"/>
    <w:rsid w:val="00293F21"/>
    <w:rsid w:val="00297362"/>
    <w:rsid w:val="002A0ACD"/>
    <w:rsid w:val="002A4934"/>
    <w:rsid w:val="002A4EAE"/>
    <w:rsid w:val="002A53C1"/>
    <w:rsid w:val="002A573C"/>
    <w:rsid w:val="002A5A41"/>
    <w:rsid w:val="002A7C8C"/>
    <w:rsid w:val="002B15DB"/>
    <w:rsid w:val="002B57DB"/>
    <w:rsid w:val="002C1435"/>
    <w:rsid w:val="002C1CA4"/>
    <w:rsid w:val="002C1FDB"/>
    <w:rsid w:val="002C4D26"/>
    <w:rsid w:val="002C76C1"/>
    <w:rsid w:val="002C7702"/>
    <w:rsid w:val="002D2ED1"/>
    <w:rsid w:val="002D3603"/>
    <w:rsid w:val="002D4181"/>
    <w:rsid w:val="002D4495"/>
    <w:rsid w:val="002D51D2"/>
    <w:rsid w:val="002D71DE"/>
    <w:rsid w:val="002E0960"/>
    <w:rsid w:val="002E1977"/>
    <w:rsid w:val="002E1B5F"/>
    <w:rsid w:val="002E5176"/>
    <w:rsid w:val="002E5C36"/>
    <w:rsid w:val="002E5D51"/>
    <w:rsid w:val="002E764A"/>
    <w:rsid w:val="002F01F6"/>
    <w:rsid w:val="002F60D8"/>
    <w:rsid w:val="002F6D6D"/>
    <w:rsid w:val="00300A28"/>
    <w:rsid w:val="003023B2"/>
    <w:rsid w:val="00302BCC"/>
    <w:rsid w:val="003034EA"/>
    <w:rsid w:val="00303B22"/>
    <w:rsid w:val="00314B71"/>
    <w:rsid w:val="0031502E"/>
    <w:rsid w:val="00316627"/>
    <w:rsid w:val="0032151B"/>
    <w:rsid w:val="003218D0"/>
    <w:rsid w:val="00321E44"/>
    <w:rsid w:val="00325329"/>
    <w:rsid w:val="00327BD4"/>
    <w:rsid w:val="00333223"/>
    <w:rsid w:val="003350ED"/>
    <w:rsid w:val="00335B23"/>
    <w:rsid w:val="00337040"/>
    <w:rsid w:val="0034484B"/>
    <w:rsid w:val="00344F3B"/>
    <w:rsid w:val="00352027"/>
    <w:rsid w:val="0035260A"/>
    <w:rsid w:val="00356525"/>
    <w:rsid w:val="003609FE"/>
    <w:rsid w:val="00361828"/>
    <w:rsid w:val="00361B88"/>
    <w:rsid w:val="003625E7"/>
    <w:rsid w:val="00364B17"/>
    <w:rsid w:val="003713BF"/>
    <w:rsid w:val="0037624C"/>
    <w:rsid w:val="00377D72"/>
    <w:rsid w:val="00380BA3"/>
    <w:rsid w:val="003815A4"/>
    <w:rsid w:val="00382939"/>
    <w:rsid w:val="003844A0"/>
    <w:rsid w:val="00386A9E"/>
    <w:rsid w:val="00387A57"/>
    <w:rsid w:val="00387BBA"/>
    <w:rsid w:val="003929B3"/>
    <w:rsid w:val="00395EBF"/>
    <w:rsid w:val="003A2B84"/>
    <w:rsid w:val="003B006A"/>
    <w:rsid w:val="003B3155"/>
    <w:rsid w:val="003B3E8B"/>
    <w:rsid w:val="003B53A0"/>
    <w:rsid w:val="003B58A7"/>
    <w:rsid w:val="003C07C8"/>
    <w:rsid w:val="003C2A74"/>
    <w:rsid w:val="003C3596"/>
    <w:rsid w:val="003C3682"/>
    <w:rsid w:val="003C3764"/>
    <w:rsid w:val="003C5C92"/>
    <w:rsid w:val="003C7779"/>
    <w:rsid w:val="003C78CE"/>
    <w:rsid w:val="003D0CDE"/>
    <w:rsid w:val="003D1B93"/>
    <w:rsid w:val="003D36E5"/>
    <w:rsid w:val="003D4BCA"/>
    <w:rsid w:val="003D611D"/>
    <w:rsid w:val="003E0E09"/>
    <w:rsid w:val="003E1FCE"/>
    <w:rsid w:val="003E431A"/>
    <w:rsid w:val="003E5565"/>
    <w:rsid w:val="003E6F40"/>
    <w:rsid w:val="003E7DB2"/>
    <w:rsid w:val="003E7E89"/>
    <w:rsid w:val="003F3A63"/>
    <w:rsid w:val="003F5983"/>
    <w:rsid w:val="003F62FE"/>
    <w:rsid w:val="003F6E76"/>
    <w:rsid w:val="003F7898"/>
    <w:rsid w:val="00400B29"/>
    <w:rsid w:val="0040158A"/>
    <w:rsid w:val="004015D4"/>
    <w:rsid w:val="00401AD1"/>
    <w:rsid w:val="004024A1"/>
    <w:rsid w:val="00402D9B"/>
    <w:rsid w:val="00405696"/>
    <w:rsid w:val="00407936"/>
    <w:rsid w:val="00413920"/>
    <w:rsid w:val="00417D88"/>
    <w:rsid w:val="00417DCF"/>
    <w:rsid w:val="00421B0F"/>
    <w:rsid w:val="004228B0"/>
    <w:rsid w:val="00423C23"/>
    <w:rsid w:val="004241E8"/>
    <w:rsid w:val="0042528A"/>
    <w:rsid w:val="00425C99"/>
    <w:rsid w:val="004260F2"/>
    <w:rsid w:val="0043210F"/>
    <w:rsid w:val="00432F39"/>
    <w:rsid w:val="00434E65"/>
    <w:rsid w:val="004371FC"/>
    <w:rsid w:val="004405A5"/>
    <w:rsid w:val="0044092A"/>
    <w:rsid w:val="00442EE7"/>
    <w:rsid w:val="0044354C"/>
    <w:rsid w:val="00443C0A"/>
    <w:rsid w:val="00444AB8"/>
    <w:rsid w:val="0044668A"/>
    <w:rsid w:val="004519BC"/>
    <w:rsid w:val="00453528"/>
    <w:rsid w:val="004539F5"/>
    <w:rsid w:val="004614F3"/>
    <w:rsid w:val="00461D4B"/>
    <w:rsid w:val="00461D7B"/>
    <w:rsid w:val="004622E0"/>
    <w:rsid w:val="004626B0"/>
    <w:rsid w:val="0046374B"/>
    <w:rsid w:val="00463AEF"/>
    <w:rsid w:val="004647A5"/>
    <w:rsid w:val="004652B6"/>
    <w:rsid w:val="00466205"/>
    <w:rsid w:val="00476F2C"/>
    <w:rsid w:val="00483EB3"/>
    <w:rsid w:val="00483EBF"/>
    <w:rsid w:val="00487BED"/>
    <w:rsid w:val="00492027"/>
    <w:rsid w:val="00492952"/>
    <w:rsid w:val="00495B4B"/>
    <w:rsid w:val="004A6BBD"/>
    <w:rsid w:val="004B37A2"/>
    <w:rsid w:val="004B4F47"/>
    <w:rsid w:val="004B4F4E"/>
    <w:rsid w:val="004C443C"/>
    <w:rsid w:val="004C46BC"/>
    <w:rsid w:val="004C6421"/>
    <w:rsid w:val="004C7616"/>
    <w:rsid w:val="004D5483"/>
    <w:rsid w:val="004D5A3F"/>
    <w:rsid w:val="004D6F44"/>
    <w:rsid w:val="004E1B68"/>
    <w:rsid w:val="004E237D"/>
    <w:rsid w:val="004E675C"/>
    <w:rsid w:val="004F2635"/>
    <w:rsid w:val="004F47DB"/>
    <w:rsid w:val="004F4CB6"/>
    <w:rsid w:val="004F6755"/>
    <w:rsid w:val="004F6A47"/>
    <w:rsid w:val="004F6B4A"/>
    <w:rsid w:val="004F6F0A"/>
    <w:rsid w:val="004F784F"/>
    <w:rsid w:val="0050119C"/>
    <w:rsid w:val="0050187B"/>
    <w:rsid w:val="00502C8E"/>
    <w:rsid w:val="00507E6F"/>
    <w:rsid w:val="005135DA"/>
    <w:rsid w:val="0051576D"/>
    <w:rsid w:val="00515792"/>
    <w:rsid w:val="005171C8"/>
    <w:rsid w:val="005217D7"/>
    <w:rsid w:val="00524508"/>
    <w:rsid w:val="00526A11"/>
    <w:rsid w:val="00530C34"/>
    <w:rsid w:val="00531F88"/>
    <w:rsid w:val="005361B0"/>
    <w:rsid w:val="005402A9"/>
    <w:rsid w:val="00550421"/>
    <w:rsid w:val="00551844"/>
    <w:rsid w:val="00552216"/>
    <w:rsid w:val="005522EA"/>
    <w:rsid w:val="00552688"/>
    <w:rsid w:val="00553239"/>
    <w:rsid w:val="00560B14"/>
    <w:rsid w:val="00561878"/>
    <w:rsid w:val="00562C6D"/>
    <w:rsid w:val="005633B3"/>
    <w:rsid w:val="005669D9"/>
    <w:rsid w:val="00571811"/>
    <w:rsid w:val="00571A4E"/>
    <w:rsid w:val="00572474"/>
    <w:rsid w:val="00574266"/>
    <w:rsid w:val="0057432C"/>
    <w:rsid w:val="00575624"/>
    <w:rsid w:val="00575667"/>
    <w:rsid w:val="00580EEC"/>
    <w:rsid w:val="0058316E"/>
    <w:rsid w:val="00584336"/>
    <w:rsid w:val="00585E66"/>
    <w:rsid w:val="005867DA"/>
    <w:rsid w:val="0058769C"/>
    <w:rsid w:val="00591F23"/>
    <w:rsid w:val="005950EB"/>
    <w:rsid w:val="0059621D"/>
    <w:rsid w:val="00597613"/>
    <w:rsid w:val="005A6144"/>
    <w:rsid w:val="005B2A9A"/>
    <w:rsid w:val="005B32DF"/>
    <w:rsid w:val="005B391C"/>
    <w:rsid w:val="005C07FE"/>
    <w:rsid w:val="005C47BA"/>
    <w:rsid w:val="005C5145"/>
    <w:rsid w:val="005C5DCC"/>
    <w:rsid w:val="005C7934"/>
    <w:rsid w:val="005C7BDC"/>
    <w:rsid w:val="005D5FE1"/>
    <w:rsid w:val="005D7FCD"/>
    <w:rsid w:val="005E098C"/>
    <w:rsid w:val="005E589F"/>
    <w:rsid w:val="005E73CA"/>
    <w:rsid w:val="005F0746"/>
    <w:rsid w:val="005F143C"/>
    <w:rsid w:val="005F2AE7"/>
    <w:rsid w:val="005F3E84"/>
    <w:rsid w:val="005F4FC8"/>
    <w:rsid w:val="00601813"/>
    <w:rsid w:val="00606949"/>
    <w:rsid w:val="00614AC5"/>
    <w:rsid w:val="00616790"/>
    <w:rsid w:val="006209FF"/>
    <w:rsid w:val="006249E5"/>
    <w:rsid w:val="00627107"/>
    <w:rsid w:val="006304A9"/>
    <w:rsid w:val="00630DF0"/>
    <w:rsid w:val="00633FC3"/>
    <w:rsid w:val="0064141A"/>
    <w:rsid w:val="006431CE"/>
    <w:rsid w:val="006448EC"/>
    <w:rsid w:val="00645125"/>
    <w:rsid w:val="006470F5"/>
    <w:rsid w:val="00647539"/>
    <w:rsid w:val="00647D3E"/>
    <w:rsid w:val="0065042B"/>
    <w:rsid w:val="00651AE2"/>
    <w:rsid w:val="00653933"/>
    <w:rsid w:val="00656AB0"/>
    <w:rsid w:val="00656FDC"/>
    <w:rsid w:val="00661642"/>
    <w:rsid w:val="006638ED"/>
    <w:rsid w:val="006639D9"/>
    <w:rsid w:val="00665505"/>
    <w:rsid w:val="00666078"/>
    <w:rsid w:val="0066641B"/>
    <w:rsid w:val="0067003D"/>
    <w:rsid w:val="006734E5"/>
    <w:rsid w:val="00677A66"/>
    <w:rsid w:val="00681A51"/>
    <w:rsid w:val="00682947"/>
    <w:rsid w:val="00683B20"/>
    <w:rsid w:val="006849FD"/>
    <w:rsid w:val="00684B63"/>
    <w:rsid w:val="00685A05"/>
    <w:rsid w:val="006903C0"/>
    <w:rsid w:val="00691A34"/>
    <w:rsid w:val="006930EC"/>
    <w:rsid w:val="00696881"/>
    <w:rsid w:val="00696C9D"/>
    <w:rsid w:val="00697777"/>
    <w:rsid w:val="0069792D"/>
    <w:rsid w:val="006A005B"/>
    <w:rsid w:val="006A2216"/>
    <w:rsid w:val="006A245D"/>
    <w:rsid w:val="006A342A"/>
    <w:rsid w:val="006A3683"/>
    <w:rsid w:val="006A57F2"/>
    <w:rsid w:val="006A6AD5"/>
    <w:rsid w:val="006B1710"/>
    <w:rsid w:val="006B42CE"/>
    <w:rsid w:val="006B4B92"/>
    <w:rsid w:val="006C1FCA"/>
    <w:rsid w:val="006C2DC3"/>
    <w:rsid w:val="006C3018"/>
    <w:rsid w:val="006C3D36"/>
    <w:rsid w:val="006C4259"/>
    <w:rsid w:val="006C4CD5"/>
    <w:rsid w:val="006C54CB"/>
    <w:rsid w:val="006C57BB"/>
    <w:rsid w:val="006C7900"/>
    <w:rsid w:val="006D01D0"/>
    <w:rsid w:val="006D089C"/>
    <w:rsid w:val="006D418C"/>
    <w:rsid w:val="006D4D6D"/>
    <w:rsid w:val="006D614A"/>
    <w:rsid w:val="006D7C44"/>
    <w:rsid w:val="006E48BA"/>
    <w:rsid w:val="006E4906"/>
    <w:rsid w:val="006E5B5D"/>
    <w:rsid w:val="006E6D0B"/>
    <w:rsid w:val="006F17D8"/>
    <w:rsid w:val="006F22D1"/>
    <w:rsid w:val="006F39AD"/>
    <w:rsid w:val="00700766"/>
    <w:rsid w:val="00701F32"/>
    <w:rsid w:val="0070225D"/>
    <w:rsid w:val="007031EF"/>
    <w:rsid w:val="007047AB"/>
    <w:rsid w:val="00706608"/>
    <w:rsid w:val="0070795D"/>
    <w:rsid w:val="00714410"/>
    <w:rsid w:val="007149D0"/>
    <w:rsid w:val="007153F8"/>
    <w:rsid w:val="00720599"/>
    <w:rsid w:val="0072107F"/>
    <w:rsid w:val="007236A8"/>
    <w:rsid w:val="00724705"/>
    <w:rsid w:val="00732492"/>
    <w:rsid w:val="0073249C"/>
    <w:rsid w:val="0073256D"/>
    <w:rsid w:val="00732A5F"/>
    <w:rsid w:val="0073319A"/>
    <w:rsid w:val="0073698C"/>
    <w:rsid w:val="00736E8A"/>
    <w:rsid w:val="00737568"/>
    <w:rsid w:val="00741C5D"/>
    <w:rsid w:val="0074345B"/>
    <w:rsid w:val="007441C5"/>
    <w:rsid w:val="007466C9"/>
    <w:rsid w:val="00746D0E"/>
    <w:rsid w:val="00751046"/>
    <w:rsid w:val="00751847"/>
    <w:rsid w:val="00754D0C"/>
    <w:rsid w:val="0075529C"/>
    <w:rsid w:val="0077578D"/>
    <w:rsid w:val="00775B8C"/>
    <w:rsid w:val="0078083E"/>
    <w:rsid w:val="00780BD4"/>
    <w:rsid w:val="00783C73"/>
    <w:rsid w:val="00783E0E"/>
    <w:rsid w:val="00785A5C"/>
    <w:rsid w:val="00785C6E"/>
    <w:rsid w:val="00786AE1"/>
    <w:rsid w:val="00786DF2"/>
    <w:rsid w:val="0078719F"/>
    <w:rsid w:val="00790252"/>
    <w:rsid w:val="00792C8E"/>
    <w:rsid w:val="00795F5A"/>
    <w:rsid w:val="007A51ED"/>
    <w:rsid w:val="007A746A"/>
    <w:rsid w:val="007A7ECF"/>
    <w:rsid w:val="007B34FB"/>
    <w:rsid w:val="007B4411"/>
    <w:rsid w:val="007C24BC"/>
    <w:rsid w:val="007C3C63"/>
    <w:rsid w:val="007C3F6B"/>
    <w:rsid w:val="007C4529"/>
    <w:rsid w:val="007C4C6A"/>
    <w:rsid w:val="007C6517"/>
    <w:rsid w:val="007C680E"/>
    <w:rsid w:val="007D2AF4"/>
    <w:rsid w:val="007D3F23"/>
    <w:rsid w:val="007D4C6C"/>
    <w:rsid w:val="007E0D40"/>
    <w:rsid w:val="007E4E98"/>
    <w:rsid w:val="007F00CA"/>
    <w:rsid w:val="007F5464"/>
    <w:rsid w:val="007F5EB0"/>
    <w:rsid w:val="007F762E"/>
    <w:rsid w:val="007F7FB1"/>
    <w:rsid w:val="007F7FBD"/>
    <w:rsid w:val="00800815"/>
    <w:rsid w:val="00801C1A"/>
    <w:rsid w:val="0080263E"/>
    <w:rsid w:val="008038F8"/>
    <w:rsid w:val="00804233"/>
    <w:rsid w:val="008052D3"/>
    <w:rsid w:val="008053FC"/>
    <w:rsid w:val="00806C6A"/>
    <w:rsid w:val="00812980"/>
    <w:rsid w:val="0081309B"/>
    <w:rsid w:val="0081473C"/>
    <w:rsid w:val="00820428"/>
    <w:rsid w:val="00821FA4"/>
    <w:rsid w:val="008237F8"/>
    <w:rsid w:val="00831DFF"/>
    <w:rsid w:val="00832ABA"/>
    <w:rsid w:val="00835A89"/>
    <w:rsid w:val="008417C0"/>
    <w:rsid w:val="00844505"/>
    <w:rsid w:val="00845141"/>
    <w:rsid w:val="00846591"/>
    <w:rsid w:val="00846626"/>
    <w:rsid w:val="00851634"/>
    <w:rsid w:val="00852062"/>
    <w:rsid w:val="00853018"/>
    <w:rsid w:val="008553F0"/>
    <w:rsid w:val="00855511"/>
    <w:rsid w:val="00863350"/>
    <w:rsid w:val="008634D6"/>
    <w:rsid w:val="00866FFC"/>
    <w:rsid w:val="008677D4"/>
    <w:rsid w:val="008751DC"/>
    <w:rsid w:val="008764CF"/>
    <w:rsid w:val="008773EF"/>
    <w:rsid w:val="00880723"/>
    <w:rsid w:val="00881B35"/>
    <w:rsid w:val="00885EB3"/>
    <w:rsid w:val="00886589"/>
    <w:rsid w:val="008900A7"/>
    <w:rsid w:val="00893F32"/>
    <w:rsid w:val="00894386"/>
    <w:rsid w:val="00895DD5"/>
    <w:rsid w:val="008A0E74"/>
    <w:rsid w:val="008A36BB"/>
    <w:rsid w:val="008A4107"/>
    <w:rsid w:val="008A5318"/>
    <w:rsid w:val="008A633E"/>
    <w:rsid w:val="008A6B94"/>
    <w:rsid w:val="008B03A1"/>
    <w:rsid w:val="008B0EB5"/>
    <w:rsid w:val="008B2219"/>
    <w:rsid w:val="008B261C"/>
    <w:rsid w:val="008B46F0"/>
    <w:rsid w:val="008B75CC"/>
    <w:rsid w:val="008C014F"/>
    <w:rsid w:val="008C026C"/>
    <w:rsid w:val="008C1D77"/>
    <w:rsid w:val="008C2B70"/>
    <w:rsid w:val="008C7C7A"/>
    <w:rsid w:val="008D7098"/>
    <w:rsid w:val="008E37D3"/>
    <w:rsid w:val="008E3E07"/>
    <w:rsid w:val="008E4F48"/>
    <w:rsid w:val="008E7651"/>
    <w:rsid w:val="008F0064"/>
    <w:rsid w:val="008F3352"/>
    <w:rsid w:val="008F3890"/>
    <w:rsid w:val="008F61A2"/>
    <w:rsid w:val="008F67FC"/>
    <w:rsid w:val="0090003E"/>
    <w:rsid w:val="00902ED0"/>
    <w:rsid w:val="00904981"/>
    <w:rsid w:val="00905309"/>
    <w:rsid w:val="00905397"/>
    <w:rsid w:val="0091648D"/>
    <w:rsid w:val="00920343"/>
    <w:rsid w:val="0092087E"/>
    <w:rsid w:val="009215A4"/>
    <w:rsid w:val="00921804"/>
    <w:rsid w:val="009267B2"/>
    <w:rsid w:val="00934072"/>
    <w:rsid w:val="009347B6"/>
    <w:rsid w:val="00935002"/>
    <w:rsid w:val="00935236"/>
    <w:rsid w:val="00940754"/>
    <w:rsid w:val="00940FA0"/>
    <w:rsid w:val="009432F2"/>
    <w:rsid w:val="009470BB"/>
    <w:rsid w:val="009502C1"/>
    <w:rsid w:val="00953268"/>
    <w:rsid w:val="00953D38"/>
    <w:rsid w:val="0095434F"/>
    <w:rsid w:val="00954B28"/>
    <w:rsid w:val="00955075"/>
    <w:rsid w:val="00956DBA"/>
    <w:rsid w:val="00965891"/>
    <w:rsid w:val="00966663"/>
    <w:rsid w:val="009671D2"/>
    <w:rsid w:val="00973E89"/>
    <w:rsid w:val="00974E12"/>
    <w:rsid w:val="00980D44"/>
    <w:rsid w:val="00987E0A"/>
    <w:rsid w:val="0099213E"/>
    <w:rsid w:val="00992FFB"/>
    <w:rsid w:val="009949AE"/>
    <w:rsid w:val="00995D99"/>
    <w:rsid w:val="009A0405"/>
    <w:rsid w:val="009A2C93"/>
    <w:rsid w:val="009A2E0E"/>
    <w:rsid w:val="009A553E"/>
    <w:rsid w:val="009A6027"/>
    <w:rsid w:val="009B20E3"/>
    <w:rsid w:val="009B45F7"/>
    <w:rsid w:val="009B7481"/>
    <w:rsid w:val="009B768E"/>
    <w:rsid w:val="009C3BD6"/>
    <w:rsid w:val="009C44ED"/>
    <w:rsid w:val="009C490F"/>
    <w:rsid w:val="009D0854"/>
    <w:rsid w:val="009D42D7"/>
    <w:rsid w:val="009D442A"/>
    <w:rsid w:val="009E0716"/>
    <w:rsid w:val="009E1983"/>
    <w:rsid w:val="009E1AE2"/>
    <w:rsid w:val="009E3042"/>
    <w:rsid w:val="009E3CA5"/>
    <w:rsid w:val="009E60A0"/>
    <w:rsid w:val="009E780D"/>
    <w:rsid w:val="009F104F"/>
    <w:rsid w:val="009F3BFB"/>
    <w:rsid w:val="009F4C79"/>
    <w:rsid w:val="009F5DEF"/>
    <w:rsid w:val="009F76CA"/>
    <w:rsid w:val="009F78D6"/>
    <w:rsid w:val="009F79EE"/>
    <w:rsid w:val="00A02F23"/>
    <w:rsid w:val="00A0410B"/>
    <w:rsid w:val="00A0633F"/>
    <w:rsid w:val="00A06CE2"/>
    <w:rsid w:val="00A07E2A"/>
    <w:rsid w:val="00A100DB"/>
    <w:rsid w:val="00A103FC"/>
    <w:rsid w:val="00A11516"/>
    <w:rsid w:val="00A16C5E"/>
    <w:rsid w:val="00A17605"/>
    <w:rsid w:val="00A2161F"/>
    <w:rsid w:val="00A221AC"/>
    <w:rsid w:val="00A22AD9"/>
    <w:rsid w:val="00A32982"/>
    <w:rsid w:val="00A35990"/>
    <w:rsid w:val="00A37A6E"/>
    <w:rsid w:val="00A41079"/>
    <w:rsid w:val="00A421B5"/>
    <w:rsid w:val="00A42DD9"/>
    <w:rsid w:val="00A4480A"/>
    <w:rsid w:val="00A46F85"/>
    <w:rsid w:val="00A47993"/>
    <w:rsid w:val="00A516F6"/>
    <w:rsid w:val="00A532F0"/>
    <w:rsid w:val="00A53E96"/>
    <w:rsid w:val="00A54E25"/>
    <w:rsid w:val="00A55FB5"/>
    <w:rsid w:val="00A578C1"/>
    <w:rsid w:val="00A71220"/>
    <w:rsid w:val="00A7156F"/>
    <w:rsid w:val="00A71D56"/>
    <w:rsid w:val="00A72A9C"/>
    <w:rsid w:val="00A72E40"/>
    <w:rsid w:val="00A737BE"/>
    <w:rsid w:val="00A740C6"/>
    <w:rsid w:val="00A76F21"/>
    <w:rsid w:val="00A80EBC"/>
    <w:rsid w:val="00A81B30"/>
    <w:rsid w:val="00A82A9D"/>
    <w:rsid w:val="00A85DAB"/>
    <w:rsid w:val="00A86ECE"/>
    <w:rsid w:val="00A91D33"/>
    <w:rsid w:val="00A91EF6"/>
    <w:rsid w:val="00A92753"/>
    <w:rsid w:val="00A93434"/>
    <w:rsid w:val="00AA4C29"/>
    <w:rsid w:val="00AA5434"/>
    <w:rsid w:val="00AB3644"/>
    <w:rsid w:val="00AB5FC4"/>
    <w:rsid w:val="00AB625E"/>
    <w:rsid w:val="00AC3B9D"/>
    <w:rsid w:val="00AC3C42"/>
    <w:rsid w:val="00AC4BDF"/>
    <w:rsid w:val="00AC4EF1"/>
    <w:rsid w:val="00AC4FB1"/>
    <w:rsid w:val="00AC5B51"/>
    <w:rsid w:val="00AC63EF"/>
    <w:rsid w:val="00AC6419"/>
    <w:rsid w:val="00AC7947"/>
    <w:rsid w:val="00AD0DF7"/>
    <w:rsid w:val="00AD1814"/>
    <w:rsid w:val="00AD4982"/>
    <w:rsid w:val="00AD4CDE"/>
    <w:rsid w:val="00AD666E"/>
    <w:rsid w:val="00AD6ED2"/>
    <w:rsid w:val="00AE01DF"/>
    <w:rsid w:val="00AE355C"/>
    <w:rsid w:val="00AE7320"/>
    <w:rsid w:val="00AE79E4"/>
    <w:rsid w:val="00AE7E11"/>
    <w:rsid w:val="00AF1147"/>
    <w:rsid w:val="00AF117E"/>
    <w:rsid w:val="00AF11B2"/>
    <w:rsid w:val="00AF1609"/>
    <w:rsid w:val="00AF20B0"/>
    <w:rsid w:val="00AF22B5"/>
    <w:rsid w:val="00AF22D9"/>
    <w:rsid w:val="00AF3CF6"/>
    <w:rsid w:val="00AF3ED4"/>
    <w:rsid w:val="00B00427"/>
    <w:rsid w:val="00B01C99"/>
    <w:rsid w:val="00B01FB7"/>
    <w:rsid w:val="00B06D9E"/>
    <w:rsid w:val="00B110E4"/>
    <w:rsid w:val="00B13472"/>
    <w:rsid w:val="00B139F1"/>
    <w:rsid w:val="00B14A6D"/>
    <w:rsid w:val="00B16672"/>
    <w:rsid w:val="00B222DE"/>
    <w:rsid w:val="00B22B6E"/>
    <w:rsid w:val="00B25E9A"/>
    <w:rsid w:val="00B262F4"/>
    <w:rsid w:val="00B32378"/>
    <w:rsid w:val="00B32480"/>
    <w:rsid w:val="00B3251D"/>
    <w:rsid w:val="00B3378F"/>
    <w:rsid w:val="00B33D41"/>
    <w:rsid w:val="00B3632F"/>
    <w:rsid w:val="00B36597"/>
    <w:rsid w:val="00B3704E"/>
    <w:rsid w:val="00B54645"/>
    <w:rsid w:val="00B570FC"/>
    <w:rsid w:val="00B57C29"/>
    <w:rsid w:val="00B610EE"/>
    <w:rsid w:val="00B61453"/>
    <w:rsid w:val="00B618BC"/>
    <w:rsid w:val="00B620ED"/>
    <w:rsid w:val="00B644DF"/>
    <w:rsid w:val="00B65A8D"/>
    <w:rsid w:val="00B661BB"/>
    <w:rsid w:val="00B67DD1"/>
    <w:rsid w:val="00B71C25"/>
    <w:rsid w:val="00B725D6"/>
    <w:rsid w:val="00B72935"/>
    <w:rsid w:val="00B732E9"/>
    <w:rsid w:val="00B7361D"/>
    <w:rsid w:val="00B806FC"/>
    <w:rsid w:val="00B828E0"/>
    <w:rsid w:val="00B83D8D"/>
    <w:rsid w:val="00B84981"/>
    <w:rsid w:val="00B870B3"/>
    <w:rsid w:val="00B942B7"/>
    <w:rsid w:val="00B94F24"/>
    <w:rsid w:val="00B973C7"/>
    <w:rsid w:val="00BA0878"/>
    <w:rsid w:val="00BA2A2B"/>
    <w:rsid w:val="00BA3DFA"/>
    <w:rsid w:val="00BA590A"/>
    <w:rsid w:val="00BB1352"/>
    <w:rsid w:val="00BB3074"/>
    <w:rsid w:val="00BB3D14"/>
    <w:rsid w:val="00BB471D"/>
    <w:rsid w:val="00BB4816"/>
    <w:rsid w:val="00BB5004"/>
    <w:rsid w:val="00BC1015"/>
    <w:rsid w:val="00BC2C6C"/>
    <w:rsid w:val="00BC7679"/>
    <w:rsid w:val="00BD05FA"/>
    <w:rsid w:val="00BD08B3"/>
    <w:rsid w:val="00BD1DAF"/>
    <w:rsid w:val="00BD3401"/>
    <w:rsid w:val="00BD579A"/>
    <w:rsid w:val="00BD5A0D"/>
    <w:rsid w:val="00BD6173"/>
    <w:rsid w:val="00BD75B9"/>
    <w:rsid w:val="00BE0328"/>
    <w:rsid w:val="00BE05E5"/>
    <w:rsid w:val="00BE0A3C"/>
    <w:rsid w:val="00BE1E97"/>
    <w:rsid w:val="00BE43EA"/>
    <w:rsid w:val="00BE479D"/>
    <w:rsid w:val="00BF04A6"/>
    <w:rsid w:val="00BF09EA"/>
    <w:rsid w:val="00BF102B"/>
    <w:rsid w:val="00BF143D"/>
    <w:rsid w:val="00BF2E7B"/>
    <w:rsid w:val="00BF32B2"/>
    <w:rsid w:val="00BF63B4"/>
    <w:rsid w:val="00BF77AF"/>
    <w:rsid w:val="00C0004C"/>
    <w:rsid w:val="00C00180"/>
    <w:rsid w:val="00C00B5E"/>
    <w:rsid w:val="00C02BF2"/>
    <w:rsid w:val="00C0340C"/>
    <w:rsid w:val="00C04D9C"/>
    <w:rsid w:val="00C051BC"/>
    <w:rsid w:val="00C12FF1"/>
    <w:rsid w:val="00C13A75"/>
    <w:rsid w:val="00C13C24"/>
    <w:rsid w:val="00C16962"/>
    <w:rsid w:val="00C1704D"/>
    <w:rsid w:val="00C205E5"/>
    <w:rsid w:val="00C210D3"/>
    <w:rsid w:val="00C2114B"/>
    <w:rsid w:val="00C2340A"/>
    <w:rsid w:val="00C32007"/>
    <w:rsid w:val="00C375A0"/>
    <w:rsid w:val="00C37969"/>
    <w:rsid w:val="00C37BDF"/>
    <w:rsid w:val="00C41175"/>
    <w:rsid w:val="00C41C75"/>
    <w:rsid w:val="00C454F0"/>
    <w:rsid w:val="00C45C55"/>
    <w:rsid w:val="00C46A82"/>
    <w:rsid w:val="00C46E02"/>
    <w:rsid w:val="00C47F68"/>
    <w:rsid w:val="00C52BDA"/>
    <w:rsid w:val="00C53CF1"/>
    <w:rsid w:val="00C53F80"/>
    <w:rsid w:val="00C54036"/>
    <w:rsid w:val="00C5442A"/>
    <w:rsid w:val="00C55424"/>
    <w:rsid w:val="00C57865"/>
    <w:rsid w:val="00C663F2"/>
    <w:rsid w:val="00C66BE9"/>
    <w:rsid w:val="00C724CA"/>
    <w:rsid w:val="00C72FBA"/>
    <w:rsid w:val="00C739B9"/>
    <w:rsid w:val="00C743FD"/>
    <w:rsid w:val="00C74EC0"/>
    <w:rsid w:val="00C75BCA"/>
    <w:rsid w:val="00C77D82"/>
    <w:rsid w:val="00C822A4"/>
    <w:rsid w:val="00C92734"/>
    <w:rsid w:val="00C934E7"/>
    <w:rsid w:val="00C973F2"/>
    <w:rsid w:val="00CA06F8"/>
    <w:rsid w:val="00CA4AD7"/>
    <w:rsid w:val="00CB0A3C"/>
    <w:rsid w:val="00CB2228"/>
    <w:rsid w:val="00CB63DE"/>
    <w:rsid w:val="00CC0257"/>
    <w:rsid w:val="00CC6854"/>
    <w:rsid w:val="00CC7D29"/>
    <w:rsid w:val="00CD274C"/>
    <w:rsid w:val="00CD34D6"/>
    <w:rsid w:val="00CE35C6"/>
    <w:rsid w:val="00CE564A"/>
    <w:rsid w:val="00CE58BA"/>
    <w:rsid w:val="00CE60D2"/>
    <w:rsid w:val="00CE726B"/>
    <w:rsid w:val="00CF1398"/>
    <w:rsid w:val="00CF4448"/>
    <w:rsid w:val="00CF56A4"/>
    <w:rsid w:val="00CF7E68"/>
    <w:rsid w:val="00D0219F"/>
    <w:rsid w:val="00D03653"/>
    <w:rsid w:val="00D0658C"/>
    <w:rsid w:val="00D066EC"/>
    <w:rsid w:val="00D06765"/>
    <w:rsid w:val="00D076A2"/>
    <w:rsid w:val="00D1683F"/>
    <w:rsid w:val="00D204D5"/>
    <w:rsid w:val="00D22693"/>
    <w:rsid w:val="00D25D65"/>
    <w:rsid w:val="00D27E60"/>
    <w:rsid w:val="00D31FAD"/>
    <w:rsid w:val="00D33573"/>
    <w:rsid w:val="00D34B19"/>
    <w:rsid w:val="00D3777E"/>
    <w:rsid w:val="00D433CF"/>
    <w:rsid w:val="00D43A74"/>
    <w:rsid w:val="00D44051"/>
    <w:rsid w:val="00D45F89"/>
    <w:rsid w:val="00D46045"/>
    <w:rsid w:val="00D46E29"/>
    <w:rsid w:val="00D46FE6"/>
    <w:rsid w:val="00D52BCC"/>
    <w:rsid w:val="00D5305E"/>
    <w:rsid w:val="00D54BCC"/>
    <w:rsid w:val="00D57FA9"/>
    <w:rsid w:val="00D63CBF"/>
    <w:rsid w:val="00D640DF"/>
    <w:rsid w:val="00D6412F"/>
    <w:rsid w:val="00D64C0C"/>
    <w:rsid w:val="00D6591C"/>
    <w:rsid w:val="00D66392"/>
    <w:rsid w:val="00D667F8"/>
    <w:rsid w:val="00D70E7A"/>
    <w:rsid w:val="00D720DB"/>
    <w:rsid w:val="00D80478"/>
    <w:rsid w:val="00D82C0C"/>
    <w:rsid w:val="00D84E4C"/>
    <w:rsid w:val="00D86DCA"/>
    <w:rsid w:val="00D91ADC"/>
    <w:rsid w:val="00D9349A"/>
    <w:rsid w:val="00D94446"/>
    <w:rsid w:val="00D96D40"/>
    <w:rsid w:val="00DA0401"/>
    <w:rsid w:val="00DA23EA"/>
    <w:rsid w:val="00DA29F8"/>
    <w:rsid w:val="00DA2BF1"/>
    <w:rsid w:val="00DA5CA4"/>
    <w:rsid w:val="00DB2895"/>
    <w:rsid w:val="00DB4B01"/>
    <w:rsid w:val="00DB6CEB"/>
    <w:rsid w:val="00DC0761"/>
    <w:rsid w:val="00DC2387"/>
    <w:rsid w:val="00DC6B5F"/>
    <w:rsid w:val="00DC6C05"/>
    <w:rsid w:val="00DC79E1"/>
    <w:rsid w:val="00DD140F"/>
    <w:rsid w:val="00DD2D61"/>
    <w:rsid w:val="00DD3BB9"/>
    <w:rsid w:val="00DD51A7"/>
    <w:rsid w:val="00DD6D8C"/>
    <w:rsid w:val="00DE1241"/>
    <w:rsid w:val="00DE1461"/>
    <w:rsid w:val="00DE688E"/>
    <w:rsid w:val="00DF45E6"/>
    <w:rsid w:val="00DF4840"/>
    <w:rsid w:val="00DF76D2"/>
    <w:rsid w:val="00E01540"/>
    <w:rsid w:val="00E03758"/>
    <w:rsid w:val="00E0399D"/>
    <w:rsid w:val="00E11E1B"/>
    <w:rsid w:val="00E13879"/>
    <w:rsid w:val="00E14006"/>
    <w:rsid w:val="00E23758"/>
    <w:rsid w:val="00E2406D"/>
    <w:rsid w:val="00E264C5"/>
    <w:rsid w:val="00E27484"/>
    <w:rsid w:val="00E31A7E"/>
    <w:rsid w:val="00E32912"/>
    <w:rsid w:val="00E3426F"/>
    <w:rsid w:val="00E34A21"/>
    <w:rsid w:val="00E36AF7"/>
    <w:rsid w:val="00E37804"/>
    <w:rsid w:val="00E414A0"/>
    <w:rsid w:val="00E4184F"/>
    <w:rsid w:val="00E425F8"/>
    <w:rsid w:val="00E447EA"/>
    <w:rsid w:val="00E45159"/>
    <w:rsid w:val="00E46FE8"/>
    <w:rsid w:val="00E507A4"/>
    <w:rsid w:val="00E543B7"/>
    <w:rsid w:val="00E60821"/>
    <w:rsid w:val="00E6126C"/>
    <w:rsid w:val="00E624F6"/>
    <w:rsid w:val="00E63F71"/>
    <w:rsid w:val="00E65271"/>
    <w:rsid w:val="00E67C43"/>
    <w:rsid w:val="00E70158"/>
    <w:rsid w:val="00E7034B"/>
    <w:rsid w:val="00E70E61"/>
    <w:rsid w:val="00E726DA"/>
    <w:rsid w:val="00E74372"/>
    <w:rsid w:val="00E77552"/>
    <w:rsid w:val="00E81519"/>
    <w:rsid w:val="00E81DDF"/>
    <w:rsid w:val="00E82562"/>
    <w:rsid w:val="00E82FEB"/>
    <w:rsid w:val="00E8393E"/>
    <w:rsid w:val="00E8459F"/>
    <w:rsid w:val="00E875D7"/>
    <w:rsid w:val="00E879E7"/>
    <w:rsid w:val="00E87F22"/>
    <w:rsid w:val="00E9212C"/>
    <w:rsid w:val="00E9642A"/>
    <w:rsid w:val="00E96D36"/>
    <w:rsid w:val="00EA2D09"/>
    <w:rsid w:val="00EA2FBF"/>
    <w:rsid w:val="00EA391E"/>
    <w:rsid w:val="00EA58ED"/>
    <w:rsid w:val="00EB01A3"/>
    <w:rsid w:val="00EB0A55"/>
    <w:rsid w:val="00EB2633"/>
    <w:rsid w:val="00EB3C6C"/>
    <w:rsid w:val="00EB4DF6"/>
    <w:rsid w:val="00EB69ED"/>
    <w:rsid w:val="00EC090D"/>
    <w:rsid w:val="00EC0C37"/>
    <w:rsid w:val="00EC747C"/>
    <w:rsid w:val="00ED1417"/>
    <w:rsid w:val="00ED222B"/>
    <w:rsid w:val="00ED31A0"/>
    <w:rsid w:val="00ED37A0"/>
    <w:rsid w:val="00EE19C6"/>
    <w:rsid w:val="00EE3394"/>
    <w:rsid w:val="00EF07F7"/>
    <w:rsid w:val="00EF082C"/>
    <w:rsid w:val="00EF36E8"/>
    <w:rsid w:val="00F04D41"/>
    <w:rsid w:val="00F05FF0"/>
    <w:rsid w:val="00F07317"/>
    <w:rsid w:val="00F11585"/>
    <w:rsid w:val="00F163A8"/>
    <w:rsid w:val="00F17756"/>
    <w:rsid w:val="00F20075"/>
    <w:rsid w:val="00F214F2"/>
    <w:rsid w:val="00F23EBF"/>
    <w:rsid w:val="00F25D68"/>
    <w:rsid w:val="00F336D1"/>
    <w:rsid w:val="00F33F82"/>
    <w:rsid w:val="00F40EF1"/>
    <w:rsid w:val="00F42566"/>
    <w:rsid w:val="00F432C6"/>
    <w:rsid w:val="00F43455"/>
    <w:rsid w:val="00F45A59"/>
    <w:rsid w:val="00F46FC5"/>
    <w:rsid w:val="00F47EC0"/>
    <w:rsid w:val="00F50DE6"/>
    <w:rsid w:val="00F512F2"/>
    <w:rsid w:val="00F55868"/>
    <w:rsid w:val="00F571B9"/>
    <w:rsid w:val="00F575F6"/>
    <w:rsid w:val="00F61E33"/>
    <w:rsid w:val="00F61E7D"/>
    <w:rsid w:val="00F72E59"/>
    <w:rsid w:val="00F77750"/>
    <w:rsid w:val="00F779D8"/>
    <w:rsid w:val="00F829B1"/>
    <w:rsid w:val="00F8736E"/>
    <w:rsid w:val="00F90A26"/>
    <w:rsid w:val="00F90D29"/>
    <w:rsid w:val="00F911B5"/>
    <w:rsid w:val="00F92654"/>
    <w:rsid w:val="00F93006"/>
    <w:rsid w:val="00F95B2A"/>
    <w:rsid w:val="00F971DC"/>
    <w:rsid w:val="00FA12C1"/>
    <w:rsid w:val="00FA1A04"/>
    <w:rsid w:val="00FA3859"/>
    <w:rsid w:val="00FA402E"/>
    <w:rsid w:val="00FA462A"/>
    <w:rsid w:val="00FA6908"/>
    <w:rsid w:val="00FB3602"/>
    <w:rsid w:val="00FB40EE"/>
    <w:rsid w:val="00FB449B"/>
    <w:rsid w:val="00FB596C"/>
    <w:rsid w:val="00FB6B8F"/>
    <w:rsid w:val="00FB76E2"/>
    <w:rsid w:val="00FC1E32"/>
    <w:rsid w:val="00FC2B60"/>
    <w:rsid w:val="00FC776C"/>
    <w:rsid w:val="00FD30F6"/>
    <w:rsid w:val="00FD3DA8"/>
    <w:rsid w:val="00FD4A66"/>
    <w:rsid w:val="00FD527C"/>
    <w:rsid w:val="00FD5F56"/>
    <w:rsid w:val="00FE0CBF"/>
    <w:rsid w:val="00FE203D"/>
    <w:rsid w:val="00FE27FD"/>
    <w:rsid w:val="00FE4893"/>
    <w:rsid w:val="00FE4C1F"/>
    <w:rsid w:val="00FE54B8"/>
    <w:rsid w:val="00FE79ED"/>
    <w:rsid w:val="00FE7A64"/>
    <w:rsid w:val="00FF4B9D"/>
    <w:rsid w:val="00FF6DFE"/>
    <w:rsid w:val="0110348C"/>
    <w:rsid w:val="09B3411F"/>
    <w:rsid w:val="2EFD5A64"/>
    <w:rsid w:val="37942702"/>
    <w:rsid w:val="4AE32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CC9C1"/>
  <w15:docId w15:val="{534D6239-852C-46E3-B7E6-3B1B2E87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qFormat="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87F22"/>
    <w:pPr>
      <w:widowControl w:val="0"/>
      <w:spacing w:line="360" w:lineRule="exact"/>
      <w:ind w:firstLineChars="200" w:firstLine="200"/>
      <w:jc w:val="both"/>
    </w:pPr>
    <w:rPr>
      <w:rFonts w:ascii="Times New Roman" w:eastAsia="宋体" w:hAnsi="Times New Roman"/>
      <w:noProof/>
      <w:kern w:val="2"/>
      <w:sz w:val="24"/>
      <w:szCs w:val="22"/>
    </w:rPr>
  </w:style>
  <w:style w:type="paragraph" w:styleId="1">
    <w:name w:val="heading 1"/>
    <w:aliases w:val="T1"/>
    <w:basedOn w:val="a1"/>
    <w:next w:val="a1"/>
    <w:link w:val="10"/>
    <w:uiPriority w:val="9"/>
    <w:qFormat/>
    <w:pPr>
      <w:keepNext/>
      <w:keepLines/>
      <w:spacing w:beforeLines="50" w:before="50" w:afterLines="30" w:after="30"/>
      <w:ind w:firstLineChars="0" w:firstLine="0"/>
      <w:outlineLvl w:val="0"/>
    </w:pPr>
    <w:rPr>
      <w:b/>
      <w:bCs/>
      <w:kern w:val="44"/>
      <w:sz w:val="28"/>
      <w:szCs w:val="44"/>
    </w:rPr>
  </w:style>
  <w:style w:type="paragraph" w:styleId="2">
    <w:name w:val="heading 2"/>
    <w:aliases w:val="T2"/>
    <w:basedOn w:val="a1"/>
    <w:next w:val="a1"/>
    <w:link w:val="20"/>
    <w:uiPriority w:val="9"/>
    <w:unhideWhenUsed/>
    <w:qFormat/>
    <w:pPr>
      <w:keepNext/>
      <w:keepLines/>
      <w:ind w:firstLineChars="0" w:firstLine="0"/>
      <w:outlineLvl w:val="1"/>
    </w:pPr>
    <w:rPr>
      <w:rFonts w:cstheme="majorBidi"/>
      <w:b/>
      <w:bCs/>
      <w:szCs w:val="32"/>
    </w:rPr>
  </w:style>
  <w:style w:type="paragraph" w:styleId="3">
    <w:name w:val="heading 3"/>
    <w:basedOn w:val="a1"/>
    <w:next w:val="a1"/>
    <w:link w:val="30"/>
    <w:uiPriority w:val="9"/>
    <w:unhideWhenUsed/>
    <w:qFormat/>
    <w:rsid w:val="00804233"/>
    <w:pPr>
      <w:keepNext/>
      <w:keepLines/>
      <w:spacing w:line="240" w:lineRule="auto"/>
      <w:jc w:val="left"/>
      <w:outlineLvl w:val="2"/>
    </w:pPr>
    <w:rPr>
      <w:b/>
      <w:bCs/>
      <w:szCs w:val="32"/>
    </w:rPr>
  </w:style>
  <w:style w:type="paragraph" w:styleId="4">
    <w:name w:val="heading 4"/>
    <w:basedOn w:val="a1"/>
    <w:next w:val="a1"/>
    <w:link w:val="40"/>
    <w:uiPriority w:val="9"/>
    <w:unhideWhenUsed/>
    <w:qFormat/>
    <w:rsid w:val="00A11516"/>
    <w:pPr>
      <w:keepNext/>
      <w:keepLines/>
      <w:widowControl/>
      <w:spacing w:line="360" w:lineRule="auto"/>
      <w:ind w:firstLineChars="0" w:firstLine="0"/>
      <w:jc w:val="left"/>
      <w:outlineLvl w:val="3"/>
    </w:pPr>
    <w:rPr>
      <w:rFonts w:eastAsia="黑体" w:cstheme="majorBidi"/>
      <w:b/>
      <w:bCs/>
      <w:kern w:val="0"/>
      <w:sz w:val="28"/>
      <w:szCs w:val="28"/>
    </w:rPr>
  </w:style>
  <w:style w:type="paragraph" w:styleId="5">
    <w:name w:val="heading 5"/>
    <w:aliases w:val="T5"/>
    <w:basedOn w:val="a1"/>
    <w:next w:val="a1"/>
    <w:link w:val="50"/>
    <w:uiPriority w:val="9"/>
    <w:unhideWhenUsed/>
    <w:qFormat/>
    <w:rsid w:val="00A11516"/>
    <w:pPr>
      <w:keepNext/>
      <w:keepLines/>
      <w:widowControl/>
      <w:spacing w:line="240" w:lineRule="auto"/>
      <w:ind w:firstLineChars="0" w:firstLine="0"/>
      <w:jc w:val="left"/>
      <w:outlineLvl w:val="4"/>
    </w:pPr>
    <w:rPr>
      <w:rFonts w:eastAsia="黑体" w:cs="宋体"/>
      <w:b/>
      <w:bCs/>
      <w:kern w:val="0"/>
      <w:szCs w:val="28"/>
    </w:rPr>
  </w:style>
  <w:style w:type="paragraph" w:styleId="6">
    <w:name w:val="heading 6"/>
    <w:basedOn w:val="a1"/>
    <w:next w:val="a1"/>
    <w:link w:val="60"/>
    <w:uiPriority w:val="9"/>
    <w:semiHidden/>
    <w:unhideWhenUsed/>
    <w:qFormat/>
    <w:rsid w:val="00AE7E11"/>
    <w:pPr>
      <w:keepNext/>
      <w:keepLines/>
      <w:widowControl/>
      <w:spacing w:before="240" w:after="64" w:line="320" w:lineRule="atLeast"/>
      <w:outlineLvl w:val="5"/>
    </w:pPr>
    <w:rPr>
      <w:rFonts w:eastAsia="仿宋" w:cs="Times New Roman"/>
      <w:b/>
      <w:bCs/>
      <w:kern w:val="0"/>
      <w:szCs w:val="24"/>
    </w:rPr>
  </w:style>
  <w:style w:type="paragraph" w:styleId="7">
    <w:name w:val="heading 7"/>
    <w:aliases w:val="T7"/>
    <w:basedOn w:val="a1"/>
    <w:next w:val="a1"/>
    <w:link w:val="70"/>
    <w:uiPriority w:val="9"/>
    <w:semiHidden/>
    <w:unhideWhenUsed/>
    <w:qFormat/>
    <w:rsid w:val="00AE7E11"/>
    <w:pPr>
      <w:keepNext/>
      <w:keepLines/>
      <w:widowControl/>
      <w:snapToGrid w:val="0"/>
      <w:spacing w:line="480" w:lineRule="auto"/>
      <w:ind w:firstLineChars="0" w:firstLine="0"/>
      <w:outlineLvl w:val="6"/>
    </w:pPr>
    <w:rPr>
      <w:rFonts w:cs="Times New Roman"/>
      <w:b/>
      <w:bCs/>
      <w:kern w:val="0"/>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iPriority w:val="2"/>
    <w:unhideWhenUsed/>
    <w:qFormat/>
    <w:pPr>
      <w:ind w:firstLine="420"/>
      <w:jc w:val="center"/>
    </w:pPr>
    <w:rPr>
      <w:rFonts w:cstheme="majorBidi"/>
      <w:sz w:val="21"/>
      <w:szCs w:val="20"/>
    </w:rPr>
  </w:style>
  <w:style w:type="paragraph" w:styleId="a6">
    <w:name w:val="Body Text"/>
    <w:basedOn w:val="a1"/>
    <w:link w:val="a7"/>
    <w:uiPriority w:val="1"/>
    <w:unhideWhenUsed/>
    <w:qFormat/>
    <w:pPr>
      <w:spacing w:after="120" w:line="240" w:lineRule="auto"/>
      <w:ind w:firstLineChars="0" w:firstLine="0"/>
    </w:pPr>
    <w:rPr>
      <w:rFonts w:ascii="Calibri" w:hAnsi="Calibri" w:cs="Times New Roman"/>
      <w:sz w:val="21"/>
      <w:szCs w:val="24"/>
    </w:rPr>
  </w:style>
  <w:style w:type="paragraph" w:styleId="a8">
    <w:name w:val="footer"/>
    <w:basedOn w:val="a1"/>
    <w:link w:val="a9"/>
    <w:uiPriority w:val="99"/>
    <w:unhideWhenUsed/>
    <w:qFormat/>
    <w:pPr>
      <w:tabs>
        <w:tab w:val="center" w:pos="4153"/>
        <w:tab w:val="right" w:pos="8306"/>
      </w:tabs>
      <w:snapToGrid w:val="0"/>
      <w:spacing w:line="240" w:lineRule="atLeast"/>
      <w:jc w:val="left"/>
    </w:pPr>
    <w:rPr>
      <w:sz w:val="18"/>
      <w:szCs w:val="18"/>
    </w:rPr>
  </w:style>
  <w:style w:type="paragraph" w:styleId="aa">
    <w:name w:val="header"/>
    <w:basedOn w:val="a1"/>
    <w:link w:val="ab"/>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c">
    <w:name w:val="Normal (Web)"/>
    <w:basedOn w:val="a1"/>
    <w:uiPriority w:val="99"/>
    <w:semiHidden/>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d">
    <w:name w:val="Title"/>
    <w:basedOn w:val="a1"/>
    <w:next w:val="a1"/>
    <w:link w:val="ae"/>
    <w:uiPriority w:val="10"/>
    <w:qFormat/>
    <w:pPr>
      <w:spacing w:before="240" w:after="60"/>
      <w:jc w:val="center"/>
      <w:outlineLvl w:val="0"/>
    </w:pPr>
    <w:rPr>
      <w:rFonts w:asciiTheme="majorHAnsi" w:eastAsiaTheme="majorEastAsia" w:hAnsiTheme="majorHAnsi" w:cstheme="majorBidi"/>
      <w:b/>
      <w:bCs/>
      <w:sz w:val="32"/>
      <w:szCs w:val="32"/>
    </w:rPr>
  </w:style>
  <w:style w:type="table" w:styleId="a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2"/>
    <w:uiPriority w:val="22"/>
    <w:qFormat/>
    <w:rPr>
      <w:b/>
      <w:bCs/>
    </w:rPr>
  </w:style>
  <w:style w:type="character" w:styleId="af1">
    <w:name w:val="Hyperlink"/>
    <w:basedOn w:val="a2"/>
    <w:uiPriority w:val="99"/>
    <w:unhideWhenUsed/>
    <w:qFormat/>
    <w:rPr>
      <w:color w:val="0000FF"/>
      <w:u w:val="single"/>
    </w:rPr>
  </w:style>
  <w:style w:type="character" w:customStyle="1" w:styleId="10">
    <w:name w:val="标题 1 字符"/>
    <w:aliases w:val="T1 字符"/>
    <w:basedOn w:val="a2"/>
    <w:link w:val="1"/>
    <w:uiPriority w:val="9"/>
    <w:qFormat/>
    <w:rPr>
      <w:rFonts w:ascii="Times New Roman" w:eastAsia="宋体" w:hAnsi="Times New Roman"/>
      <w:b/>
      <w:bCs/>
      <w:kern w:val="44"/>
      <w:sz w:val="28"/>
      <w:szCs w:val="44"/>
    </w:rPr>
  </w:style>
  <w:style w:type="character" w:customStyle="1" w:styleId="20">
    <w:name w:val="标题 2 字符"/>
    <w:aliases w:val="T2 字符"/>
    <w:basedOn w:val="a2"/>
    <w:link w:val="2"/>
    <w:uiPriority w:val="9"/>
    <w:qFormat/>
    <w:rPr>
      <w:rFonts w:ascii="Times New Roman" w:eastAsia="宋体" w:hAnsi="Times New Roman" w:cstheme="majorBidi"/>
      <w:b/>
      <w:bCs/>
      <w:sz w:val="24"/>
      <w:szCs w:val="32"/>
    </w:rPr>
  </w:style>
  <w:style w:type="character" w:customStyle="1" w:styleId="ae">
    <w:name w:val="标题 字符"/>
    <w:basedOn w:val="a2"/>
    <w:link w:val="ad"/>
    <w:uiPriority w:val="10"/>
    <w:rPr>
      <w:rFonts w:asciiTheme="majorHAnsi" w:eastAsiaTheme="majorEastAsia" w:hAnsiTheme="majorHAnsi" w:cstheme="majorBidi"/>
      <w:b/>
      <w:bCs/>
      <w:sz w:val="32"/>
      <w:szCs w:val="32"/>
    </w:rPr>
  </w:style>
  <w:style w:type="paragraph" w:customStyle="1" w:styleId="MTDisplayEquation">
    <w:name w:val="MTDisplayEquation"/>
    <w:basedOn w:val="a1"/>
    <w:next w:val="a1"/>
    <w:link w:val="MTDisplayEquation0"/>
    <w:qFormat/>
    <w:pPr>
      <w:tabs>
        <w:tab w:val="center" w:pos="4160"/>
        <w:tab w:val="right" w:pos="8300"/>
      </w:tabs>
      <w:spacing w:line="400" w:lineRule="exact"/>
      <w:ind w:firstLine="420"/>
    </w:pPr>
    <w:rPr>
      <w:rFonts w:cs="Times New Roman"/>
      <w:sz w:val="22"/>
      <w:szCs w:val="24"/>
    </w:rPr>
  </w:style>
  <w:style w:type="character" w:customStyle="1" w:styleId="MTDisplayEquation0">
    <w:name w:val="MTDisplayEquation 字符"/>
    <w:basedOn w:val="a2"/>
    <w:link w:val="MTDisplayEquation"/>
    <w:rPr>
      <w:rFonts w:ascii="Times New Roman" w:eastAsia="宋体" w:hAnsi="Times New Roman" w:cs="Times New Roman"/>
      <w:sz w:val="22"/>
      <w:szCs w:val="24"/>
    </w:rPr>
  </w:style>
  <w:style w:type="paragraph" w:customStyle="1" w:styleId="-">
    <w:name w:val="图题&amp;标题-中文"/>
    <w:basedOn w:val="a1"/>
    <w:link w:val="-0"/>
    <w:qFormat/>
    <w:pPr>
      <w:widowControl/>
      <w:spacing w:line="240" w:lineRule="auto"/>
      <w:jc w:val="center"/>
    </w:pPr>
    <w:rPr>
      <w:rFonts w:cs="Times New Roman"/>
      <w:color w:val="000000"/>
      <w:kern w:val="0"/>
      <w:sz w:val="21"/>
      <w:szCs w:val="21"/>
    </w:rPr>
  </w:style>
  <w:style w:type="character" w:customStyle="1" w:styleId="-0">
    <w:name w:val="图题&amp;标题-中文 字符"/>
    <w:basedOn w:val="a2"/>
    <w:link w:val="-"/>
    <w:rPr>
      <w:rFonts w:ascii="Times New Roman" w:eastAsia="宋体" w:hAnsi="Times New Roman" w:cs="Times New Roman"/>
      <w:color w:val="000000"/>
      <w:kern w:val="0"/>
      <w:szCs w:val="21"/>
    </w:rPr>
  </w:style>
  <w:style w:type="paragraph" w:customStyle="1" w:styleId="af2">
    <w:name w:val="子图题"/>
    <w:basedOn w:val="a1"/>
    <w:link w:val="af3"/>
    <w:qFormat/>
    <w:pPr>
      <w:widowControl/>
      <w:spacing w:line="240" w:lineRule="auto"/>
      <w:ind w:right="23"/>
      <w:jc w:val="center"/>
    </w:pPr>
    <w:rPr>
      <w:rFonts w:cs="Times New Roman"/>
      <w:color w:val="000000"/>
      <w:kern w:val="0"/>
      <w:sz w:val="15"/>
      <w:szCs w:val="21"/>
    </w:rPr>
  </w:style>
  <w:style w:type="character" w:customStyle="1" w:styleId="af3">
    <w:name w:val="子图题 字符"/>
    <w:basedOn w:val="a2"/>
    <w:link w:val="af2"/>
    <w:rPr>
      <w:rFonts w:ascii="Times New Roman" w:eastAsia="宋体" w:hAnsi="Times New Roman" w:cs="Times New Roman"/>
      <w:color w:val="000000"/>
      <w:kern w:val="0"/>
      <w:sz w:val="15"/>
      <w:szCs w:val="21"/>
    </w:rPr>
  </w:style>
  <w:style w:type="paragraph" w:styleId="af4">
    <w:name w:val="List Paragraph"/>
    <w:basedOn w:val="a1"/>
    <w:uiPriority w:val="34"/>
    <w:qFormat/>
    <w:pPr>
      <w:ind w:firstLine="420"/>
    </w:pPr>
  </w:style>
  <w:style w:type="character" w:customStyle="1" w:styleId="ab">
    <w:name w:val="页眉 字符"/>
    <w:basedOn w:val="a2"/>
    <w:link w:val="aa"/>
    <w:uiPriority w:val="99"/>
    <w:qFormat/>
    <w:rPr>
      <w:rFonts w:ascii="Times New Roman" w:eastAsia="宋体" w:hAnsi="Times New Roman"/>
      <w:sz w:val="18"/>
      <w:szCs w:val="18"/>
    </w:rPr>
  </w:style>
  <w:style w:type="character" w:customStyle="1" w:styleId="a9">
    <w:name w:val="页脚 字符"/>
    <w:basedOn w:val="a2"/>
    <w:link w:val="a8"/>
    <w:uiPriority w:val="99"/>
    <w:qFormat/>
    <w:rPr>
      <w:rFonts w:ascii="Times New Roman" w:eastAsia="宋体" w:hAnsi="Times New Roman"/>
      <w:sz w:val="18"/>
      <w:szCs w:val="18"/>
    </w:rPr>
  </w:style>
  <w:style w:type="character" w:customStyle="1" w:styleId="a7">
    <w:name w:val="正文文本 字符"/>
    <w:basedOn w:val="a2"/>
    <w:link w:val="a6"/>
    <w:uiPriority w:val="1"/>
    <w:qFormat/>
    <w:rPr>
      <w:rFonts w:ascii="Calibri" w:eastAsia="宋体" w:hAnsi="Calibri" w:cs="Times New Roman"/>
      <w:szCs w:val="24"/>
    </w:rPr>
  </w:style>
  <w:style w:type="table" w:customStyle="1" w:styleId="11">
    <w:name w:val="网格型1"/>
    <w:basedOn w:val="a3"/>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3"/>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qrmdu">
    <w:name w:val="text_qrmdu"/>
    <w:basedOn w:val="a2"/>
  </w:style>
  <w:style w:type="character" w:customStyle="1" w:styleId="MTEquationSection">
    <w:name w:val="MTEquationSection"/>
    <w:basedOn w:val="a2"/>
    <w:rsid w:val="00B33D41"/>
    <w:rPr>
      <w:rFonts w:ascii="Times New Roman" w:eastAsia="黑体" w:hAnsi="Times New Roman"/>
      <w:vanish/>
      <w:color w:val="FF0000"/>
      <w:sz w:val="30"/>
      <w:szCs w:val="30"/>
    </w:rPr>
  </w:style>
  <w:style w:type="character" w:styleId="af5">
    <w:name w:val="annotation reference"/>
    <w:basedOn w:val="a2"/>
    <w:uiPriority w:val="99"/>
    <w:semiHidden/>
    <w:unhideWhenUsed/>
    <w:rsid w:val="00413920"/>
    <w:rPr>
      <w:sz w:val="21"/>
      <w:szCs w:val="21"/>
    </w:rPr>
  </w:style>
  <w:style w:type="paragraph" w:styleId="af6">
    <w:name w:val="annotation text"/>
    <w:basedOn w:val="a1"/>
    <w:link w:val="af7"/>
    <w:uiPriority w:val="99"/>
    <w:unhideWhenUsed/>
    <w:rsid w:val="00413920"/>
    <w:pPr>
      <w:jc w:val="left"/>
    </w:pPr>
  </w:style>
  <w:style w:type="character" w:customStyle="1" w:styleId="af7">
    <w:name w:val="批注文字 字符"/>
    <w:basedOn w:val="a2"/>
    <w:link w:val="af6"/>
    <w:uiPriority w:val="99"/>
    <w:rsid w:val="00413920"/>
    <w:rPr>
      <w:rFonts w:ascii="Times New Roman" w:eastAsia="宋体" w:hAnsi="Times New Roman"/>
      <w:kern w:val="2"/>
      <w:sz w:val="24"/>
      <w:szCs w:val="22"/>
    </w:rPr>
  </w:style>
  <w:style w:type="paragraph" w:styleId="af8">
    <w:name w:val="annotation subject"/>
    <w:basedOn w:val="af6"/>
    <w:next w:val="af6"/>
    <w:link w:val="af9"/>
    <w:uiPriority w:val="99"/>
    <w:semiHidden/>
    <w:unhideWhenUsed/>
    <w:rsid w:val="00413920"/>
    <w:rPr>
      <w:b/>
      <w:bCs/>
    </w:rPr>
  </w:style>
  <w:style w:type="character" w:customStyle="1" w:styleId="af9">
    <w:name w:val="批注主题 字符"/>
    <w:basedOn w:val="af7"/>
    <w:link w:val="af8"/>
    <w:uiPriority w:val="99"/>
    <w:semiHidden/>
    <w:rsid w:val="00413920"/>
    <w:rPr>
      <w:rFonts w:ascii="Times New Roman" w:eastAsia="宋体" w:hAnsi="Times New Roman"/>
      <w:b/>
      <w:bCs/>
      <w:kern w:val="2"/>
      <w:sz w:val="24"/>
      <w:szCs w:val="22"/>
    </w:rPr>
  </w:style>
  <w:style w:type="paragraph" w:customStyle="1" w:styleId="12">
    <w:name w:val="样式1_图"/>
    <w:basedOn w:val="a1"/>
    <w:link w:val="13"/>
    <w:qFormat/>
    <w:rsid w:val="00701F32"/>
    <w:pPr>
      <w:widowControl/>
      <w:spacing w:line="240" w:lineRule="auto"/>
      <w:ind w:firstLineChars="0" w:firstLine="0"/>
      <w:jc w:val="center"/>
    </w:pPr>
    <w:rPr>
      <w:rFonts w:cs="宋体"/>
      <w:kern w:val="0"/>
      <w:szCs w:val="24"/>
    </w:rPr>
  </w:style>
  <w:style w:type="character" w:customStyle="1" w:styleId="13">
    <w:name w:val="样式1_图 字符"/>
    <w:basedOn w:val="a2"/>
    <w:link w:val="12"/>
    <w:rsid w:val="00701F32"/>
    <w:rPr>
      <w:rFonts w:ascii="Times New Roman" w:eastAsia="宋体" w:hAnsi="Times New Roman" w:cs="宋体"/>
      <w:sz w:val="24"/>
      <w:szCs w:val="24"/>
    </w:rPr>
  </w:style>
  <w:style w:type="character" w:customStyle="1" w:styleId="30">
    <w:name w:val="标题 3 字符"/>
    <w:basedOn w:val="a2"/>
    <w:link w:val="3"/>
    <w:uiPriority w:val="9"/>
    <w:rsid w:val="00804233"/>
    <w:rPr>
      <w:rFonts w:ascii="Times New Roman" w:eastAsia="宋体" w:hAnsi="Times New Roman"/>
      <w:b/>
      <w:bCs/>
      <w:kern w:val="2"/>
      <w:sz w:val="24"/>
      <w:szCs w:val="32"/>
    </w:rPr>
  </w:style>
  <w:style w:type="character" w:customStyle="1" w:styleId="40">
    <w:name w:val="标题 4 字符"/>
    <w:basedOn w:val="a2"/>
    <w:link w:val="4"/>
    <w:uiPriority w:val="9"/>
    <w:rsid w:val="00A11516"/>
    <w:rPr>
      <w:rFonts w:ascii="Times New Roman" w:eastAsia="黑体" w:hAnsi="Times New Roman" w:cstheme="majorBidi"/>
      <w:b/>
      <w:bCs/>
      <w:sz w:val="28"/>
      <w:szCs w:val="28"/>
    </w:rPr>
  </w:style>
  <w:style w:type="character" w:customStyle="1" w:styleId="50">
    <w:name w:val="标题 5 字符"/>
    <w:aliases w:val="T5 字符"/>
    <w:basedOn w:val="a2"/>
    <w:link w:val="5"/>
    <w:uiPriority w:val="9"/>
    <w:rsid w:val="00A11516"/>
    <w:rPr>
      <w:rFonts w:ascii="Times New Roman" w:eastAsia="黑体" w:hAnsi="Times New Roman" w:cs="宋体"/>
      <w:b/>
      <w:bCs/>
      <w:sz w:val="24"/>
      <w:szCs w:val="28"/>
    </w:rPr>
  </w:style>
  <w:style w:type="paragraph" w:customStyle="1" w:styleId="22">
    <w:name w:val="样式2_表"/>
    <w:basedOn w:val="a1"/>
    <w:qFormat/>
    <w:rsid w:val="00A11516"/>
    <w:pPr>
      <w:widowControl/>
      <w:spacing w:line="400" w:lineRule="exact"/>
      <w:ind w:firstLineChars="0" w:firstLine="0"/>
      <w:jc w:val="center"/>
    </w:pPr>
    <w:rPr>
      <w:rFonts w:cs="宋体"/>
      <w:kern w:val="0"/>
      <w:sz w:val="21"/>
      <w:szCs w:val="24"/>
    </w:rPr>
  </w:style>
  <w:style w:type="paragraph" w:customStyle="1" w:styleId="33">
    <w:name w:val="样式3_题注"/>
    <w:basedOn w:val="a1"/>
    <w:qFormat/>
    <w:rsid w:val="00A11516"/>
    <w:pPr>
      <w:widowControl/>
      <w:spacing w:line="400" w:lineRule="exact"/>
      <w:ind w:firstLineChars="0" w:firstLine="0"/>
      <w:jc w:val="center"/>
    </w:pPr>
    <w:rPr>
      <w:rFonts w:cs="宋体"/>
      <w:kern w:val="0"/>
      <w:sz w:val="21"/>
      <w:szCs w:val="24"/>
    </w:rPr>
  </w:style>
  <w:style w:type="table" w:customStyle="1" w:styleId="110">
    <w:name w:val="网格型11"/>
    <w:basedOn w:val="a3"/>
    <w:next w:val="af"/>
    <w:uiPriority w:val="59"/>
    <w:qFormat/>
    <w:rsid w:val="00853018"/>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2"/>
    <w:link w:val="6"/>
    <w:uiPriority w:val="9"/>
    <w:semiHidden/>
    <w:rsid w:val="00AE7E11"/>
    <w:rPr>
      <w:rFonts w:ascii="Times New Roman" w:eastAsia="仿宋" w:hAnsi="Times New Roman" w:cs="Times New Roman"/>
      <w:b/>
      <w:bCs/>
      <w:sz w:val="24"/>
      <w:szCs w:val="24"/>
    </w:rPr>
  </w:style>
  <w:style w:type="character" w:customStyle="1" w:styleId="70">
    <w:name w:val="标题 7 字符"/>
    <w:aliases w:val="T7 字符"/>
    <w:basedOn w:val="a2"/>
    <w:link w:val="7"/>
    <w:uiPriority w:val="9"/>
    <w:semiHidden/>
    <w:rsid w:val="00AE7E11"/>
    <w:rPr>
      <w:rFonts w:ascii="Times New Roman" w:eastAsia="宋体" w:hAnsi="Times New Roman" w:cs="Times New Roman"/>
      <w:b/>
      <w:bCs/>
      <w:sz w:val="24"/>
      <w:szCs w:val="24"/>
    </w:rPr>
  </w:style>
  <w:style w:type="numbering" w:customStyle="1" w:styleId="14">
    <w:name w:val="无列表1"/>
    <w:next w:val="a4"/>
    <w:uiPriority w:val="99"/>
    <w:semiHidden/>
    <w:unhideWhenUsed/>
    <w:rsid w:val="00AE7E11"/>
  </w:style>
  <w:style w:type="paragraph" w:customStyle="1" w:styleId="TOC1">
    <w:name w:val="TOC 标题1"/>
    <w:basedOn w:val="1"/>
    <w:next w:val="a1"/>
    <w:uiPriority w:val="39"/>
    <w:unhideWhenUsed/>
    <w:qFormat/>
    <w:rsid w:val="00AE7E11"/>
    <w:pPr>
      <w:widowControl/>
      <w:spacing w:beforeLines="0" w:before="240" w:afterLines="0" w:after="0" w:line="259" w:lineRule="auto"/>
      <w:jc w:val="left"/>
      <w:outlineLvl w:val="9"/>
    </w:pPr>
    <w:rPr>
      <w:rFonts w:ascii="等线 Light" w:eastAsia="等线 Light" w:hAnsi="等线 Light" w:cs="Times New Roman"/>
      <w:b w:val="0"/>
      <w:bCs w:val="0"/>
      <w:color w:val="2F5496"/>
      <w:kern w:val="0"/>
      <w:sz w:val="32"/>
      <w:szCs w:val="32"/>
    </w:rPr>
  </w:style>
  <w:style w:type="paragraph" w:styleId="afa">
    <w:name w:val="Balloon Text"/>
    <w:basedOn w:val="a1"/>
    <w:link w:val="afb"/>
    <w:uiPriority w:val="99"/>
    <w:semiHidden/>
    <w:rsid w:val="00AE7E11"/>
    <w:pPr>
      <w:widowControl/>
      <w:spacing w:line="240" w:lineRule="auto"/>
      <w:ind w:firstLineChars="0" w:firstLine="0"/>
    </w:pPr>
    <w:rPr>
      <w:rFonts w:ascii="Calibri" w:hAnsi="Calibri" w:cs="Calibri"/>
      <w:kern w:val="0"/>
      <w:sz w:val="18"/>
      <w:szCs w:val="18"/>
    </w:rPr>
  </w:style>
  <w:style w:type="character" w:customStyle="1" w:styleId="afb">
    <w:name w:val="批注框文本 字符"/>
    <w:basedOn w:val="a2"/>
    <w:link w:val="afa"/>
    <w:uiPriority w:val="99"/>
    <w:semiHidden/>
    <w:rsid w:val="00AE7E11"/>
    <w:rPr>
      <w:rFonts w:ascii="Calibri" w:eastAsia="宋体" w:hAnsi="Calibri" w:cs="Calibri"/>
      <w:sz w:val="18"/>
      <w:szCs w:val="18"/>
    </w:rPr>
  </w:style>
  <w:style w:type="character" w:styleId="afc">
    <w:name w:val="Placeholder Text"/>
    <w:basedOn w:val="a2"/>
    <w:uiPriority w:val="99"/>
    <w:semiHidden/>
    <w:rsid w:val="00AE7E11"/>
    <w:rPr>
      <w:color w:val="808080"/>
    </w:rPr>
  </w:style>
  <w:style w:type="table" w:customStyle="1" w:styleId="51">
    <w:name w:val="网格型5"/>
    <w:basedOn w:val="a3"/>
    <w:next w:val="af"/>
    <w:uiPriority w:val="39"/>
    <w:qFormat/>
    <w:rsid w:val="00AE7E11"/>
    <w:pPr>
      <w:widowControl w:val="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PParagraphothers">
    <w:name w:val="TTP Paragraph (others)"/>
    <w:basedOn w:val="a1"/>
    <w:rsid w:val="00AE7E11"/>
    <w:pPr>
      <w:widowControl/>
      <w:autoSpaceDE w:val="0"/>
      <w:autoSpaceDN w:val="0"/>
      <w:spacing w:line="240" w:lineRule="auto"/>
      <w:ind w:firstLineChars="0" w:firstLine="283"/>
    </w:pPr>
    <w:rPr>
      <w:rFonts w:cs="Times New Roman"/>
      <w:kern w:val="0"/>
      <w:szCs w:val="24"/>
      <w:lang w:eastAsia="en-US"/>
    </w:rPr>
  </w:style>
  <w:style w:type="paragraph" w:customStyle="1" w:styleId="15">
    <w:name w:val="无间隔1"/>
    <w:link w:val="16"/>
    <w:uiPriority w:val="99"/>
    <w:qFormat/>
    <w:rsid w:val="00AE7E11"/>
    <w:rPr>
      <w:rFonts w:ascii="Times New Roman" w:eastAsia="宋体" w:hAnsi="Times New Roman" w:cs="Times New Roman"/>
      <w:sz w:val="22"/>
      <w:szCs w:val="22"/>
    </w:rPr>
  </w:style>
  <w:style w:type="paragraph" w:styleId="afd">
    <w:name w:val="Subtitle"/>
    <w:basedOn w:val="a1"/>
    <w:next w:val="a1"/>
    <w:link w:val="afe"/>
    <w:uiPriority w:val="99"/>
    <w:qFormat/>
    <w:rsid w:val="00AE7E11"/>
    <w:pPr>
      <w:widowControl/>
      <w:spacing w:before="120" w:after="60" w:line="360" w:lineRule="auto"/>
      <w:jc w:val="center"/>
      <w:outlineLvl w:val="1"/>
    </w:pPr>
    <w:rPr>
      <w:rFonts w:ascii="Arial" w:hAnsi="Arial" w:cs="新宋体"/>
      <w:b/>
      <w:bCs/>
      <w:kern w:val="28"/>
      <w:sz w:val="32"/>
      <w:szCs w:val="32"/>
    </w:rPr>
  </w:style>
  <w:style w:type="character" w:customStyle="1" w:styleId="afe">
    <w:name w:val="副标题 字符"/>
    <w:basedOn w:val="a2"/>
    <w:link w:val="afd"/>
    <w:uiPriority w:val="99"/>
    <w:rsid w:val="00AE7E11"/>
    <w:rPr>
      <w:rFonts w:ascii="Arial" w:eastAsia="宋体" w:hAnsi="Arial" w:cs="新宋体"/>
      <w:b/>
      <w:bCs/>
      <w:kern w:val="28"/>
      <w:sz w:val="32"/>
      <w:szCs w:val="32"/>
    </w:rPr>
  </w:style>
  <w:style w:type="paragraph" w:styleId="23">
    <w:name w:val="Body Text 2"/>
    <w:aliases w:val="正文文本2"/>
    <w:basedOn w:val="a1"/>
    <w:link w:val="24"/>
    <w:uiPriority w:val="99"/>
    <w:qFormat/>
    <w:rsid w:val="00AE7E11"/>
    <w:pPr>
      <w:widowControl/>
      <w:spacing w:line="360" w:lineRule="auto"/>
    </w:pPr>
    <w:rPr>
      <w:rFonts w:cs="Times New Roman"/>
      <w:kern w:val="0"/>
      <w:szCs w:val="24"/>
    </w:rPr>
  </w:style>
  <w:style w:type="character" w:customStyle="1" w:styleId="24">
    <w:name w:val="正文文本 2 字符"/>
    <w:aliases w:val="正文文本2 字符"/>
    <w:basedOn w:val="a2"/>
    <w:link w:val="23"/>
    <w:uiPriority w:val="99"/>
    <w:qFormat/>
    <w:rsid w:val="00AE7E11"/>
    <w:rPr>
      <w:rFonts w:ascii="Times New Roman" w:eastAsia="宋体" w:hAnsi="Times New Roman" w:cs="Times New Roman"/>
      <w:sz w:val="24"/>
      <w:szCs w:val="24"/>
    </w:rPr>
  </w:style>
  <w:style w:type="paragraph" w:customStyle="1" w:styleId="25">
    <w:name w:val="正文缩进2字符"/>
    <w:basedOn w:val="a1"/>
    <w:link w:val="26"/>
    <w:qFormat/>
    <w:rsid w:val="00AE7E11"/>
    <w:pPr>
      <w:widowControl/>
      <w:adjustRightInd w:val="0"/>
      <w:snapToGrid w:val="0"/>
      <w:spacing w:line="480" w:lineRule="auto"/>
    </w:pPr>
    <w:rPr>
      <w:rFonts w:cs="Times New Roman"/>
      <w:kern w:val="0"/>
      <w:szCs w:val="24"/>
    </w:rPr>
  </w:style>
  <w:style w:type="character" w:customStyle="1" w:styleId="26">
    <w:name w:val="正文缩进2字符 字符"/>
    <w:basedOn w:val="a2"/>
    <w:link w:val="25"/>
    <w:qFormat/>
    <w:rsid w:val="00AE7E11"/>
    <w:rPr>
      <w:rFonts w:ascii="Times New Roman" w:eastAsia="宋体" w:hAnsi="Times New Roman" w:cs="Times New Roman"/>
      <w:sz w:val="24"/>
      <w:szCs w:val="24"/>
    </w:rPr>
  </w:style>
  <w:style w:type="paragraph" w:styleId="aff">
    <w:name w:val="Body Text Indent"/>
    <w:basedOn w:val="a1"/>
    <w:link w:val="aff0"/>
    <w:uiPriority w:val="99"/>
    <w:semiHidden/>
    <w:unhideWhenUsed/>
    <w:rsid w:val="00AE7E11"/>
    <w:pPr>
      <w:widowControl/>
      <w:spacing w:after="120" w:line="360" w:lineRule="auto"/>
      <w:ind w:leftChars="200" w:left="420"/>
    </w:pPr>
    <w:rPr>
      <w:rFonts w:cs="新宋体"/>
      <w:kern w:val="0"/>
      <w:szCs w:val="24"/>
    </w:rPr>
  </w:style>
  <w:style w:type="character" w:customStyle="1" w:styleId="aff0">
    <w:name w:val="正文文本缩进 字符"/>
    <w:basedOn w:val="a2"/>
    <w:link w:val="aff"/>
    <w:uiPriority w:val="99"/>
    <w:semiHidden/>
    <w:rsid w:val="00AE7E11"/>
    <w:rPr>
      <w:rFonts w:ascii="Times New Roman" w:eastAsia="宋体" w:hAnsi="Times New Roman" w:cs="新宋体"/>
      <w:sz w:val="24"/>
      <w:szCs w:val="24"/>
    </w:rPr>
  </w:style>
  <w:style w:type="paragraph" w:styleId="27">
    <w:name w:val="Body Text First Indent 2"/>
    <w:basedOn w:val="aff"/>
    <w:link w:val="28"/>
    <w:uiPriority w:val="99"/>
    <w:unhideWhenUsed/>
    <w:rsid w:val="00AE7E11"/>
    <w:pPr>
      <w:ind w:firstLine="420"/>
    </w:pPr>
  </w:style>
  <w:style w:type="character" w:customStyle="1" w:styleId="28">
    <w:name w:val="正文文本首行缩进 2 字符"/>
    <w:basedOn w:val="aff0"/>
    <w:link w:val="27"/>
    <w:uiPriority w:val="99"/>
    <w:rsid w:val="00AE7E11"/>
    <w:rPr>
      <w:rFonts w:ascii="Times New Roman" w:eastAsia="宋体" w:hAnsi="Times New Roman" w:cs="新宋体"/>
      <w:sz w:val="24"/>
      <w:szCs w:val="24"/>
    </w:rPr>
  </w:style>
  <w:style w:type="paragraph" w:customStyle="1" w:styleId="aff1">
    <w:name w:val="字母编号列项（一级）"/>
    <w:rsid w:val="00AE7E11"/>
    <w:pPr>
      <w:tabs>
        <w:tab w:val="num" w:pos="0"/>
        <w:tab w:val="left" w:pos="840"/>
      </w:tabs>
      <w:jc w:val="both"/>
    </w:pPr>
    <w:rPr>
      <w:rFonts w:ascii="宋体" w:eastAsia="宋体" w:hAnsi="Times New Roman" w:cs="Times New Roman"/>
      <w:sz w:val="21"/>
    </w:rPr>
  </w:style>
  <w:style w:type="paragraph" w:customStyle="1" w:styleId="aff2">
    <w:name w:val="列项——（一级）"/>
    <w:rsid w:val="00AE7E11"/>
    <w:pPr>
      <w:widowControl w:val="0"/>
      <w:jc w:val="both"/>
    </w:pPr>
    <w:rPr>
      <w:rFonts w:ascii="宋体" w:eastAsia="宋体" w:hAnsi="Times New Roman" w:cs="Times New Roman"/>
      <w:sz w:val="21"/>
    </w:rPr>
  </w:style>
  <w:style w:type="character" w:customStyle="1" w:styleId="16">
    <w:name w:val="无间隔1 字符"/>
    <w:basedOn w:val="a2"/>
    <w:link w:val="15"/>
    <w:uiPriority w:val="99"/>
    <w:rsid w:val="00AE7E11"/>
    <w:rPr>
      <w:rFonts w:ascii="Times New Roman" w:eastAsia="宋体" w:hAnsi="Times New Roman" w:cs="Times New Roman"/>
      <w:sz w:val="22"/>
      <w:szCs w:val="22"/>
    </w:rPr>
  </w:style>
  <w:style w:type="character" w:customStyle="1" w:styleId="katex-mathml">
    <w:name w:val="katex-mathml"/>
    <w:basedOn w:val="a2"/>
    <w:rsid w:val="00AE7E11"/>
  </w:style>
  <w:style w:type="character" w:customStyle="1" w:styleId="mord">
    <w:name w:val="mord"/>
    <w:basedOn w:val="a2"/>
    <w:rsid w:val="00AE7E11"/>
  </w:style>
  <w:style w:type="paragraph" w:customStyle="1" w:styleId="T3">
    <w:name w:val="T3"/>
    <w:basedOn w:val="a1"/>
    <w:link w:val="T30"/>
    <w:qFormat/>
    <w:rsid w:val="00AE7E11"/>
    <w:pPr>
      <w:keepNext/>
      <w:keepLines/>
      <w:widowControl/>
      <w:adjustRightInd w:val="0"/>
      <w:snapToGrid w:val="0"/>
      <w:spacing w:before="100" w:after="100" w:line="560" w:lineRule="exact"/>
      <w:ind w:firstLineChars="0" w:firstLine="0"/>
      <w:outlineLvl w:val="2"/>
    </w:pPr>
    <w:rPr>
      <w:rFonts w:eastAsia="方正仿宋_GBK" w:cs="Times New Roman"/>
      <w:bCs/>
      <w:kern w:val="0"/>
      <w:sz w:val="32"/>
      <w:szCs w:val="32"/>
    </w:rPr>
  </w:style>
  <w:style w:type="paragraph" w:customStyle="1" w:styleId="T4">
    <w:name w:val="T4"/>
    <w:basedOn w:val="T3"/>
    <w:link w:val="T40"/>
    <w:qFormat/>
    <w:rsid w:val="00AE7E11"/>
    <w:pPr>
      <w:outlineLvl w:val="3"/>
    </w:pPr>
  </w:style>
  <w:style w:type="character" w:customStyle="1" w:styleId="T30">
    <w:name w:val="T3 字符"/>
    <w:link w:val="T3"/>
    <w:rsid w:val="00AE7E11"/>
    <w:rPr>
      <w:rFonts w:ascii="Times New Roman" w:eastAsia="方正仿宋_GBK" w:hAnsi="Times New Roman" w:cs="Times New Roman"/>
      <w:bCs/>
      <w:sz w:val="32"/>
      <w:szCs w:val="32"/>
    </w:rPr>
  </w:style>
  <w:style w:type="character" w:customStyle="1" w:styleId="T40">
    <w:name w:val="T4 字符"/>
    <w:basedOn w:val="T30"/>
    <w:link w:val="T4"/>
    <w:rsid w:val="00AE7E11"/>
    <w:rPr>
      <w:rFonts w:ascii="Times New Roman" w:eastAsia="方正仿宋_GBK" w:hAnsi="Times New Roman" w:cs="Times New Roman"/>
      <w:bCs/>
      <w:sz w:val="32"/>
      <w:szCs w:val="32"/>
    </w:rPr>
  </w:style>
  <w:style w:type="paragraph" w:customStyle="1" w:styleId="aff3">
    <w:name w:val="表格"/>
    <w:basedOn w:val="25"/>
    <w:link w:val="aff4"/>
    <w:qFormat/>
    <w:rsid w:val="00AE7E11"/>
    <w:pPr>
      <w:spacing w:line="400" w:lineRule="exact"/>
      <w:ind w:leftChars="10" w:left="10" w:rightChars="10" w:right="10" w:firstLineChars="0" w:firstLine="0"/>
      <w:jc w:val="center"/>
    </w:pPr>
    <w:rPr>
      <w:szCs w:val="21"/>
    </w:rPr>
  </w:style>
  <w:style w:type="character" w:customStyle="1" w:styleId="aff4">
    <w:name w:val="表格 字符"/>
    <w:basedOn w:val="26"/>
    <w:link w:val="aff3"/>
    <w:qFormat/>
    <w:rsid w:val="00AE7E11"/>
    <w:rPr>
      <w:rFonts w:ascii="Times New Roman" w:eastAsia="宋体" w:hAnsi="Times New Roman" w:cs="Times New Roman"/>
      <w:sz w:val="24"/>
      <w:szCs w:val="21"/>
    </w:rPr>
  </w:style>
  <w:style w:type="paragraph" w:customStyle="1" w:styleId="aff5">
    <w:name w:val="图片/图注"/>
    <w:basedOn w:val="a1"/>
    <w:link w:val="aff6"/>
    <w:qFormat/>
    <w:rsid w:val="00AE7E11"/>
    <w:pPr>
      <w:widowControl/>
      <w:snapToGrid w:val="0"/>
      <w:spacing w:line="360" w:lineRule="auto"/>
      <w:ind w:firstLineChars="0" w:firstLine="0"/>
      <w:jc w:val="center"/>
    </w:pPr>
    <w:rPr>
      <w:rFonts w:cs="Times New Roman"/>
      <w:kern w:val="0"/>
      <w:sz w:val="28"/>
      <w:szCs w:val="21"/>
    </w:rPr>
  </w:style>
  <w:style w:type="character" w:customStyle="1" w:styleId="aff6">
    <w:name w:val="图片/图注 字符"/>
    <w:basedOn w:val="26"/>
    <w:link w:val="aff5"/>
    <w:rsid w:val="00AE7E11"/>
    <w:rPr>
      <w:rFonts w:ascii="Times New Roman" w:eastAsia="宋体" w:hAnsi="Times New Roman" w:cs="Times New Roman"/>
      <w:sz w:val="28"/>
      <w:szCs w:val="21"/>
    </w:rPr>
  </w:style>
  <w:style w:type="paragraph" w:customStyle="1" w:styleId="31">
    <w:name w:val="标题 3.1"/>
    <w:basedOn w:val="3"/>
    <w:link w:val="31CharChar"/>
    <w:rsid w:val="00AE7E11"/>
    <w:pPr>
      <w:widowControl/>
      <w:numPr>
        <w:numId w:val="8"/>
      </w:numPr>
      <w:tabs>
        <w:tab w:val="clear" w:pos="420"/>
        <w:tab w:val="left" w:pos="425"/>
        <w:tab w:val="left" w:pos="709"/>
        <w:tab w:val="left" w:pos="1440"/>
        <w:tab w:val="left" w:pos="1620"/>
      </w:tabs>
      <w:spacing w:line="360" w:lineRule="auto"/>
      <w:ind w:firstLineChars="0" w:firstLine="0"/>
    </w:pPr>
    <w:rPr>
      <w:rFonts w:ascii="宋体" w:hAnsi="宋体" w:cs="宋体"/>
      <w:kern w:val="0"/>
      <w:szCs w:val="28"/>
    </w:rPr>
  </w:style>
  <w:style w:type="paragraph" w:customStyle="1" w:styleId="TableParagraph">
    <w:name w:val="Table Paragraph"/>
    <w:basedOn w:val="a1"/>
    <w:autoRedefine/>
    <w:uiPriority w:val="1"/>
    <w:qFormat/>
    <w:rsid w:val="00AE7E11"/>
    <w:pPr>
      <w:widowControl/>
      <w:spacing w:line="520" w:lineRule="exact"/>
      <w:ind w:firstLineChars="0" w:firstLine="0"/>
      <w:jc w:val="center"/>
    </w:pPr>
    <w:rPr>
      <w:rFonts w:cs="Times New Roman"/>
      <w:kern w:val="0"/>
      <w:sz w:val="21"/>
      <w:szCs w:val="24"/>
    </w:rPr>
  </w:style>
  <w:style w:type="character" w:customStyle="1" w:styleId="MTDisplayEquationChar">
    <w:name w:val="MTDisplayEquation Char"/>
    <w:qFormat/>
    <w:rsid w:val="00AE7E11"/>
    <w:rPr>
      <w:rFonts w:ascii="仿宋_GB2312" w:eastAsia="仿宋_GB2312" w:hAnsi="Calibri"/>
      <w:color w:val="000000"/>
      <w:kern w:val="2"/>
      <w:sz w:val="32"/>
      <w:szCs w:val="22"/>
    </w:rPr>
  </w:style>
  <w:style w:type="table" w:customStyle="1" w:styleId="120">
    <w:name w:val="网格型12"/>
    <w:basedOn w:val="a3"/>
    <w:next w:val="af"/>
    <w:uiPriority w:val="59"/>
    <w:qFormat/>
    <w:rsid w:val="00AE7E1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61">
    <w:name w:val="T61"/>
    <w:basedOn w:val="a1"/>
    <w:next w:val="a1"/>
    <w:uiPriority w:val="9"/>
    <w:unhideWhenUsed/>
    <w:qFormat/>
    <w:rsid w:val="00AE7E11"/>
    <w:pPr>
      <w:keepNext/>
      <w:keepLines/>
      <w:widowControl/>
      <w:snapToGrid w:val="0"/>
      <w:spacing w:line="480" w:lineRule="auto"/>
      <w:ind w:firstLineChars="0" w:firstLine="0"/>
      <w:outlineLvl w:val="5"/>
    </w:pPr>
    <w:rPr>
      <w:rFonts w:cs="Times New Roman"/>
      <w:b/>
      <w:bCs/>
      <w:kern w:val="0"/>
      <w:szCs w:val="24"/>
    </w:rPr>
  </w:style>
  <w:style w:type="numbering" w:customStyle="1" w:styleId="111">
    <w:name w:val="无列表11"/>
    <w:next w:val="a4"/>
    <w:uiPriority w:val="99"/>
    <w:semiHidden/>
    <w:unhideWhenUsed/>
    <w:rsid w:val="00AE7E11"/>
  </w:style>
  <w:style w:type="paragraph" w:customStyle="1" w:styleId="aff7">
    <w:name w:val="表中表"/>
    <w:basedOn w:val="aff3"/>
    <w:link w:val="aff8"/>
    <w:qFormat/>
    <w:rsid w:val="00AE7E11"/>
    <w:rPr>
      <w:sz w:val="18"/>
    </w:rPr>
  </w:style>
  <w:style w:type="character" w:customStyle="1" w:styleId="aff8">
    <w:name w:val="表中表 字符"/>
    <w:basedOn w:val="aff4"/>
    <w:link w:val="aff7"/>
    <w:rsid w:val="00AE7E11"/>
    <w:rPr>
      <w:rFonts w:ascii="Times New Roman" w:eastAsia="宋体" w:hAnsi="Times New Roman" w:cs="Times New Roman"/>
      <w:sz w:val="18"/>
      <w:szCs w:val="21"/>
    </w:rPr>
  </w:style>
  <w:style w:type="paragraph" w:customStyle="1" w:styleId="TOC11">
    <w:name w:val="TOC 11"/>
    <w:basedOn w:val="a1"/>
    <w:next w:val="a1"/>
    <w:autoRedefine/>
    <w:uiPriority w:val="39"/>
    <w:unhideWhenUsed/>
    <w:rsid w:val="00AE7E11"/>
    <w:pPr>
      <w:widowControl/>
      <w:snapToGrid w:val="0"/>
      <w:spacing w:before="120" w:after="120" w:line="480" w:lineRule="auto"/>
      <w:ind w:firstLineChars="0" w:firstLine="0"/>
    </w:pPr>
    <w:rPr>
      <w:rFonts w:ascii="等线" w:eastAsia="等线" w:cs="Times New Roman"/>
      <w:b/>
      <w:bCs/>
      <w:caps/>
      <w:kern w:val="0"/>
      <w:sz w:val="20"/>
      <w:szCs w:val="20"/>
    </w:rPr>
  </w:style>
  <w:style w:type="paragraph" w:customStyle="1" w:styleId="TOC21">
    <w:name w:val="TOC 21"/>
    <w:basedOn w:val="a1"/>
    <w:next w:val="a1"/>
    <w:autoRedefine/>
    <w:uiPriority w:val="39"/>
    <w:unhideWhenUsed/>
    <w:rsid w:val="00AE7E11"/>
    <w:pPr>
      <w:widowControl/>
      <w:snapToGrid w:val="0"/>
      <w:spacing w:line="480" w:lineRule="auto"/>
      <w:ind w:left="280" w:firstLineChars="0" w:firstLine="0"/>
    </w:pPr>
    <w:rPr>
      <w:rFonts w:ascii="等线" w:eastAsia="等线" w:cs="Times New Roman"/>
      <w:smallCaps/>
      <w:kern w:val="0"/>
      <w:sz w:val="20"/>
      <w:szCs w:val="20"/>
    </w:rPr>
  </w:style>
  <w:style w:type="paragraph" w:customStyle="1" w:styleId="TOC31">
    <w:name w:val="TOC 31"/>
    <w:basedOn w:val="a1"/>
    <w:next w:val="a1"/>
    <w:autoRedefine/>
    <w:uiPriority w:val="39"/>
    <w:unhideWhenUsed/>
    <w:rsid w:val="00AE7E11"/>
    <w:pPr>
      <w:widowControl/>
      <w:snapToGrid w:val="0"/>
      <w:spacing w:line="480" w:lineRule="auto"/>
      <w:ind w:left="560" w:firstLineChars="0" w:firstLine="0"/>
    </w:pPr>
    <w:rPr>
      <w:rFonts w:ascii="等线" w:eastAsia="等线" w:cs="Times New Roman"/>
      <w:i/>
      <w:iCs/>
      <w:kern w:val="0"/>
      <w:sz w:val="20"/>
      <w:szCs w:val="20"/>
    </w:rPr>
  </w:style>
  <w:style w:type="paragraph" w:customStyle="1" w:styleId="TOC41">
    <w:name w:val="TOC 41"/>
    <w:basedOn w:val="a1"/>
    <w:next w:val="a1"/>
    <w:autoRedefine/>
    <w:uiPriority w:val="39"/>
    <w:unhideWhenUsed/>
    <w:rsid w:val="00AE7E11"/>
    <w:pPr>
      <w:widowControl/>
      <w:snapToGrid w:val="0"/>
      <w:spacing w:line="480" w:lineRule="auto"/>
      <w:ind w:left="840" w:firstLineChars="0" w:firstLine="0"/>
    </w:pPr>
    <w:rPr>
      <w:rFonts w:ascii="等线" w:eastAsia="等线" w:cs="Times New Roman"/>
      <w:kern w:val="0"/>
      <w:sz w:val="18"/>
      <w:szCs w:val="18"/>
    </w:rPr>
  </w:style>
  <w:style w:type="paragraph" w:customStyle="1" w:styleId="TOC51">
    <w:name w:val="TOC 51"/>
    <w:basedOn w:val="a1"/>
    <w:next w:val="a1"/>
    <w:autoRedefine/>
    <w:uiPriority w:val="39"/>
    <w:unhideWhenUsed/>
    <w:rsid w:val="00AE7E11"/>
    <w:pPr>
      <w:widowControl/>
      <w:snapToGrid w:val="0"/>
      <w:spacing w:line="480" w:lineRule="auto"/>
      <w:ind w:left="1120" w:firstLineChars="0" w:firstLine="0"/>
    </w:pPr>
    <w:rPr>
      <w:rFonts w:ascii="等线" w:eastAsia="等线" w:cs="Times New Roman"/>
      <w:kern w:val="0"/>
      <w:sz w:val="18"/>
      <w:szCs w:val="18"/>
    </w:rPr>
  </w:style>
  <w:style w:type="paragraph" w:customStyle="1" w:styleId="TOC61">
    <w:name w:val="TOC 61"/>
    <w:basedOn w:val="a1"/>
    <w:next w:val="a1"/>
    <w:autoRedefine/>
    <w:uiPriority w:val="39"/>
    <w:unhideWhenUsed/>
    <w:rsid w:val="00AE7E11"/>
    <w:pPr>
      <w:widowControl/>
      <w:snapToGrid w:val="0"/>
      <w:spacing w:line="480" w:lineRule="auto"/>
      <w:ind w:left="1400" w:firstLineChars="0" w:firstLine="0"/>
    </w:pPr>
    <w:rPr>
      <w:rFonts w:ascii="等线" w:eastAsia="等线" w:cs="Times New Roman"/>
      <w:kern w:val="0"/>
      <w:sz w:val="18"/>
      <w:szCs w:val="18"/>
    </w:rPr>
  </w:style>
  <w:style w:type="paragraph" w:customStyle="1" w:styleId="TOC71">
    <w:name w:val="TOC 71"/>
    <w:basedOn w:val="a1"/>
    <w:next w:val="a1"/>
    <w:autoRedefine/>
    <w:uiPriority w:val="39"/>
    <w:unhideWhenUsed/>
    <w:rsid w:val="00AE7E11"/>
    <w:pPr>
      <w:widowControl/>
      <w:snapToGrid w:val="0"/>
      <w:spacing w:line="480" w:lineRule="auto"/>
      <w:ind w:left="1680" w:firstLineChars="0" w:firstLine="0"/>
    </w:pPr>
    <w:rPr>
      <w:rFonts w:ascii="等线" w:eastAsia="等线" w:cs="Times New Roman"/>
      <w:kern w:val="0"/>
      <w:sz w:val="18"/>
      <w:szCs w:val="18"/>
    </w:rPr>
  </w:style>
  <w:style w:type="paragraph" w:customStyle="1" w:styleId="TOC81">
    <w:name w:val="TOC 81"/>
    <w:basedOn w:val="a1"/>
    <w:next w:val="a1"/>
    <w:autoRedefine/>
    <w:uiPriority w:val="39"/>
    <w:unhideWhenUsed/>
    <w:rsid w:val="00AE7E11"/>
    <w:pPr>
      <w:widowControl/>
      <w:snapToGrid w:val="0"/>
      <w:spacing w:line="480" w:lineRule="auto"/>
      <w:ind w:left="1960" w:firstLineChars="0" w:firstLine="0"/>
    </w:pPr>
    <w:rPr>
      <w:rFonts w:ascii="等线" w:eastAsia="等线" w:cs="Times New Roman"/>
      <w:kern w:val="0"/>
      <w:sz w:val="18"/>
      <w:szCs w:val="18"/>
    </w:rPr>
  </w:style>
  <w:style w:type="paragraph" w:customStyle="1" w:styleId="TOC91">
    <w:name w:val="TOC 91"/>
    <w:basedOn w:val="a1"/>
    <w:next w:val="a1"/>
    <w:autoRedefine/>
    <w:uiPriority w:val="39"/>
    <w:unhideWhenUsed/>
    <w:rsid w:val="00AE7E11"/>
    <w:pPr>
      <w:widowControl/>
      <w:snapToGrid w:val="0"/>
      <w:spacing w:line="480" w:lineRule="auto"/>
      <w:ind w:left="2240" w:firstLineChars="0" w:firstLine="0"/>
    </w:pPr>
    <w:rPr>
      <w:rFonts w:ascii="等线" w:eastAsia="等线" w:cs="Times New Roman"/>
      <w:kern w:val="0"/>
      <w:sz w:val="18"/>
      <w:szCs w:val="18"/>
    </w:rPr>
  </w:style>
  <w:style w:type="character" w:styleId="aff9">
    <w:name w:val="page number"/>
    <w:basedOn w:val="a2"/>
    <w:uiPriority w:val="99"/>
    <w:semiHidden/>
    <w:unhideWhenUsed/>
    <w:rsid w:val="00AE7E11"/>
  </w:style>
  <w:style w:type="paragraph" w:styleId="affa">
    <w:name w:val="Normal Indent"/>
    <w:basedOn w:val="a1"/>
    <w:rsid w:val="00AE7E11"/>
    <w:pPr>
      <w:widowControl/>
      <w:snapToGrid w:val="0"/>
      <w:spacing w:line="240" w:lineRule="auto"/>
      <w:ind w:firstLineChars="0" w:firstLine="420"/>
    </w:pPr>
    <w:rPr>
      <w:rFonts w:ascii="宋体" w:hAnsi="宋体" w:cs="宋体"/>
      <w:kern w:val="0"/>
      <w:sz w:val="22"/>
      <w:szCs w:val="20"/>
      <w:lang w:eastAsia="en-US"/>
    </w:rPr>
  </w:style>
  <w:style w:type="paragraph" w:styleId="affb">
    <w:name w:val="Plain Text"/>
    <w:basedOn w:val="a1"/>
    <w:link w:val="affc"/>
    <w:rsid w:val="00AE7E11"/>
    <w:pPr>
      <w:widowControl/>
      <w:snapToGrid w:val="0"/>
      <w:spacing w:line="240" w:lineRule="auto"/>
      <w:ind w:firstLineChars="0" w:firstLine="0"/>
    </w:pPr>
    <w:rPr>
      <w:rFonts w:ascii="宋体" w:hAnsi="Courier New" w:cs="Courier New"/>
      <w:kern w:val="0"/>
      <w:sz w:val="22"/>
      <w:szCs w:val="21"/>
      <w:lang w:eastAsia="en-US"/>
    </w:rPr>
  </w:style>
  <w:style w:type="character" w:customStyle="1" w:styleId="affc">
    <w:name w:val="纯文本 字符"/>
    <w:basedOn w:val="a2"/>
    <w:link w:val="affb"/>
    <w:rsid w:val="00AE7E11"/>
    <w:rPr>
      <w:rFonts w:ascii="宋体" w:eastAsia="宋体" w:hAnsi="Courier New" w:cs="Courier New"/>
      <w:sz w:val="22"/>
      <w:szCs w:val="21"/>
      <w:lang w:eastAsia="en-US"/>
    </w:rPr>
  </w:style>
  <w:style w:type="paragraph" w:styleId="29">
    <w:name w:val="Body Text Indent 2"/>
    <w:basedOn w:val="a1"/>
    <w:link w:val="2a"/>
    <w:rsid w:val="00AE7E11"/>
    <w:pPr>
      <w:widowControl/>
      <w:snapToGrid w:val="0"/>
      <w:spacing w:line="240" w:lineRule="auto"/>
      <w:ind w:firstLineChars="0" w:firstLine="630"/>
    </w:pPr>
    <w:rPr>
      <w:rFonts w:ascii="宋体" w:hAnsi="宋体" w:cs="宋体"/>
      <w:kern w:val="0"/>
      <w:sz w:val="32"/>
      <w:szCs w:val="20"/>
      <w:lang w:eastAsia="en-US"/>
    </w:rPr>
  </w:style>
  <w:style w:type="character" w:customStyle="1" w:styleId="2a">
    <w:name w:val="正文文本缩进 2 字符"/>
    <w:basedOn w:val="a2"/>
    <w:link w:val="29"/>
    <w:rsid w:val="00AE7E11"/>
    <w:rPr>
      <w:rFonts w:ascii="宋体" w:eastAsia="宋体" w:hAnsi="宋体" w:cs="宋体"/>
      <w:sz w:val="32"/>
      <w:lang w:eastAsia="en-US"/>
    </w:rPr>
  </w:style>
  <w:style w:type="table" w:customStyle="1" w:styleId="TableNormal">
    <w:name w:val="Table Normal"/>
    <w:uiPriority w:val="2"/>
    <w:semiHidden/>
    <w:unhideWhenUsed/>
    <w:qFormat/>
    <w:rsid w:val="00AE7E11"/>
    <w:rPr>
      <w:rFonts w:ascii="Times New Roman" w:eastAsia="宋体" w:hAnsi="Times New Roman" w:cs="Times New Roman"/>
    </w:rPr>
    <w:tblPr>
      <w:tblCellMar>
        <w:top w:w="0" w:type="dxa"/>
        <w:left w:w="0" w:type="dxa"/>
        <w:bottom w:w="0" w:type="dxa"/>
        <w:right w:w="0" w:type="dxa"/>
      </w:tblCellMar>
    </w:tblPr>
  </w:style>
  <w:style w:type="paragraph" w:customStyle="1" w:styleId="112">
    <w:name w:val="标题 11"/>
    <w:basedOn w:val="a1"/>
    <w:uiPriority w:val="1"/>
    <w:rsid w:val="00AE7E11"/>
    <w:pPr>
      <w:widowControl/>
      <w:snapToGrid w:val="0"/>
      <w:spacing w:line="590" w:lineRule="exact"/>
      <w:ind w:left="3" w:firstLineChars="0" w:firstLine="0"/>
      <w:outlineLvl w:val="1"/>
    </w:pPr>
    <w:rPr>
      <w:rFonts w:ascii="Microsoft JhengHei" w:eastAsia="Microsoft JhengHei" w:hAnsi="Microsoft JhengHei" w:cs="Microsoft JhengHei"/>
      <w:b/>
      <w:bCs/>
      <w:kern w:val="0"/>
      <w:sz w:val="44"/>
      <w:szCs w:val="44"/>
      <w:lang w:eastAsia="en-US"/>
    </w:rPr>
  </w:style>
  <w:style w:type="paragraph" w:customStyle="1" w:styleId="17">
    <w:name w:val="列出段落1"/>
    <w:basedOn w:val="a1"/>
    <w:rsid w:val="00AE7E11"/>
    <w:pPr>
      <w:widowControl/>
      <w:snapToGrid w:val="0"/>
      <w:spacing w:line="324" w:lineRule="auto"/>
      <w:ind w:firstLine="420"/>
    </w:pPr>
    <w:rPr>
      <w:rFonts w:ascii="宋体" w:hAnsi="宋体" w:cs="宋体"/>
      <w:kern w:val="0"/>
      <w:sz w:val="22"/>
      <w:szCs w:val="20"/>
      <w:lang w:eastAsia="en-US"/>
    </w:rPr>
  </w:style>
  <w:style w:type="paragraph" w:customStyle="1" w:styleId="2b">
    <w:name w:val="样式 首行缩进:  2 字符"/>
    <w:basedOn w:val="a1"/>
    <w:rsid w:val="00AE7E11"/>
    <w:pPr>
      <w:widowControl/>
      <w:snapToGrid w:val="0"/>
      <w:spacing w:line="360" w:lineRule="auto"/>
    </w:pPr>
    <w:rPr>
      <w:rFonts w:ascii="宋体" w:hAnsi="宋体" w:cs="宋体"/>
      <w:kern w:val="0"/>
      <w:szCs w:val="24"/>
      <w:lang w:eastAsia="en-US"/>
    </w:rPr>
  </w:style>
  <w:style w:type="paragraph" w:customStyle="1" w:styleId="p16">
    <w:name w:val="p16"/>
    <w:basedOn w:val="a1"/>
    <w:rsid w:val="00AE7E11"/>
    <w:pPr>
      <w:widowControl/>
      <w:spacing w:before="100" w:beforeAutospacing="1" w:after="100" w:afterAutospacing="1" w:line="240" w:lineRule="auto"/>
      <w:ind w:firstLineChars="0" w:firstLine="0"/>
    </w:pPr>
    <w:rPr>
      <w:rFonts w:eastAsia="等线" w:cs="Times New Roman"/>
      <w:kern w:val="0"/>
      <w:szCs w:val="24"/>
    </w:rPr>
  </w:style>
  <w:style w:type="paragraph" w:customStyle="1" w:styleId="18">
    <w:name w:val="普通(网站)1"/>
    <w:basedOn w:val="a1"/>
    <w:next w:val="ac"/>
    <w:uiPriority w:val="99"/>
    <w:unhideWhenUsed/>
    <w:rsid w:val="00AE7E11"/>
    <w:pPr>
      <w:widowControl/>
      <w:spacing w:before="100" w:beforeAutospacing="1" w:after="100" w:afterAutospacing="1" w:line="240" w:lineRule="auto"/>
      <w:ind w:firstLineChars="0" w:firstLine="0"/>
    </w:pPr>
    <w:rPr>
      <w:rFonts w:eastAsia="等线" w:cs="Times New Roman"/>
      <w:kern w:val="0"/>
      <w:szCs w:val="24"/>
    </w:rPr>
  </w:style>
  <w:style w:type="paragraph" w:styleId="affd">
    <w:name w:val="No Spacing"/>
    <w:link w:val="affe"/>
    <w:uiPriority w:val="1"/>
    <w:rsid w:val="00AE7E11"/>
    <w:rPr>
      <w:rFonts w:eastAsia="Microsoft YaHei UI"/>
      <w:sz w:val="22"/>
      <w:szCs w:val="22"/>
    </w:rPr>
  </w:style>
  <w:style w:type="character" w:customStyle="1" w:styleId="affe">
    <w:name w:val="无间隔 字符"/>
    <w:basedOn w:val="a2"/>
    <w:link w:val="affd"/>
    <w:uiPriority w:val="1"/>
    <w:rsid w:val="00AE7E11"/>
    <w:rPr>
      <w:rFonts w:eastAsia="Microsoft YaHei UI"/>
      <w:sz w:val="22"/>
      <w:szCs w:val="22"/>
    </w:rPr>
  </w:style>
  <w:style w:type="character" w:customStyle="1" w:styleId="31CharChar">
    <w:name w:val="标题 3.1 Char Char"/>
    <w:link w:val="31"/>
    <w:rsid w:val="00AE7E11"/>
    <w:rPr>
      <w:rFonts w:ascii="宋体" w:eastAsia="宋体" w:hAnsi="宋体" w:cs="宋体"/>
      <w:b/>
      <w:bCs/>
      <w:sz w:val="24"/>
      <w:szCs w:val="28"/>
    </w:rPr>
  </w:style>
  <w:style w:type="paragraph" w:customStyle="1" w:styleId="42">
    <w:name w:val="正文缩进4格"/>
    <w:basedOn w:val="a1"/>
    <w:rsid w:val="00AE7E11"/>
    <w:pPr>
      <w:widowControl/>
      <w:spacing w:line="340" w:lineRule="exact"/>
      <w:ind w:firstLineChars="0" w:firstLine="315"/>
    </w:pPr>
    <w:rPr>
      <w:rFonts w:ascii="宋体" w:cs="Times New Roman"/>
      <w:kern w:val="0"/>
      <w:szCs w:val="24"/>
    </w:rPr>
  </w:style>
  <w:style w:type="paragraph" w:styleId="34">
    <w:name w:val="List 3"/>
    <w:basedOn w:val="a1"/>
    <w:semiHidden/>
    <w:rsid w:val="00AE7E11"/>
    <w:pPr>
      <w:widowControl/>
      <w:spacing w:line="240" w:lineRule="auto"/>
      <w:ind w:left="1260" w:firstLineChars="0" w:hanging="420"/>
    </w:pPr>
    <w:rPr>
      <w:rFonts w:cs="Times New Roman"/>
      <w:kern w:val="0"/>
      <w:sz w:val="21"/>
      <w:szCs w:val="24"/>
    </w:rPr>
  </w:style>
  <w:style w:type="paragraph" w:customStyle="1" w:styleId="p0">
    <w:name w:val="p0"/>
    <w:basedOn w:val="a1"/>
    <w:qFormat/>
    <w:rsid w:val="00AE7E11"/>
    <w:pPr>
      <w:widowControl/>
      <w:spacing w:line="240" w:lineRule="auto"/>
      <w:ind w:firstLineChars="0" w:firstLine="0"/>
    </w:pPr>
    <w:rPr>
      <w:rFonts w:cs="Times New Roman"/>
      <w:kern w:val="0"/>
      <w:sz w:val="21"/>
      <w:szCs w:val="21"/>
    </w:rPr>
  </w:style>
  <w:style w:type="paragraph" w:styleId="afff">
    <w:name w:val="Revision"/>
    <w:hidden/>
    <w:uiPriority w:val="99"/>
    <w:semiHidden/>
    <w:rsid w:val="00AE7E11"/>
    <w:rPr>
      <w:rFonts w:ascii="Times New Roman" w:eastAsia="宋体" w:hAnsi="Times New Roman"/>
      <w:kern w:val="2"/>
      <w:sz w:val="28"/>
      <w:szCs w:val="22"/>
    </w:rPr>
  </w:style>
  <w:style w:type="paragraph" w:customStyle="1" w:styleId="19">
    <w:name w:val="样式1"/>
    <w:basedOn w:val="a1"/>
    <w:rsid w:val="00AE7E11"/>
    <w:pPr>
      <w:widowControl/>
      <w:tabs>
        <w:tab w:val="left" w:pos="420"/>
        <w:tab w:val="left" w:pos="709"/>
      </w:tabs>
      <w:adjustRightInd w:val="0"/>
      <w:spacing w:line="240" w:lineRule="auto"/>
      <w:ind w:left="420" w:firstLineChars="0" w:hanging="420"/>
      <w:textAlignment w:val="baseline"/>
    </w:pPr>
    <w:rPr>
      <w:rFonts w:ascii="宋体" w:hAnsi="宋体" w:cs="Times New Roman"/>
      <w:kern w:val="0"/>
      <w:sz w:val="21"/>
      <w:szCs w:val="21"/>
    </w:rPr>
  </w:style>
  <w:style w:type="character" w:styleId="afff0">
    <w:name w:val="Unresolved Mention"/>
    <w:basedOn w:val="a2"/>
    <w:uiPriority w:val="99"/>
    <w:unhideWhenUsed/>
    <w:rsid w:val="00AE7E11"/>
    <w:rPr>
      <w:color w:val="605E5C"/>
      <w:shd w:val="clear" w:color="auto" w:fill="E1DFDD"/>
    </w:rPr>
  </w:style>
  <w:style w:type="paragraph" w:customStyle="1" w:styleId="Default">
    <w:name w:val="Default"/>
    <w:rsid w:val="00AE7E11"/>
    <w:pPr>
      <w:widowControl w:val="0"/>
      <w:autoSpaceDE w:val="0"/>
      <w:autoSpaceDN w:val="0"/>
      <w:adjustRightInd w:val="0"/>
    </w:pPr>
    <w:rPr>
      <w:rFonts w:ascii="Arial" w:eastAsia="宋体" w:hAnsi="Arial" w:cs="Arial"/>
      <w:color w:val="000000"/>
      <w:sz w:val="24"/>
      <w:szCs w:val="24"/>
    </w:rPr>
  </w:style>
  <w:style w:type="paragraph" w:styleId="afff1">
    <w:name w:val="Note Heading"/>
    <w:basedOn w:val="a1"/>
    <w:next w:val="a1"/>
    <w:link w:val="afff2"/>
    <w:semiHidden/>
    <w:rsid w:val="00AE7E11"/>
    <w:pPr>
      <w:widowControl/>
      <w:spacing w:line="240" w:lineRule="auto"/>
      <w:ind w:firstLineChars="0" w:firstLine="0"/>
      <w:jc w:val="center"/>
    </w:pPr>
    <w:rPr>
      <w:rFonts w:cs="Times New Roman"/>
      <w:kern w:val="0"/>
      <w:sz w:val="21"/>
      <w:szCs w:val="24"/>
    </w:rPr>
  </w:style>
  <w:style w:type="character" w:customStyle="1" w:styleId="afff2">
    <w:name w:val="注释标题 字符"/>
    <w:basedOn w:val="a2"/>
    <w:link w:val="afff1"/>
    <w:semiHidden/>
    <w:rsid w:val="00AE7E11"/>
    <w:rPr>
      <w:rFonts w:ascii="Times New Roman" w:eastAsia="宋体" w:hAnsi="Times New Roman" w:cs="Times New Roman"/>
      <w:sz w:val="21"/>
      <w:szCs w:val="24"/>
    </w:rPr>
  </w:style>
  <w:style w:type="paragraph" w:styleId="afff3">
    <w:name w:val="E-mail Signature"/>
    <w:basedOn w:val="a1"/>
    <w:link w:val="afff4"/>
    <w:semiHidden/>
    <w:rsid w:val="00AE7E11"/>
    <w:pPr>
      <w:widowControl/>
      <w:spacing w:line="240" w:lineRule="auto"/>
      <w:ind w:firstLineChars="0" w:firstLine="0"/>
    </w:pPr>
    <w:rPr>
      <w:rFonts w:cs="Times New Roman"/>
      <w:kern w:val="0"/>
      <w:sz w:val="21"/>
      <w:szCs w:val="24"/>
    </w:rPr>
  </w:style>
  <w:style w:type="character" w:customStyle="1" w:styleId="afff4">
    <w:name w:val="电子邮件签名 字符"/>
    <w:basedOn w:val="a2"/>
    <w:link w:val="afff3"/>
    <w:semiHidden/>
    <w:rsid w:val="00AE7E11"/>
    <w:rPr>
      <w:rFonts w:ascii="Times New Roman" w:eastAsia="宋体" w:hAnsi="Times New Roman" w:cs="Times New Roman"/>
      <w:sz w:val="21"/>
      <w:szCs w:val="24"/>
    </w:rPr>
  </w:style>
  <w:style w:type="character" w:customStyle="1" w:styleId="1a">
    <w:name w:val="访问过的超链接1"/>
    <w:basedOn w:val="a2"/>
    <w:uiPriority w:val="99"/>
    <w:semiHidden/>
    <w:unhideWhenUsed/>
    <w:rsid w:val="00AE7E11"/>
    <w:rPr>
      <w:color w:val="954F72"/>
      <w:u w:val="single"/>
    </w:rPr>
  </w:style>
  <w:style w:type="character" w:customStyle="1" w:styleId="61">
    <w:name w:val="标题 6 字符1"/>
    <w:basedOn w:val="a2"/>
    <w:uiPriority w:val="9"/>
    <w:semiHidden/>
    <w:rsid w:val="00AE7E11"/>
    <w:rPr>
      <w:rFonts w:ascii="等线 Light" w:eastAsia="等线 Light" w:hAnsi="等线 Light" w:cs="Times New Roman"/>
      <w:b/>
      <w:bCs/>
      <w:sz w:val="24"/>
      <w:szCs w:val="24"/>
    </w:rPr>
  </w:style>
  <w:style w:type="character" w:customStyle="1" w:styleId="2c">
    <w:name w:val="访问过的超链接2"/>
    <w:basedOn w:val="a2"/>
    <w:uiPriority w:val="99"/>
    <w:semiHidden/>
    <w:unhideWhenUsed/>
    <w:rsid w:val="00AE7E11"/>
    <w:rPr>
      <w:color w:val="954F72"/>
      <w:u w:val="single"/>
    </w:rPr>
  </w:style>
  <w:style w:type="paragraph" w:customStyle="1" w:styleId="a">
    <w:name w:val="标题一"/>
    <w:basedOn w:val="1"/>
    <w:link w:val="afff5"/>
    <w:qFormat/>
    <w:rsid w:val="00AE7E11"/>
    <w:pPr>
      <w:pageBreakBefore/>
      <w:widowControl/>
      <w:numPr>
        <w:numId w:val="6"/>
      </w:numPr>
      <w:tabs>
        <w:tab w:val="left" w:pos="0"/>
      </w:tabs>
      <w:spacing w:beforeLines="0" w:before="340" w:afterLines="0" w:after="330" w:line="578" w:lineRule="atLeast"/>
      <w:ind w:firstLineChars="200" w:firstLine="200"/>
      <w:jc w:val="center"/>
    </w:pPr>
    <w:rPr>
      <w:rFonts w:cs="宋体"/>
      <w:color w:val="000000"/>
    </w:rPr>
  </w:style>
  <w:style w:type="paragraph" w:customStyle="1" w:styleId="a0">
    <w:name w:val="标题二"/>
    <w:basedOn w:val="2"/>
    <w:link w:val="afff6"/>
    <w:qFormat/>
    <w:rsid w:val="00AE7E11"/>
    <w:pPr>
      <w:keepNext w:val="0"/>
      <w:keepLines w:val="0"/>
      <w:widowControl/>
      <w:numPr>
        <w:numId w:val="7"/>
      </w:numPr>
      <w:tabs>
        <w:tab w:val="left" w:pos="0"/>
        <w:tab w:val="num" w:pos="360"/>
      </w:tabs>
      <w:spacing w:beforeLines="50" w:before="50" w:line="360" w:lineRule="auto"/>
      <w:ind w:firstLine="0"/>
      <w:jc w:val="center"/>
    </w:pPr>
    <w:rPr>
      <w:rFonts w:ascii="宋体" w:hAnsi="宋体" w:cs="宋体"/>
      <w:bCs w:val="0"/>
      <w:color w:val="000000"/>
      <w:szCs w:val="28"/>
    </w:rPr>
  </w:style>
  <w:style w:type="character" w:customStyle="1" w:styleId="afff5">
    <w:name w:val="标题一 字符"/>
    <w:basedOn w:val="20"/>
    <w:link w:val="a"/>
    <w:rsid w:val="00AE7E11"/>
    <w:rPr>
      <w:rFonts w:ascii="Times New Roman" w:eastAsia="宋体" w:hAnsi="Times New Roman" w:cs="宋体"/>
      <w:b/>
      <w:bCs/>
      <w:color w:val="000000"/>
      <w:kern w:val="44"/>
      <w:sz w:val="28"/>
      <w:szCs w:val="44"/>
    </w:rPr>
  </w:style>
  <w:style w:type="paragraph" w:customStyle="1" w:styleId="afff7">
    <w:name w:val="标题三"/>
    <w:basedOn w:val="3"/>
    <w:link w:val="afff8"/>
    <w:qFormat/>
    <w:rsid w:val="00AE7E11"/>
    <w:pPr>
      <w:keepNext w:val="0"/>
      <w:keepLines w:val="0"/>
      <w:widowControl/>
      <w:tabs>
        <w:tab w:val="left" w:pos="420"/>
      </w:tabs>
      <w:spacing w:line="360" w:lineRule="auto"/>
      <w:ind w:firstLineChars="0" w:firstLine="0"/>
    </w:pPr>
    <w:rPr>
      <w:rFonts w:cs="新宋体"/>
      <w:bCs w:val="0"/>
      <w:szCs w:val="24"/>
    </w:rPr>
  </w:style>
  <w:style w:type="character" w:customStyle="1" w:styleId="afff6">
    <w:name w:val="标题二 字符"/>
    <w:basedOn w:val="30"/>
    <w:link w:val="a0"/>
    <w:rsid w:val="00AE7E11"/>
    <w:rPr>
      <w:rFonts w:ascii="宋体" w:eastAsia="宋体" w:hAnsi="宋体" w:cs="宋体"/>
      <w:b/>
      <w:bCs w:val="0"/>
      <w:color w:val="000000"/>
      <w:kern w:val="2"/>
      <w:sz w:val="24"/>
      <w:szCs w:val="28"/>
    </w:rPr>
  </w:style>
  <w:style w:type="paragraph" w:customStyle="1" w:styleId="afff9">
    <w:name w:val="标题四"/>
    <w:basedOn w:val="4"/>
    <w:link w:val="afffa"/>
    <w:qFormat/>
    <w:rsid w:val="00AE7E11"/>
    <w:pPr>
      <w:keepNext w:val="0"/>
      <w:keepLines w:val="0"/>
      <w:tabs>
        <w:tab w:val="left" w:pos="420"/>
      </w:tabs>
      <w:jc w:val="both"/>
    </w:pPr>
    <w:rPr>
      <w:rFonts w:eastAsia="宋体" w:cs="新宋体"/>
      <w:sz w:val="24"/>
      <w:szCs w:val="24"/>
    </w:rPr>
  </w:style>
  <w:style w:type="character" w:customStyle="1" w:styleId="afff8">
    <w:name w:val="标题三 字符"/>
    <w:basedOn w:val="30"/>
    <w:link w:val="afff7"/>
    <w:rsid w:val="00AE7E11"/>
    <w:rPr>
      <w:rFonts w:ascii="Times New Roman" w:eastAsia="宋体" w:hAnsi="Times New Roman" w:cs="新宋体"/>
      <w:b/>
      <w:bCs w:val="0"/>
      <w:kern w:val="2"/>
      <w:sz w:val="24"/>
      <w:szCs w:val="24"/>
    </w:rPr>
  </w:style>
  <w:style w:type="paragraph" w:styleId="afffb">
    <w:name w:val="Date"/>
    <w:basedOn w:val="a1"/>
    <w:next w:val="a1"/>
    <w:link w:val="afffc"/>
    <w:uiPriority w:val="99"/>
    <w:semiHidden/>
    <w:unhideWhenUsed/>
    <w:rsid w:val="00AE7E11"/>
    <w:pPr>
      <w:widowControl/>
      <w:spacing w:line="360" w:lineRule="auto"/>
      <w:ind w:leftChars="2500" w:left="100"/>
    </w:pPr>
    <w:rPr>
      <w:rFonts w:cs="新宋体"/>
      <w:kern w:val="0"/>
      <w:szCs w:val="24"/>
    </w:rPr>
  </w:style>
  <w:style w:type="character" w:customStyle="1" w:styleId="afffc">
    <w:name w:val="日期 字符"/>
    <w:basedOn w:val="a2"/>
    <w:link w:val="afffb"/>
    <w:uiPriority w:val="99"/>
    <w:semiHidden/>
    <w:rsid w:val="00AE7E11"/>
    <w:rPr>
      <w:rFonts w:ascii="Times New Roman" w:eastAsia="宋体" w:hAnsi="Times New Roman" w:cs="新宋体"/>
      <w:sz w:val="24"/>
      <w:szCs w:val="24"/>
    </w:rPr>
  </w:style>
  <w:style w:type="character" w:customStyle="1" w:styleId="afffa">
    <w:name w:val="标题四 字符"/>
    <w:basedOn w:val="40"/>
    <w:link w:val="afff9"/>
    <w:rsid w:val="00AE7E11"/>
    <w:rPr>
      <w:rFonts w:ascii="Times New Roman" w:eastAsia="宋体" w:hAnsi="Times New Roman" w:cs="新宋体"/>
      <w:b/>
      <w:bCs/>
      <w:sz w:val="24"/>
      <w:szCs w:val="24"/>
    </w:rPr>
  </w:style>
  <w:style w:type="paragraph" w:styleId="TOC2">
    <w:name w:val="toc 2"/>
    <w:basedOn w:val="a1"/>
    <w:next w:val="a1"/>
    <w:autoRedefine/>
    <w:uiPriority w:val="39"/>
    <w:unhideWhenUsed/>
    <w:rsid w:val="00AE7E11"/>
    <w:pPr>
      <w:widowControl/>
      <w:spacing w:line="360" w:lineRule="auto"/>
      <w:ind w:leftChars="150" w:left="150"/>
    </w:pPr>
    <w:rPr>
      <w:rFonts w:cs="宋体"/>
      <w:b/>
      <w:bCs/>
      <w:smallCaps/>
      <w:kern w:val="0"/>
      <w:sz w:val="21"/>
    </w:rPr>
  </w:style>
  <w:style w:type="paragraph" w:styleId="TOC10">
    <w:name w:val="toc 1"/>
    <w:basedOn w:val="a1"/>
    <w:next w:val="a1"/>
    <w:autoRedefine/>
    <w:uiPriority w:val="39"/>
    <w:unhideWhenUsed/>
    <w:rsid w:val="00AE7E11"/>
    <w:pPr>
      <w:widowControl/>
      <w:tabs>
        <w:tab w:val="right" w:leader="dot" w:pos="8296"/>
      </w:tabs>
      <w:spacing w:line="240" w:lineRule="auto"/>
      <w:ind w:leftChars="100" w:left="100" w:rightChars="100" w:right="100" w:firstLineChars="0" w:firstLine="0"/>
    </w:pPr>
    <w:rPr>
      <w:rFonts w:cs="宋体"/>
      <w:b/>
      <w:bCs/>
      <w:caps/>
      <w:kern w:val="0"/>
      <w:sz w:val="28"/>
    </w:rPr>
  </w:style>
  <w:style w:type="paragraph" w:styleId="TOC3">
    <w:name w:val="toc 3"/>
    <w:basedOn w:val="a1"/>
    <w:next w:val="a1"/>
    <w:autoRedefine/>
    <w:uiPriority w:val="39"/>
    <w:unhideWhenUsed/>
    <w:rsid w:val="00AE7E11"/>
    <w:pPr>
      <w:widowControl/>
      <w:spacing w:line="360" w:lineRule="auto"/>
      <w:ind w:leftChars="200" w:left="200"/>
    </w:pPr>
    <w:rPr>
      <w:rFonts w:cs="宋体"/>
      <w:smallCaps/>
      <w:kern w:val="0"/>
      <w:sz w:val="21"/>
    </w:rPr>
  </w:style>
  <w:style w:type="paragraph" w:customStyle="1" w:styleId="TOC42">
    <w:name w:val="TOC 4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52">
    <w:name w:val="TOC 5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62">
    <w:name w:val="TOC 6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72">
    <w:name w:val="TOC 7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82">
    <w:name w:val="TOC 8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92">
    <w:name w:val="TOC 9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afffd">
    <w:name w:val="正文内容"/>
    <w:basedOn w:val="a1"/>
    <w:uiPriority w:val="99"/>
    <w:rsid w:val="00AE7E11"/>
    <w:pPr>
      <w:widowControl/>
      <w:spacing w:line="360" w:lineRule="auto"/>
      <w:ind w:firstLine="400"/>
    </w:pPr>
    <w:rPr>
      <w:rFonts w:cs="Times New Roman"/>
      <w:kern w:val="0"/>
      <w:szCs w:val="24"/>
    </w:rPr>
  </w:style>
  <w:style w:type="paragraph" w:customStyle="1" w:styleId="afffe">
    <w:name w:val="节"/>
    <w:basedOn w:val="a1"/>
    <w:link w:val="Char"/>
    <w:uiPriority w:val="99"/>
    <w:rsid w:val="00AE7E11"/>
    <w:pPr>
      <w:widowControl/>
      <w:spacing w:before="360" w:after="360" w:line="400" w:lineRule="atLeast"/>
      <w:ind w:firstLineChars="0" w:firstLine="0"/>
    </w:pPr>
    <w:rPr>
      <w:rFonts w:cs="黑体"/>
      <w:kern w:val="0"/>
      <w:szCs w:val="28"/>
    </w:rPr>
  </w:style>
  <w:style w:type="character" w:customStyle="1" w:styleId="Char">
    <w:name w:val="节 Char"/>
    <w:link w:val="afffe"/>
    <w:uiPriority w:val="99"/>
    <w:locked/>
    <w:rsid w:val="00AE7E11"/>
    <w:rPr>
      <w:rFonts w:ascii="Times New Roman" w:eastAsia="宋体" w:hAnsi="Times New Roman" w:cs="黑体"/>
      <w:sz w:val="24"/>
      <w:szCs w:val="28"/>
    </w:rPr>
  </w:style>
  <w:style w:type="character" w:customStyle="1" w:styleId="font21">
    <w:name w:val="font21"/>
    <w:basedOn w:val="a2"/>
    <w:qFormat/>
    <w:rsid w:val="00AE7E11"/>
    <w:rPr>
      <w:rFonts w:ascii="仿宋" w:eastAsia="仿宋" w:hAnsi="仿宋" w:cs="仿宋" w:hint="eastAsia"/>
      <w:color w:val="000000"/>
      <w:sz w:val="24"/>
      <w:szCs w:val="24"/>
      <w:u w:val="none"/>
      <w:vertAlign w:val="subscript"/>
    </w:rPr>
  </w:style>
  <w:style w:type="character" w:customStyle="1" w:styleId="font11">
    <w:name w:val="font11"/>
    <w:basedOn w:val="a2"/>
    <w:qFormat/>
    <w:rsid w:val="00AE7E11"/>
    <w:rPr>
      <w:rFonts w:ascii="仿宋" w:eastAsia="仿宋" w:hAnsi="仿宋" w:cs="仿宋" w:hint="eastAsia"/>
      <w:color w:val="000000"/>
      <w:sz w:val="24"/>
      <w:szCs w:val="24"/>
      <w:u w:val="none"/>
    </w:rPr>
  </w:style>
  <w:style w:type="numbering" w:customStyle="1" w:styleId="2d">
    <w:name w:val="无列表2"/>
    <w:next w:val="a4"/>
    <w:uiPriority w:val="99"/>
    <w:semiHidden/>
    <w:unhideWhenUsed/>
    <w:rsid w:val="00AE7E11"/>
  </w:style>
  <w:style w:type="table" w:customStyle="1" w:styleId="210">
    <w:name w:val="网格型21"/>
    <w:basedOn w:val="a3"/>
    <w:next w:val="af"/>
    <w:uiPriority w:val="39"/>
    <w:qFormat/>
    <w:rsid w:val="00AE7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FollowedHyperlink"/>
    <w:basedOn w:val="a2"/>
    <w:uiPriority w:val="99"/>
    <w:semiHidden/>
    <w:unhideWhenUsed/>
    <w:rsid w:val="00AE7E11"/>
    <w:rPr>
      <w:color w:val="954F72" w:themeColor="followedHyperlink"/>
      <w:u w:val="single"/>
    </w:rPr>
  </w:style>
  <w:style w:type="paragraph" w:customStyle="1" w:styleId="affff0">
    <w:name w:val="图注"/>
    <w:basedOn w:val="affff1"/>
    <w:qFormat/>
    <w:rsid w:val="00EA58ED"/>
    <w:rPr>
      <w:sz w:val="21"/>
      <w:szCs w:val="21"/>
    </w:rPr>
  </w:style>
  <w:style w:type="paragraph" w:customStyle="1" w:styleId="affff1">
    <w:name w:val="图"/>
    <w:basedOn w:val="a1"/>
    <w:link w:val="affff2"/>
    <w:qFormat/>
    <w:rsid w:val="00EA58ED"/>
    <w:pPr>
      <w:spacing w:line="400" w:lineRule="atLeast"/>
      <w:ind w:firstLineChars="0" w:firstLine="0"/>
      <w:jc w:val="center"/>
    </w:pPr>
    <w:rPr>
      <w:rFonts w:cs="Times New Roman"/>
      <w:szCs w:val="24"/>
    </w:rPr>
  </w:style>
  <w:style w:type="character" w:customStyle="1" w:styleId="affff2">
    <w:name w:val="图 字符"/>
    <w:link w:val="affff1"/>
    <w:rsid w:val="00EA58E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9963">
      <w:bodyDiv w:val="1"/>
      <w:marLeft w:val="0"/>
      <w:marRight w:val="0"/>
      <w:marTop w:val="0"/>
      <w:marBottom w:val="0"/>
      <w:divBdr>
        <w:top w:val="none" w:sz="0" w:space="0" w:color="auto"/>
        <w:left w:val="none" w:sz="0" w:space="0" w:color="auto"/>
        <w:bottom w:val="none" w:sz="0" w:space="0" w:color="auto"/>
        <w:right w:val="none" w:sz="0" w:space="0" w:color="auto"/>
      </w:divBdr>
      <w:divsChild>
        <w:div w:id="134446346">
          <w:marLeft w:val="0"/>
          <w:marRight w:val="0"/>
          <w:marTop w:val="0"/>
          <w:marBottom w:val="0"/>
          <w:divBdr>
            <w:top w:val="none" w:sz="0" w:space="0" w:color="auto"/>
            <w:left w:val="none" w:sz="0" w:space="0" w:color="auto"/>
            <w:bottom w:val="none" w:sz="0" w:space="0" w:color="auto"/>
            <w:right w:val="none" w:sz="0" w:space="0" w:color="auto"/>
          </w:divBdr>
        </w:div>
        <w:div w:id="1143429857">
          <w:marLeft w:val="0"/>
          <w:marRight w:val="0"/>
          <w:marTop w:val="0"/>
          <w:marBottom w:val="0"/>
          <w:divBdr>
            <w:top w:val="none" w:sz="0" w:space="0" w:color="auto"/>
            <w:left w:val="none" w:sz="0" w:space="0" w:color="auto"/>
            <w:bottom w:val="none" w:sz="0" w:space="0" w:color="auto"/>
            <w:right w:val="none" w:sz="0" w:space="0" w:color="auto"/>
          </w:divBdr>
        </w:div>
      </w:divsChild>
    </w:div>
    <w:div w:id="57359770">
      <w:bodyDiv w:val="1"/>
      <w:marLeft w:val="0"/>
      <w:marRight w:val="0"/>
      <w:marTop w:val="0"/>
      <w:marBottom w:val="0"/>
      <w:divBdr>
        <w:top w:val="none" w:sz="0" w:space="0" w:color="auto"/>
        <w:left w:val="none" w:sz="0" w:space="0" w:color="auto"/>
        <w:bottom w:val="none" w:sz="0" w:space="0" w:color="auto"/>
        <w:right w:val="none" w:sz="0" w:space="0" w:color="auto"/>
      </w:divBdr>
      <w:divsChild>
        <w:div w:id="125586713">
          <w:marLeft w:val="0"/>
          <w:marRight w:val="0"/>
          <w:marTop w:val="0"/>
          <w:marBottom w:val="0"/>
          <w:divBdr>
            <w:top w:val="none" w:sz="0" w:space="0" w:color="auto"/>
            <w:left w:val="none" w:sz="0" w:space="0" w:color="auto"/>
            <w:bottom w:val="none" w:sz="0" w:space="0" w:color="auto"/>
            <w:right w:val="none" w:sz="0" w:space="0" w:color="auto"/>
          </w:divBdr>
        </w:div>
        <w:div w:id="1574271588">
          <w:marLeft w:val="0"/>
          <w:marRight w:val="0"/>
          <w:marTop w:val="0"/>
          <w:marBottom w:val="0"/>
          <w:divBdr>
            <w:top w:val="none" w:sz="0" w:space="0" w:color="auto"/>
            <w:left w:val="none" w:sz="0" w:space="0" w:color="auto"/>
            <w:bottom w:val="none" w:sz="0" w:space="0" w:color="auto"/>
            <w:right w:val="none" w:sz="0" w:space="0" w:color="auto"/>
          </w:divBdr>
        </w:div>
      </w:divsChild>
    </w:div>
    <w:div w:id="105545436">
      <w:bodyDiv w:val="1"/>
      <w:marLeft w:val="0"/>
      <w:marRight w:val="0"/>
      <w:marTop w:val="0"/>
      <w:marBottom w:val="0"/>
      <w:divBdr>
        <w:top w:val="none" w:sz="0" w:space="0" w:color="auto"/>
        <w:left w:val="none" w:sz="0" w:space="0" w:color="auto"/>
        <w:bottom w:val="none" w:sz="0" w:space="0" w:color="auto"/>
        <w:right w:val="none" w:sz="0" w:space="0" w:color="auto"/>
      </w:divBdr>
    </w:div>
    <w:div w:id="175115396">
      <w:bodyDiv w:val="1"/>
      <w:marLeft w:val="0"/>
      <w:marRight w:val="0"/>
      <w:marTop w:val="0"/>
      <w:marBottom w:val="0"/>
      <w:divBdr>
        <w:top w:val="none" w:sz="0" w:space="0" w:color="auto"/>
        <w:left w:val="none" w:sz="0" w:space="0" w:color="auto"/>
        <w:bottom w:val="none" w:sz="0" w:space="0" w:color="auto"/>
        <w:right w:val="none" w:sz="0" w:space="0" w:color="auto"/>
      </w:divBdr>
      <w:divsChild>
        <w:div w:id="712731664">
          <w:marLeft w:val="0"/>
          <w:marRight w:val="0"/>
          <w:marTop w:val="0"/>
          <w:marBottom w:val="0"/>
          <w:divBdr>
            <w:top w:val="none" w:sz="0" w:space="0" w:color="auto"/>
            <w:left w:val="none" w:sz="0" w:space="0" w:color="auto"/>
            <w:bottom w:val="none" w:sz="0" w:space="0" w:color="auto"/>
            <w:right w:val="none" w:sz="0" w:space="0" w:color="auto"/>
          </w:divBdr>
        </w:div>
        <w:div w:id="1373380569">
          <w:marLeft w:val="0"/>
          <w:marRight w:val="0"/>
          <w:marTop w:val="0"/>
          <w:marBottom w:val="0"/>
          <w:divBdr>
            <w:top w:val="none" w:sz="0" w:space="0" w:color="auto"/>
            <w:left w:val="none" w:sz="0" w:space="0" w:color="auto"/>
            <w:bottom w:val="none" w:sz="0" w:space="0" w:color="auto"/>
            <w:right w:val="none" w:sz="0" w:space="0" w:color="auto"/>
          </w:divBdr>
        </w:div>
        <w:div w:id="1710107251">
          <w:marLeft w:val="0"/>
          <w:marRight w:val="0"/>
          <w:marTop w:val="0"/>
          <w:marBottom w:val="0"/>
          <w:divBdr>
            <w:top w:val="none" w:sz="0" w:space="0" w:color="auto"/>
            <w:left w:val="none" w:sz="0" w:space="0" w:color="auto"/>
            <w:bottom w:val="none" w:sz="0" w:space="0" w:color="auto"/>
            <w:right w:val="none" w:sz="0" w:space="0" w:color="auto"/>
          </w:divBdr>
        </w:div>
      </w:divsChild>
    </w:div>
    <w:div w:id="447315914">
      <w:bodyDiv w:val="1"/>
      <w:marLeft w:val="0"/>
      <w:marRight w:val="0"/>
      <w:marTop w:val="0"/>
      <w:marBottom w:val="0"/>
      <w:divBdr>
        <w:top w:val="none" w:sz="0" w:space="0" w:color="auto"/>
        <w:left w:val="none" w:sz="0" w:space="0" w:color="auto"/>
        <w:bottom w:val="none" w:sz="0" w:space="0" w:color="auto"/>
        <w:right w:val="none" w:sz="0" w:space="0" w:color="auto"/>
      </w:divBdr>
      <w:divsChild>
        <w:div w:id="468204202">
          <w:marLeft w:val="0"/>
          <w:marRight w:val="0"/>
          <w:marTop w:val="0"/>
          <w:marBottom w:val="0"/>
          <w:divBdr>
            <w:top w:val="none" w:sz="0" w:space="0" w:color="auto"/>
            <w:left w:val="none" w:sz="0" w:space="0" w:color="auto"/>
            <w:bottom w:val="none" w:sz="0" w:space="0" w:color="auto"/>
            <w:right w:val="none" w:sz="0" w:space="0" w:color="auto"/>
          </w:divBdr>
        </w:div>
        <w:div w:id="2015909691">
          <w:marLeft w:val="0"/>
          <w:marRight w:val="0"/>
          <w:marTop w:val="0"/>
          <w:marBottom w:val="0"/>
          <w:divBdr>
            <w:top w:val="none" w:sz="0" w:space="0" w:color="auto"/>
            <w:left w:val="none" w:sz="0" w:space="0" w:color="auto"/>
            <w:bottom w:val="none" w:sz="0" w:space="0" w:color="auto"/>
            <w:right w:val="none" w:sz="0" w:space="0" w:color="auto"/>
          </w:divBdr>
        </w:div>
      </w:divsChild>
    </w:div>
    <w:div w:id="627593329">
      <w:bodyDiv w:val="1"/>
      <w:marLeft w:val="0"/>
      <w:marRight w:val="0"/>
      <w:marTop w:val="0"/>
      <w:marBottom w:val="0"/>
      <w:divBdr>
        <w:top w:val="none" w:sz="0" w:space="0" w:color="auto"/>
        <w:left w:val="none" w:sz="0" w:space="0" w:color="auto"/>
        <w:bottom w:val="none" w:sz="0" w:space="0" w:color="auto"/>
        <w:right w:val="none" w:sz="0" w:space="0" w:color="auto"/>
      </w:divBdr>
      <w:divsChild>
        <w:div w:id="617688932">
          <w:marLeft w:val="0"/>
          <w:marRight w:val="0"/>
          <w:marTop w:val="0"/>
          <w:marBottom w:val="0"/>
          <w:divBdr>
            <w:top w:val="none" w:sz="0" w:space="0" w:color="auto"/>
            <w:left w:val="none" w:sz="0" w:space="0" w:color="auto"/>
            <w:bottom w:val="none" w:sz="0" w:space="0" w:color="auto"/>
            <w:right w:val="none" w:sz="0" w:space="0" w:color="auto"/>
          </w:divBdr>
        </w:div>
        <w:div w:id="696349111">
          <w:marLeft w:val="0"/>
          <w:marRight w:val="0"/>
          <w:marTop w:val="0"/>
          <w:marBottom w:val="0"/>
          <w:divBdr>
            <w:top w:val="none" w:sz="0" w:space="0" w:color="auto"/>
            <w:left w:val="none" w:sz="0" w:space="0" w:color="auto"/>
            <w:bottom w:val="none" w:sz="0" w:space="0" w:color="auto"/>
            <w:right w:val="none" w:sz="0" w:space="0" w:color="auto"/>
          </w:divBdr>
        </w:div>
      </w:divsChild>
    </w:div>
    <w:div w:id="674235852">
      <w:bodyDiv w:val="1"/>
      <w:marLeft w:val="0"/>
      <w:marRight w:val="0"/>
      <w:marTop w:val="0"/>
      <w:marBottom w:val="0"/>
      <w:divBdr>
        <w:top w:val="none" w:sz="0" w:space="0" w:color="auto"/>
        <w:left w:val="none" w:sz="0" w:space="0" w:color="auto"/>
        <w:bottom w:val="none" w:sz="0" w:space="0" w:color="auto"/>
        <w:right w:val="none" w:sz="0" w:space="0" w:color="auto"/>
      </w:divBdr>
    </w:div>
    <w:div w:id="692270719">
      <w:bodyDiv w:val="1"/>
      <w:marLeft w:val="0"/>
      <w:marRight w:val="0"/>
      <w:marTop w:val="0"/>
      <w:marBottom w:val="0"/>
      <w:divBdr>
        <w:top w:val="none" w:sz="0" w:space="0" w:color="auto"/>
        <w:left w:val="none" w:sz="0" w:space="0" w:color="auto"/>
        <w:bottom w:val="none" w:sz="0" w:space="0" w:color="auto"/>
        <w:right w:val="none" w:sz="0" w:space="0" w:color="auto"/>
      </w:divBdr>
      <w:divsChild>
        <w:div w:id="677729842">
          <w:marLeft w:val="0"/>
          <w:marRight w:val="0"/>
          <w:marTop w:val="0"/>
          <w:marBottom w:val="0"/>
          <w:divBdr>
            <w:top w:val="none" w:sz="0" w:space="0" w:color="auto"/>
            <w:left w:val="none" w:sz="0" w:space="0" w:color="auto"/>
            <w:bottom w:val="none" w:sz="0" w:space="0" w:color="auto"/>
            <w:right w:val="none" w:sz="0" w:space="0" w:color="auto"/>
          </w:divBdr>
        </w:div>
        <w:div w:id="1687251366">
          <w:marLeft w:val="0"/>
          <w:marRight w:val="0"/>
          <w:marTop w:val="0"/>
          <w:marBottom w:val="0"/>
          <w:divBdr>
            <w:top w:val="none" w:sz="0" w:space="0" w:color="auto"/>
            <w:left w:val="none" w:sz="0" w:space="0" w:color="auto"/>
            <w:bottom w:val="none" w:sz="0" w:space="0" w:color="auto"/>
            <w:right w:val="none" w:sz="0" w:space="0" w:color="auto"/>
          </w:divBdr>
        </w:div>
        <w:div w:id="1875117683">
          <w:marLeft w:val="0"/>
          <w:marRight w:val="0"/>
          <w:marTop w:val="0"/>
          <w:marBottom w:val="0"/>
          <w:divBdr>
            <w:top w:val="none" w:sz="0" w:space="0" w:color="auto"/>
            <w:left w:val="none" w:sz="0" w:space="0" w:color="auto"/>
            <w:bottom w:val="none" w:sz="0" w:space="0" w:color="auto"/>
            <w:right w:val="none" w:sz="0" w:space="0" w:color="auto"/>
          </w:divBdr>
        </w:div>
      </w:divsChild>
    </w:div>
    <w:div w:id="707218570">
      <w:bodyDiv w:val="1"/>
      <w:marLeft w:val="0"/>
      <w:marRight w:val="0"/>
      <w:marTop w:val="0"/>
      <w:marBottom w:val="0"/>
      <w:divBdr>
        <w:top w:val="none" w:sz="0" w:space="0" w:color="auto"/>
        <w:left w:val="none" w:sz="0" w:space="0" w:color="auto"/>
        <w:bottom w:val="none" w:sz="0" w:space="0" w:color="auto"/>
        <w:right w:val="none" w:sz="0" w:space="0" w:color="auto"/>
      </w:divBdr>
    </w:div>
    <w:div w:id="765924414">
      <w:bodyDiv w:val="1"/>
      <w:marLeft w:val="0"/>
      <w:marRight w:val="0"/>
      <w:marTop w:val="0"/>
      <w:marBottom w:val="0"/>
      <w:divBdr>
        <w:top w:val="none" w:sz="0" w:space="0" w:color="auto"/>
        <w:left w:val="none" w:sz="0" w:space="0" w:color="auto"/>
        <w:bottom w:val="none" w:sz="0" w:space="0" w:color="auto"/>
        <w:right w:val="none" w:sz="0" w:space="0" w:color="auto"/>
      </w:divBdr>
      <w:divsChild>
        <w:div w:id="550844630">
          <w:marLeft w:val="0"/>
          <w:marRight w:val="0"/>
          <w:marTop w:val="0"/>
          <w:marBottom w:val="0"/>
          <w:divBdr>
            <w:top w:val="none" w:sz="0" w:space="0" w:color="auto"/>
            <w:left w:val="none" w:sz="0" w:space="0" w:color="auto"/>
            <w:bottom w:val="none" w:sz="0" w:space="0" w:color="auto"/>
            <w:right w:val="none" w:sz="0" w:space="0" w:color="auto"/>
          </w:divBdr>
        </w:div>
        <w:div w:id="841434548">
          <w:marLeft w:val="0"/>
          <w:marRight w:val="0"/>
          <w:marTop w:val="0"/>
          <w:marBottom w:val="0"/>
          <w:divBdr>
            <w:top w:val="none" w:sz="0" w:space="0" w:color="auto"/>
            <w:left w:val="none" w:sz="0" w:space="0" w:color="auto"/>
            <w:bottom w:val="none" w:sz="0" w:space="0" w:color="auto"/>
            <w:right w:val="none" w:sz="0" w:space="0" w:color="auto"/>
          </w:divBdr>
        </w:div>
        <w:div w:id="1879853199">
          <w:marLeft w:val="0"/>
          <w:marRight w:val="0"/>
          <w:marTop w:val="0"/>
          <w:marBottom w:val="0"/>
          <w:divBdr>
            <w:top w:val="none" w:sz="0" w:space="0" w:color="auto"/>
            <w:left w:val="none" w:sz="0" w:space="0" w:color="auto"/>
            <w:bottom w:val="none" w:sz="0" w:space="0" w:color="auto"/>
            <w:right w:val="none" w:sz="0" w:space="0" w:color="auto"/>
          </w:divBdr>
        </w:div>
      </w:divsChild>
    </w:div>
    <w:div w:id="815804155">
      <w:bodyDiv w:val="1"/>
      <w:marLeft w:val="0"/>
      <w:marRight w:val="0"/>
      <w:marTop w:val="0"/>
      <w:marBottom w:val="0"/>
      <w:divBdr>
        <w:top w:val="none" w:sz="0" w:space="0" w:color="auto"/>
        <w:left w:val="none" w:sz="0" w:space="0" w:color="auto"/>
        <w:bottom w:val="none" w:sz="0" w:space="0" w:color="auto"/>
        <w:right w:val="none" w:sz="0" w:space="0" w:color="auto"/>
      </w:divBdr>
    </w:div>
    <w:div w:id="1094404169">
      <w:bodyDiv w:val="1"/>
      <w:marLeft w:val="0"/>
      <w:marRight w:val="0"/>
      <w:marTop w:val="0"/>
      <w:marBottom w:val="0"/>
      <w:divBdr>
        <w:top w:val="none" w:sz="0" w:space="0" w:color="auto"/>
        <w:left w:val="none" w:sz="0" w:space="0" w:color="auto"/>
        <w:bottom w:val="none" w:sz="0" w:space="0" w:color="auto"/>
        <w:right w:val="none" w:sz="0" w:space="0" w:color="auto"/>
      </w:divBdr>
    </w:div>
    <w:div w:id="1230733014">
      <w:bodyDiv w:val="1"/>
      <w:marLeft w:val="0"/>
      <w:marRight w:val="0"/>
      <w:marTop w:val="0"/>
      <w:marBottom w:val="0"/>
      <w:divBdr>
        <w:top w:val="none" w:sz="0" w:space="0" w:color="auto"/>
        <w:left w:val="none" w:sz="0" w:space="0" w:color="auto"/>
        <w:bottom w:val="none" w:sz="0" w:space="0" w:color="auto"/>
        <w:right w:val="none" w:sz="0" w:space="0" w:color="auto"/>
      </w:divBdr>
    </w:div>
    <w:div w:id="1470053502">
      <w:bodyDiv w:val="1"/>
      <w:marLeft w:val="0"/>
      <w:marRight w:val="0"/>
      <w:marTop w:val="0"/>
      <w:marBottom w:val="0"/>
      <w:divBdr>
        <w:top w:val="none" w:sz="0" w:space="0" w:color="auto"/>
        <w:left w:val="none" w:sz="0" w:space="0" w:color="auto"/>
        <w:bottom w:val="none" w:sz="0" w:space="0" w:color="auto"/>
        <w:right w:val="none" w:sz="0" w:space="0" w:color="auto"/>
      </w:divBdr>
      <w:divsChild>
        <w:div w:id="139880931">
          <w:marLeft w:val="0"/>
          <w:marRight w:val="0"/>
          <w:marTop w:val="0"/>
          <w:marBottom w:val="0"/>
          <w:divBdr>
            <w:top w:val="none" w:sz="0" w:space="0" w:color="auto"/>
            <w:left w:val="none" w:sz="0" w:space="0" w:color="auto"/>
            <w:bottom w:val="none" w:sz="0" w:space="0" w:color="auto"/>
            <w:right w:val="none" w:sz="0" w:space="0" w:color="auto"/>
          </w:divBdr>
        </w:div>
        <w:div w:id="236743993">
          <w:marLeft w:val="0"/>
          <w:marRight w:val="0"/>
          <w:marTop w:val="0"/>
          <w:marBottom w:val="0"/>
          <w:divBdr>
            <w:top w:val="none" w:sz="0" w:space="0" w:color="auto"/>
            <w:left w:val="none" w:sz="0" w:space="0" w:color="auto"/>
            <w:bottom w:val="none" w:sz="0" w:space="0" w:color="auto"/>
            <w:right w:val="none" w:sz="0" w:space="0" w:color="auto"/>
          </w:divBdr>
        </w:div>
        <w:div w:id="1254051325">
          <w:marLeft w:val="0"/>
          <w:marRight w:val="0"/>
          <w:marTop w:val="0"/>
          <w:marBottom w:val="0"/>
          <w:divBdr>
            <w:top w:val="none" w:sz="0" w:space="0" w:color="auto"/>
            <w:left w:val="none" w:sz="0" w:space="0" w:color="auto"/>
            <w:bottom w:val="none" w:sz="0" w:space="0" w:color="auto"/>
            <w:right w:val="none" w:sz="0" w:space="0" w:color="auto"/>
          </w:divBdr>
        </w:div>
      </w:divsChild>
    </w:div>
    <w:div w:id="1495223091">
      <w:bodyDiv w:val="1"/>
      <w:marLeft w:val="0"/>
      <w:marRight w:val="0"/>
      <w:marTop w:val="0"/>
      <w:marBottom w:val="0"/>
      <w:divBdr>
        <w:top w:val="none" w:sz="0" w:space="0" w:color="auto"/>
        <w:left w:val="none" w:sz="0" w:space="0" w:color="auto"/>
        <w:bottom w:val="none" w:sz="0" w:space="0" w:color="auto"/>
        <w:right w:val="none" w:sz="0" w:space="0" w:color="auto"/>
      </w:divBdr>
      <w:divsChild>
        <w:div w:id="935753995">
          <w:marLeft w:val="0"/>
          <w:marRight w:val="0"/>
          <w:marTop w:val="0"/>
          <w:marBottom w:val="0"/>
          <w:divBdr>
            <w:top w:val="none" w:sz="0" w:space="0" w:color="auto"/>
            <w:left w:val="none" w:sz="0" w:space="0" w:color="auto"/>
            <w:bottom w:val="none" w:sz="0" w:space="0" w:color="auto"/>
            <w:right w:val="none" w:sz="0" w:space="0" w:color="auto"/>
          </w:divBdr>
        </w:div>
        <w:div w:id="1492017285">
          <w:marLeft w:val="0"/>
          <w:marRight w:val="0"/>
          <w:marTop w:val="0"/>
          <w:marBottom w:val="0"/>
          <w:divBdr>
            <w:top w:val="none" w:sz="0" w:space="0" w:color="auto"/>
            <w:left w:val="none" w:sz="0" w:space="0" w:color="auto"/>
            <w:bottom w:val="none" w:sz="0" w:space="0" w:color="auto"/>
            <w:right w:val="none" w:sz="0" w:space="0" w:color="auto"/>
          </w:divBdr>
        </w:div>
        <w:div w:id="1624995786">
          <w:marLeft w:val="0"/>
          <w:marRight w:val="0"/>
          <w:marTop w:val="0"/>
          <w:marBottom w:val="0"/>
          <w:divBdr>
            <w:top w:val="none" w:sz="0" w:space="0" w:color="auto"/>
            <w:left w:val="none" w:sz="0" w:space="0" w:color="auto"/>
            <w:bottom w:val="none" w:sz="0" w:space="0" w:color="auto"/>
            <w:right w:val="none" w:sz="0" w:space="0" w:color="auto"/>
          </w:divBdr>
        </w:div>
      </w:divsChild>
    </w:div>
    <w:div w:id="1617560815">
      <w:bodyDiv w:val="1"/>
      <w:marLeft w:val="0"/>
      <w:marRight w:val="0"/>
      <w:marTop w:val="0"/>
      <w:marBottom w:val="0"/>
      <w:divBdr>
        <w:top w:val="none" w:sz="0" w:space="0" w:color="auto"/>
        <w:left w:val="none" w:sz="0" w:space="0" w:color="auto"/>
        <w:bottom w:val="none" w:sz="0" w:space="0" w:color="auto"/>
        <w:right w:val="none" w:sz="0" w:space="0" w:color="auto"/>
      </w:divBdr>
    </w:div>
    <w:div w:id="1911041030">
      <w:bodyDiv w:val="1"/>
      <w:marLeft w:val="0"/>
      <w:marRight w:val="0"/>
      <w:marTop w:val="0"/>
      <w:marBottom w:val="0"/>
      <w:divBdr>
        <w:top w:val="none" w:sz="0" w:space="0" w:color="auto"/>
        <w:left w:val="none" w:sz="0" w:space="0" w:color="auto"/>
        <w:bottom w:val="none" w:sz="0" w:space="0" w:color="auto"/>
        <w:right w:val="none" w:sz="0" w:space="0" w:color="auto"/>
      </w:divBdr>
      <w:divsChild>
        <w:div w:id="501511039">
          <w:marLeft w:val="0"/>
          <w:marRight w:val="0"/>
          <w:marTop w:val="0"/>
          <w:marBottom w:val="0"/>
          <w:divBdr>
            <w:top w:val="none" w:sz="0" w:space="0" w:color="auto"/>
            <w:left w:val="none" w:sz="0" w:space="0" w:color="auto"/>
            <w:bottom w:val="none" w:sz="0" w:space="0" w:color="auto"/>
            <w:right w:val="none" w:sz="0" w:space="0" w:color="auto"/>
          </w:divBdr>
        </w:div>
        <w:div w:id="1270746721">
          <w:marLeft w:val="0"/>
          <w:marRight w:val="0"/>
          <w:marTop w:val="0"/>
          <w:marBottom w:val="0"/>
          <w:divBdr>
            <w:top w:val="none" w:sz="0" w:space="0" w:color="auto"/>
            <w:left w:val="none" w:sz="0" w:space="0" w:color="auto"/>
            <w:bottom w:val="none" w:sz="0" w:space="0" w:color="auto"/>
            <w:right w:val="none" w:sz="0" w:space="0" w:color="auto"/>
          </w:divBdr>
        </w:div>
        <w:div w:id="1475105810">
          <w:marLeft w:val="0"/>
          <w:marRight w:val="0"/>
          <w:marTop w:val="0"/>
          <w:marBottom w:val="0"/>
          <w:divBdr>
            <w:top w:val="none" w:sz="0" w:space="0" w:color="auto"/>
            <w:left w:val="none" w:sz="0" w:space="0" w:color="auto"/>
            <w:bottom w:val="none" w:sz="0" w:space="0" w:color="auto"/>
            <w:right w:val="none" w:sz="0" w:space="0" w:color="auto"/>
          </w:divBdr>
        </w:div>
      </w:divsChild>
    </w:div>
    <w:div w:id="1981617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2.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2.xml" /><Relationship Id="rId5" Type="http://schemas.openxmlformats.org/officeDocument/2006/relationships/settings" Target="setting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header" Target="header3.xml" /><Relationship Id="rId101" Type="http://schemas.openxmlformats.org/officeDocument/2006/relationships/image" Target="media/deep_patent_fig1.png" /><Relationship Id="rId102" Type="http://schemas.openxmlformats.org/officeDocument/2006/relationships/image" Target="media/deep_patent_fig2.png" /><Relationship Id="rId103" Type="http://schemas.openxmlformats.org/officeDocument/2006/relationships/image" Target="media/deep_patent_fig3.png" /><Relationship Id="rIdF01" Type="http://schemas.openxmlformats.org/officeDocument/2006/relationships/image" Target="media/formula_01.png" /><Relationship Id="rIdF02" Type="http://schemas.openxmlformats.org/officeDocument/2006/relationships/image" Target="media/formula_02.png" /><Relationship Id="rIdF03" Type="http://schemas.openxmlformats.org/officeDocument/2006/relationships/image" Target="media/formula_03.png" /><Relationship Id="rIdF04" Type="http://schemas.openxmlformats.org/officeDocument/2006/relationships/image" Target="media/formula_04.png" /><Relationship Id="rIdF05" Type="http://schemas.openxmlformats.org/officeDocument/2006/relationships/image" Target="media/formula_05.png" /><Relationship Id="rIdF06" Type="http://schemas.openxmlformats.org/officeDocument/2006/relationships/image" Target="media/formula_06.png" /><Relationship Id="rIdF07" Type="http://schemas.openxmlformats.org/officeDocument/2006/relationships/image" Target="media/formula_07.png" /><Relationship Id="rIdF08" Type="http://schemas.openxmlformats.org/officeDocument/2006/relationships/image" Target="media/formula_08.png" /><Relationship Id="rIdF09" Type="http://schemas.openxmlformats.org/officeDocument/2006/relationships/image" Target="media/formula_09.png" /><Relationship Id="rIdF10" Type="http://schemas.openxmlformats.org/officeDocument/2006/relationships/image" Target="media/formula_10.png" /><Relationship Id="rIdF11" Type="http://schemas.openxmlformats.org/officeDocument/2006/relationships/image" Target="media/formula_11.png" /><Relationship Id="rIdF12" Type="http://schemas.openxmlformats.org/officeDocument/2006/relationships/image" Target="media/formula_12.png" /><Relationship Id="rIdF13" Type="http://schemas.openxmlformats.org/officeDocument/2006/relationships/image" Target="media/formula_13.png" /><Relationship Id="rIdF14" Type="http://schemas.openxmlformats.org/officeDocument/2006/relationships/image" Target="media/formula_14.png" /><Relationship Id="rIdF15" Type="http://schemas.openxmlformats.org/officeDocument/2006/relationships/image" Target="media/formula_15.png" /><Relationship Id="rIdF16" Type="http://schemas.openxmlformats.org/officeDocument/2006/relationships/image" Target="media/formula_16.png" /><Relationship Id="rIdF17" Type="http://schemas.openxmlformats.org/officeDocument/2006/relationships/image" Target="media/formula_17.png" /><Relationship Id="rIdF18" Type="http://schemas.openxmlformats.org/officeDocument/2006/relationships/image" Target="media/formula_18.png" /><Relationship Id="rIdF19" Type="http://schemas.openxmlformats.org/officeDocument/2006/relationships/image" Target="media/formula_19.png" /><Relationship Id="rIdF20" Type="http://schemas.openxmlformats.org/officeDocument/2006/relationships/image" Target="media/formula_20.png" /><Relationship Id="rIdF21" Type="http://schemas.openxmlformats.org/officeDocument/2006/relationships/image" Target="media/formula_21.png" /><Relationship Id="rIdF22" Type="http://schemas.openxmlformats.org/officeDocument/2006/relationships/image" Target="media/formula_22.png" /><Relationship Id="rIdF23" Type="http://schemas.openxmlformats.org/officeDocument/2006/relationships/image" Target="media/formula_23.png" /><Relationship Id="rIdF24" Type="http://schemas.openxmlformats.org/officeDocument/2006/relationships/image" Target="media/formula_24.png" /><Relationship Id="rIdF25" Type="http://schemas.openxmlformats.org/officeDocument/2006/relationships/image" Target="media/formula_25.png" /><Relationship Id="rIdF26" Type="http://schemas.openxmlformats.org/officeDocument/2006/relationships/image" Target="media/formula_26.png" /><Relationship Id="rIdF27" Type="http://schemas.openxmlformats.org/officeDocument/2006/relationships/image" Target="media/formula_27.png" /><Relationship Id="rIdF28" Type="http://schemas.openxmlformats.org/officeDocument/2006/relationships/image" Target="media/formula_28.png" /><Relationship Id="rIdF29" Type="http://schemas.openxmlformats.org/officeDocument/2006/relationships/image" Target="media/formula_29.png" /><Relationship Id="rIdF30" Type="http://schemas.openxmlformats.org/officeDocument/2006/relationships/image" Target="media/formula_30.png" /><Relationship Id="rIdF31" Type="http://schemas.openxmlformats.org/officeDocument/2006/relationships/image" Target="media/formula_3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9333560-26AE-47AE-ACAA-88C11D06F21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2014</TotalTime>
  <Pages>2</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Grin_ting</dc:creator>
  <cp:keywords/>
  <dc:description/>
  <cp:lastModifiedBy>铭 陈</cp:lastModifiedBy>
  <cp:revision>19</cp:revision>
  <cp:lastPrinted>2024-07-20T13:40:00Z</cp:lastPrinted>
  <dcterms:created xsi:type="dcterms:W3CDTF">2026-03-10T14:28:00Z</dcterms:created>
  <dcterms:modified xsi:type="dcterms:W3CDTF">2026-04-30T07:11:00Z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Roman,BI_x000d_
MTExtra=MT Extra_x000d_
TextFE=</vt:lpwstr>
  </property>
  <property fmtid="{D5CDD505-2E9C-101B-9397-08002B2CF9AE}" pid="3" name="MTPreferences 1">
    <vt:lpwstr>宋体_x000d_
_x000d_
[Sizes]_x000d_
Full=12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vt:lpwstr>
  </property>
  <property fmtid="{D5CDD505-2E9C-101B-9397-08002B2CF9AE}" pid="4" name="MTPreferences 2">
    <vt:lpwstr>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vt:lpwstr>
  </property>
  <property fmtid="{D5CDD505-2E9C-101B-9397-08002B2CF9AE}" pid="5" name="MTPreferences 3">
    <vt:lpwstr>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13w.eqp</vt:lpwstr>
  </property>
  <property fmtid="{D5CDD505-2E9C-101B-9397-08002B2CF9AE}" pid="7" name="MTWinEqns">
    <vt:bool>true</vt:bool>
  </property>
  <property fmtid="{D5CDD505-2E9C-101B-9397-08002B2CF9AE}" pid="8" name="KSOProductBuildVer">
    <vt:lpwstr>2052-11.8.2.12085</vt:lpwstr>
  </property>
  <property fmtid="{D5CDD505-2E9C-101B-9397-08002B2CF9AE}" pid="9" name="ICV">
    <vt:lpwstr>96CBA78DCDA9441D9960F5C99B55E7FF_12</vt:lpwstr>
  </property>
  <property fmtid="{D5CDD505-2E9C-101B-9397-08002B2CF9AE}" pid="10" name="MTEquationSection">
    <vt:lpwstr>1</vt:lpwstr>
  </property>
  <property fmtid="{D5CDD505-2E9C-101B-9397-08002B2CF9AE}" pid="11" name="MTEquationNumber2">
    <vt:lpwstr>(#E1)</vt:lpwstr>
  </property>
</Properties>
</file>