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240" w:after="220" w:line="420" w:lineRule="auto"/>
      </w:pPr>
      <w:r>
        <w:rPr>
          <w:b/>
          <w:sz w:val="32"/>
          <w:szCs w:val="32"/>
        </w:rPr>
        <w:t xml:space="preserve">一种面向工商业用户配储仿真的年度运行时负荷模型构建与接入方法</w:t>
      </w:r>
    </w:p>
    <w:p>
      <w:pPr>
        <w:spacing w:after="120" w:line="360" w:lineRule="auto"/>
      </w:pPr>
      <w:r>
        <w:rPr>
          <w:sz w:val="22"/>
          <w:szCs w:val="22"/>
        </w:rPr>
        <w:t xml:space="preserve">发明人：</w:t>
      </w:r>
    </w:p>
    <w:p>
      <w:pPr>
        <w:spacing w:after="120" w:line="360" w:lineRule="auto"/>
      </w:pPr>
      <w:r>
        <w:rPr>
          <w:sz w:val="22"/>
          <w:szCs w:val="22"/>
        </w:rPr>
        <w:t xml:space="preserve">申请（专利权）人：</w:t>
      </w:r>
    </w:p>
    <w:p>
      <w:pPr>
        <w:spacing w:after="120" w:line="360" w:lineRule="auto"/>
      </w:pPr>
      <w:r>
        <w:rPr>
          <w:sz w:val="22"/>
          <w:szCs w:val="22"/>
        </w:rPr>
        <w:t xml:space="preserve">地址：</w:t>
      </w:r>
    </w:p>
    <w:p>
      <w:pPr>
        <w:spacing w:before="240" w:after="100" w:line="360" w:lineRule="auto"/>
        <w:keepNext/>
      </w:pPr>
      <w:r>
        <w:rPr>
          <w:b/>
          <w:sz w:val="24"/>
          <w:szCs w:val="24"/>
        </w:rPr>
        <w:t xml:space="preserve">本专利的应用领域（即本专利直接所属或直接应用的具体技术领域）：</w:t>
      </w:r>
    </w:p>
    <w:p>
      <w:pPr>
        <w:spacing w:after="120" w:line="360" w:lineRule="auto"/>
      </w:pPr>
      <w:r>
        <w:t xml:space="preserve">本发明涉及电力系统负荷建模、用户侧储能规划运行仿真及配电网源荷储协同分析技术领域，尤其涉及一种面向工商业用户配储仿真的年度运行时负荷模型构建与接入方法。</w:t>
      </w:r>
    </w:p>
    <w:p>
      <w:pPr>
        <w:spacing w:after="120" w:line="360" w:lineRule="auto"/>
      </w:pPr>
      <w:r>
        <w:t xml:space="preserve">更具体地，本发明面向工商业用户储能配置测算场景，将项目工程中的运行时负荷文件、年度电价文件、节点资产绑定关系、光伏出力、变压器容量约束、无功折算比例和储能设备策略库统一组织为年度仿真上下文，使负荷模型能够直接服务于削峰填谷收益、需量电费控制、光伏消纳、变压器越限校核和储能容量搜索。</w:t>
      </w:r>
    </w:p>
    <w:p>
      <w:pPr>
        <w:spacing w:before="240" w:after="100" w:line="360" w:lineRule="auto"/>
        <w:keepNext/>
      </w:pPr>
      <w:r>
        <w:rPr>
          <w:b/>
          <w:sz w:val="24"/>
          <w:szCs w:val="24"/>
        </w:rPr>
        <w:t xml:space="preserve">本专利的任务是什么，或要解决的技术问题是什么？</w:t>
      </w:r>
    </w:p>
    <w:p>
      <w:pPr>
        <w:spacing w:after="120" w:line="360" w:lineRule="auto"/>
      </w:pPr>
      <w:r>
        <w:t xml:space="preserve">现有工商业用户储能经济性测算大多直接采用历史原始负荷数据逐日仿真，该方法虽然能够反映历史时段的实际运行情况，但本质上属于对既有数据的直接回放，难以揭示负荷变化背后的工休规律、峰谷特征和季节波动规律，也不利于解释储能经济性结果为何高、为何低以及受哪些负荷因素影响。与此同时，原始负荷数据往往维度高、波动杂、可复用性差，在多用户、多节点场景下也不便统一接入仿真模块。</w:t>
      </w:r>
    </w:p>
    <w:p>
      <w:pPr>
        <w:spacing w:after="120" w:line="360" w:lineRule="auto"/>
      </w:pPr>
      <w:r>
        <w:t xml:space="preserve">因此，本发明要解决的技术问题是：构建一种能够从历史负荷中提取运行规律、表征波动特征并形成统一接口的年度运行时负荷模型，使其既可直接用于配储仿真，又能够提高储能经济性计算结果的规律解释能力。</w:t>
      </w:r>
    </w:p>
    <w:p>
      <w:pPr>
        <w:spacing w:after="120" w:line="360" w:lineRule="auto"/>
      </w:pPr>
      <w:r>
        <w:t xml:space="preserve">进一步地，本发明还解决以下工程问题：第一，如何将散乱负荷曲线转化为可版本化、可复用、可校验的运行时模型包；第二，如何在仿真内核调用前发现日期缺失、模型编号缺失、小时列不完整、负值和非有限值等错误；第三，如何在多用户、多节点和多设备策略批量计算时减少重复解析和无效仿真；第四，如何使年度负荷模型在保留峰值、电量、峰谷形态和电价响应特征的同时支持代表日加权加速。</w:t>
      </w:r>
    </w:p>
    <w:p>
      <w:pPr>
        <w:spacing w:before="240" w:after="100" w:line="360" w:lineRule="auto"/>
        <w:keepNext/>
      </w:pPr>
      <w:r>
        <w:rPr>
          <w:b/>
          <w:sz w:val="24"/>
          <w:szCs w:val="24"/>
        </w:rPr>
        <w:t xml:space="preserve">已有技术/产品的不足：即说明与本专利的内容最相似的技术/产品，需要说明已有技术/产品的主要结构、原理、实用效果，尤其指出与本专利相比，原有技术/产品存在的缺点或不足之处。如有引用文献，需要说明出处；如有参考产品，指出其型号、厂家。对原有技术的介绍尽可能详细，可附结构原理图。</w:t>
      </w:r>
    </w:p>
    <w:p>
      <w:pPr>
        <w:spacing w:after="120" w:line="360" w:lineRule="auto"/>
      </w:pPr>
      <w:r>
        <w:t xml:space="preserve">现有技术通常包括直接利用全年逐时或15分钟级原始负荷曲线开展储能调度仿真的方法，以及采用少量典型日替代全年负荷的简化方法。前者虽然保留了原始数据细节，但对数据质量依赖高，难以提炼用户稳定运行规律，且在多年度、多场景分析中缺乏清晰的规律表达；后者虽然简化了计算，但往往仅按工作日、休息日或季节进行粗分类，无法兼顾工商业用户的特殊周、局部波动及不同时段负荷偏移，导致仿真输入过于粗糙。总体来看，现有技术普遍存在两个不足：一是“原始数据有细节但缺少规律表达”，二是“典型化处理有概括但缺少可接入的年度时序约束”。</w:t>
      </w:r>
    </w:p>
    <w:p>
      <w:pPr>
        <w:spacing w:after="120" w:line="360" w:lineRule="auto"/>
      </w:pPr>
      <w:r>
        <w:t xml:space="preserve">在工程系统层面，现有方案通常把负荷数据看作单一文件输入，缺少与节点资产、年度电价、储能设备策略、服务日历和变压器约束之间的强绑定关系。负荷数据是否覆盖365天、24个小时列是否完整、模型编号是否闭合、无功折算比例是否存在、光伏矩阵与负荷矩阵是否同维，往往没有形成可自动执行的数据契约。因此，一旦进入容量寻优或潮流计算环节，错误输入会被放大为大量失败任务。</w:t>
      </w:r>
    </w:p>
    <w:tbl>
      <w:tblPr>
        <w:tblW w:w="0" w:type="auto"/>
        <w:tblBorders>
          <w:top w:val="single" w:sz="6" w:space="0" w:color="A6A6A6"/>
          <w:left w:val="single" w:sz="6" w:space="0" w:color="A6A6A6"/>
          <w:bottom w:val="single" w:sz="6" w:space="0" w:color="A6A6A6"/>
          <w:right w:val="single" w:sz="6" w:space="0" w:color="A6A6A6"/>
          <w:insideH w:val="single" w:sz="4" w:space="0" w:color="D0D5DD"/>
          <w:insideV w:val="single" w:sz="4" w:space="0" w:color="D0D5DD"/>
        </w:tblBorders>
      </w:tblPr>
      <w:tblGrid>
        <w:gridCol w:w="2200"/>
        <w:gridCol w:w="3000"/>
        <w:gridCol w:w="3400"/>
        <w:gridCol w:w="3600"/>
      </w:tblGrid>
      <w:tr>
        <w:tc>
          <w:tcPr>
            <w:tcW w:w="2200" w:type="dxa"/>
            <w:shd w:fill="D9EAF7"/>
          </w:tcPr>
          <w:p>
            <w:pPr>
              <w:spacing w:after="60" w:line="300" w:lineRule="auto"/>
            </w:pPr>
            <w:r>
              <w:rPr>
                <w:b/>
              </w:rPr>
              <w:t xml:space="preserve">现有方式</w:t>
            </w:r>
          </w:p>
        </w:tc>
        <w:tc>
          <w:tcPr>
            <w:tcW w:w="3000" w:type="dxa"/>
            <w:shd w:fill="D9EAF7"/>
          </w:tcPr>
          <w:p>
            <w:pPr>
              <w:spacing w:after="60" w:line="300" w:lineRule="auto"/>
            </w:pPr>
            <w:r>
              <w:rPr>
                <w:b/>
              </w:rPr>
              <w:t xml:space="preserve">主要原理</w:t>
            </w:r>
          </w:p>
        </w:tc>
        <w:tc>
          <w:tcPr>
            <w:tcW w:w="3400" w:type="dxa"/>
            <w:shd w:fill="D9EAF7"/>
          </w:tcPr>
          <w:p>
            <w:pPr>
              <w:spacing w:after="60" w:line="300" w:lineRule="auto"/>
            </w:pPr>
            <w:r>
              <w:rPr>
                <w:b/>
              </w:rPr>
              <w:t xml:space="preserve">不足</w:t>
            </w:r>
          </w:p>
        </w:tc>
        <w:tc>
          <w:tcPr>
            <w:tcW w:w="3600" w:type="dxa"/>
            <w:shd w:fill="D9EAF7"/>
          </w:tcPr>
          <w:p>
            <w:pPr>
              <w:spacing w:after="60" w:line="300" w:lineRule="auto"/>
            </w:pPr>
            <w:r>
              <w:rPr>
                <w:b/>
              </w:rPr>
              <w:t xml:space="preserve">本发明改进</w:t>
            </w:r>
          </w:p>
        </w:tc>
      </w:tr>
      <w:tr>
        <w:tc>
          <w:tcPr>
            <w:tcW w:w="2200" w:type="dxa"/>
          </w:tcPr>
          <w:p>
            <w:pPr>
              <w:spacing w:after="60" w:line="300" w:lineRule="auto"/>
            </w:pPr>
            <w:r>
              <w:t xml:space="preserve">原始8760点直接回放</w:t>
            </w:r>
          </w:p>
        </w:tc>
        <w:tc>
          <w:tcPr>
            <w:tcW w:w="3000" w:type="dxa"/>
          </w:tcPr>
          <w:p>
            <w:pPr>
              <w:spacing w:after="60" w:line="300" w:lineRule="auto"/>
            </w:pPr>
            <w:r>
              <w:t xml:space="preserve">将全年逐时负荷作为仿真输入逐点运行</w:t>
            </w:r>
          </w:p>
        </w:tc>
        <w:tc>
          <w:tcPr>
            <w:tcW w:w="3400" w:type="dxa"/>
          </w:tcPr>
          <w:p>
            <w:pPr>
              <w:spacing w:after="60" w:line="300" w:lineRule="auto"/>
            </w:pPr>
            <w:r>
              <w:t xml:space="preserve">文件体量大、质量依赖高、规律解释弱、重复解析多</w:t>
            </w:r>
          </w:p>
        </w:tc>
        <w:tc>
          <w:tcPr>
            <w:tcW w:w="3600" w:type="dxa"/>
          </w:tcPr>
          <w:p>
            <w:pPr>
              <w:spacing w:after="60" w:line="300" w:lineRule="auto"/>
            </w:pPr>
            <w:r>
              <w:t xml:space="preserve">构造年度模型映射表和典型日模型库，形成可复用模型包</w:t>
            </w:r>
          </w:p>
        </w:tc>
      </w:tr>
      <w:tr>
        <w:tc>
          <w:tcPr>
            <w:tcW w:w="2200" w:type="dxa"/>
          </w:tcPr>
          <w:p>
            <w:pPr>
              <w:spacing w:after="60" w:line="300" w:lineRule="auto"/>
            </w:pPr>
            <w:r>
              <w:t xml:space="preserve">少量典型日替代</w:t>
            </w:r>
          </w:p>
        </w:tc>
        <w:tc>
          <w:tcPr>
            <w:tcW w:w="3000" w:type="dxa"/>
          </w:tcPr>
          <w:p>
            <w:pPr>
              <w:spacing w:after="60" w:line="300" w:lineRule="auto"/>
            </w:pPr>
            <w:r>
              <w:t xml:space="preserve">按工作日、周末或季节选取少数代表日</w:t>
            </w:r>
          </w:p>
        </w:tc>
        <w:tc>
          <w:tcPr>
            <w:tcW w:w="3400" w:type="dxa"/>
          </w:tcPr>
          <w:p>
            <w:pPr>
              <w:spacing w:after="60" w:line="300" w:lineRule="auto"/>
            </w:pPr>
            <w:r>
              <w:t xml:space="preserve">容易丢失年度顺序和特殊工况，无法严谨接入年收益计算</w:t>
            </w:r>
          </w:p>
        </w:tc>
        <w:tc>
          <w:tcPr>
            <w:tcW w:w="3600" w:type="dxa"/>
          </w:tcPr>
          <w:p>
            <w:pPr>
              <w:spacing w:after="60" w:line="300" w:lineRule="auto"/>
            </w:pPr>
            <w:r>
              <w:t xml:space="preserve">保留365天映射顺序，并为每一天分配模型编号</w:t>
            </w:r>
          </w:p>
        </w:tc>
      </w:tr>
      <w:tr>
        <w:tc>
          <w:tcPr>
            <w:tcW w:w="2200" w:type="dxa"/>
          </w:tcPr>
          <w:p>
            <w:pPr>
              <w:spacing w:after="60" w:line="300" w:lineRule="auto"/>
            </w:pPr>
            <w:r>
              <w:t xml:space="preserve">人工表格校验</w:t>
            </w:r>
          </w:p>
        </w:tc>
        <w:tc>
          <w:tcPr>
            <w:tcW w:w="3000" w:type="dxa"/>
          </w:tcPr>
          <w:p>
            <w:pPr>
              <w:spacing w:after="60" w:line="300" w:lineRule="auto"/>
            </w:pPr>
            <w:r>
              <w:t xml:space="preserve">人工检查列名、日期和异常值</w:t>
            </w:r>
          </w:p>
        </w:tc>
        <w:tc>
          <w:tcPr>
            <w:tcW w:w="3400" w:type="dxa"/>
          </w:tcPr>
          <w:p>
            <w:pPr>
              <w:spacing w:after="60" w:line="300" w:lineRule="auto"/>
            </w:pPr>
            <w:r>
              <w:t xml:space="preserve">漏检率高，批量项目难以维护</w:t>
            </w:r>
          </w:p>
        </w:tc>
        <w:tc>
          <w:tcPr>
            <w:tcW w:w="3600" w:type="dxa"/>
          </w:tcPr>
          <w:p>
            <w:pPr>
              <w:spacing w:after="60" w:line="300" w:lineRule="auto"/>
            </w:pPr>
            <w:r>
              <w:t xml:space="preserve">设置结构、日期、闭包、数值和节点绑定校验</w:t>
            </w:r>
          </w:p>
        </w:tc>
      </w:tr>
      <w:tr>
        <w:tc>
          <w:tcPr>
            <w:tcW w:w="2200" w:type="dxa"/>
          </w:tcPr>
          <w:p>
            <w:pPr>
              <w:spacing w:after="60" w:line="300" w:lineRule="auto"/>
            </w:pPr>
            <w:r>
              <w:t xml:space="preserve">单一负荷文件接口</w:t>
            </w:r>
          </w:p>
        </w:tc>
        <w:tc>
          <w:tcPr>
            <w:tcW w:w="3000" w:type="dxa"/>
          </w:tcPr>
          <w:p>
            <w:pPr>
              <w:spacing w:after="60" w:line="300" w:lineRule="auto"/>
            </w:pPr>
            <w:r>
              <w:t xml:space="preserve">仿真模块只读取负荷曲线</w:t>
            </w:r>
          </w:p>
        </w:tc>
        <w:tc>
          <w:tcPr>
            <w:tcW w:w="3400" w:type="dxa"/>
          </w:tcPr>
          <w:p>
            <w:pPr>
              <w:spacing w:after="60" w:line="300" w:lineRule="auto"/>
            </w:pPr>
            <w:r>
              <w:t xml:space="preserve">难以和电价、PV、变压器、策略库形成一致上下文</w:t>
            </w:r>
          </w:p>
        </w:tc>
        <w:tc>
          <w:tcPr>
            <w:tcW w:w="3600" w:type="dxa"/>
          </w:tcPr>
          <w:p>
            <w:pPr>
              <w:spacing w:after="60" w:line="300" w:lineRule="auto"/>
            </w:pPr>
            <w:r>
              <w:t xml:space="preserve">组装AnnualOperationContext类型年度运行上下文</w:t>
            </w:r>
          </w:p>
        </w:tc>
      </w:tr>
    </w:tbl>
    <w:p>
      <w:pPr>
        <w:jc w:val="center"/>
        <w:spacing w:after="180" w:line="300" w:lineRule="auto"/>
      </w:pPr>
      <w:r>
        <w:rPr>
          <w:sz w:val="18"/>
          <w:szCs w:val="18"/>
          <w:color w:val="475467"/>
        </w:rPr>
        <w:t xml:space="preserve">表1  现有负荷接入方式与本发明的差异</w:t>
      </w:r>
    </w:p>
    <w:p>
      <w:pPr>
        <w:spacing w:before="240" w:after="100" w:line="360" w:lineRule="auto"/>
        <w:keepNext/>
      </w:pPr>
      <w:r>
        <w:rPr>
          <w:b/>
          <w:sz w:val="24"/>
          <w:szCs w:val="24"/>
        </w:rPr>
        <w:t xml:space="preserve">本专利的内容：应说明本专利达到目的或解决问题的技术手段。包括产品的组成、结构，尤其说明各组成部分之间的相互关系，例如连接关系、被作用的工作电流或信号的走向。写明本专利的工作原理，本专利与现有技术的区别点。</w:t>
      </w:r>
    </w:p>
    <w:p>
      <w:pPr>
        <w:spacing w:before="180" w:after="80" w:line="360" w:lineRule="auto"/>
        <w:keepNext/>
      </w:pPr>
      <w:r>
        <w:rPr>
          <w:b/>
          <w:sz w:val="22"/>
          <w:szCs w:val="22"/>
          <w:color w:val="1F4E79"/>
        </w:rPr>
        <w:t xml:space="preserve">1. 总体结构</w:t>
      </w:r>
    </w:p>
    <w:p>
      <w:pPr>
        <w:spacing w:after="120" w:line="360" w:lineRule="auto"/>
      </w:pPr>
      <w:r>
        <w:t xml:space="preserve">本发明将年度运行时负荷模型定义为由年度模型映射表、典型日模型库、模型元数据和校验报告组成的运行时模型包。年度模型映射表描述一年365天中每一天引用的内部模型编号；典型日模型库保存每个内部模型编号对应的24点负荷曲线；模型元数据记录节点编号、模型年份、单位、无功/有功折算比例、文件版本和数据来源；校验报告记录结构、日期、编号闭包和数值合法性。</w:t>
      </w:r>
    </w:p>
    <w:p>
      <w:pPr>
        <w:jc w:val="center"/>
        <w:spacing w:before="120" w:after="80"/>
      </w:pPr>
      <w:r>
        <w:drawing>
          <wp:inline distT="0" distB="0" distL="0" distR="0">
            <wp:extent cx="5989320" cy="3493770"/>
            <wp:effectExtent l="0" t="0" r="0" b="0"/>
            <wp:docPr id="1" name="图1_年度运行负荷模型构建与接入系统架构.png"/>
            <wp:cNvGraphicFramePr>
              <a:graphicFrameLocks noChangeAspect="1"/>
            </wp:cNvGraphicFramePr>
            <a:graphic>
              <a:graphicData uri="http://schemas.openxmlformats.org/drawingml/2006/picture">
                <pic:pic>
                  <pic:nvPicPr>
                    <pic:cNvPr id="1" name="图1_年度运行负荷模型构建与接入系统架构.png"/>
                    <pic:cNvPicPr/>
                  </pic:nvPicPr>
                  <pic:blipFill>
                    <a:blip r:embed="rId900"/>
                    <a:stretch>
                      <a:fillRect/>
                    </a:stretch>
                  </pic:blipFill>
                  <pic:spPr>
                    <a:xfrm>
                      <a:off x="0" y="0"/>
                      <a:ext cx="5989320" cy="3493770"/>
                    </a:xfrm>
                    <a:prstGeom prst="rect">
                      <a:avLst/>
                    </a:prstGeom>
                  </pic:spPr>
                </pic:pic>
              </a:graphicData>
            </a:graphic>
          </wp:inline>
        </w:drawing>
      </w:r>
    </w:p>
    <w:p>
      <w:pPr>
        <w:jc w:val="center"/>
        <w:spacing w:after="180" w:line="300" w:lineRule="auto"/>
      </w:pPr>
      <w:r>
        <w:rPr>
          <w:sz w:val="18"/>
          <w:szCs w:val="18"/>
          <w:color w:val="475467"/>
        </w:rPr>
        <w:t xml:space="preserve">图1  年度运行时负荷模型构建与接入系统架构</w:t>
      </w:r>
    </w:p>
    <w:p>
      <w:pPr>
        <w:spacing w:before="180" w:after="80" w:line="360" w:lineRule="auto"/>
        <w:keepNext/>
      </w:pPr>
      <w:r>
        <w:rPr>
          <w:b/>
          <w:sz w:val="22"/>
          <w:szCs w:val="22"/>
          <w:color w:val="1F4E79"/>
        </w:rPr>
        <w:t xml:space="preserve">2. 日负荷特征建模</w:t>
      </w:r>
    </w:p>
    <w:p>
      <w:pPr>
        <w:spacing w:after="120" w:line="360" w:lineRule="auto"/>
      </w:pPr>
      <w:r>
        <w:t xml:space="preserve">对采集到的工商业用户历史负荷曲线进行小时级对齐，得到第d天的24点负荷向量。</w:t>
      </w:r>
    </w:p>
    <w:p>
      <w:pPr>
        <w:jc w:val="center"/>
        <w:spacing w:before="120" w:after="80"/>
      </w:pPr>
      <w:r>
        <w:drawing>
          <wp:inline distT="0" distB="0" distL="0" distR="0">
            <wp:extent cx="5715000" cy="698500"/>
            <wp:effectExtent l="0" t="0" r="0" b="0"/>
            <wp:docPr id="2" name="formula_01_daily_vector.png"/>
            <wp:cNvGraphicFramePr>
              <a:graphicFrameLocks noChangeAspect="1"/>
            </wp:cNvGraphicFramePr>
            <a:graphic>
              <a:graphicData uri="http://schemas.openxmlformats.org/drawingml/2006/picture">
                <pic:pic>
                  <pic:nvPicPr>
                    <pic:cNvPr id="2" name="formula_01_daily_vector.png"/>
                    <pic:cNvPicPr/>
                  </pic:nvPicPr>
                  <pic:blipFill>
                    <a:blip r:embed="rId901"/>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式（1）日负荷向量。</w:t>
      </w:r>
    </w:p>
    <w:p>
      <w:pPr>
        <w:spacing w:after="120" w:line="360" w:lineRule="auto"/>
      </w:pPr>
      <w:r>
        <w:t xml:space="preserve">基于日负荷向量提取日电量、形状向量、峰谷差、正负爬坡率、波动系数和工况标签。</w:t>
      </w:r>
    </w:p>
    <w:p>
      <w:pPr>
        <w:jc w:val="center"/>
        <w:spacing w:before="120" w:after="80"/>
      </w:pPr>
      <w:r>
        <w:drawing>
          <wp:inline distT="0" distB="0" distL="0" distR="0">
            <wp:extent cx="5715000" cy="698500"/>
            <wp:effectExtent l="0" t="0" r="0" b="0"/>
            <wp:docPr id="3" name="formula_02_daily_energy.png"/>
            <wp:cNvGraphicFramePr>
              <a:graphicFrameLocks noChangeAspect="1"/>
            </wp:cNvGraphicFramePr>
            <a:graphic>
              <a:graphicData uri="http://schemas.openxmlformats.org/drawingml/2006/picture">
                <pic:pic>
                  <pic:nvPicPr>
                    <pic:cNvPr id="3" name="formula_02_daily_energy.png"/>
                    <pic:cNvPicPr/>
                  </pic:nvPicPr>
                  <pic:blipFill>
                    <a:blip r:embed="rId902"/>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式（2）日电量计算，其中Δt为时间步长。</w:t>
      </w:r>
    </w:p>
    <w:p>
      <w:pPr>
        <w:jc w:val="center"/>
        <w:spacing w:before="120" w:after="80"/>
      </w:pPr>
      <w:r>
        <w:drawing>
          <wp:inline distT="0" distB="0" distL="0" distR="0">
            <wp:extent cx="5715000" cy="698500"/>
            <wp:effectExtent l="0" t="0" r="0" b="0"/>
            <wp:docPr id="4" name="formula_03_shape_vector.png"/>
            <wp:cNvGraphicFramePr>
              <a:graphicFrameLocks noChangeAspect="1"/>
            </wp:cNvGraphicFramePr>
            <a:graphic>
              <a:graphicData uri="http://schemas.openxmlformats.org/drawingml/2006/picture">
                <pic:pic>
                  <pic:nvPicPr>
                    <pic:cNvPr id="4" name="formula_03_shape_vector.png"/>
                    <pic:cNvPicPr/>
                  </pic:nvPicPr>
                  <pic:blipFill>
                    <a:blip r:embed="rId903"/>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式（3）形状归一化，用于将日负荷形状与能量尺度分离。</w:t>
      </w:r>
    </w:p>
    <w:p>
      <w:pPr>
        <w:jc w:val="center"/>
        <w:spacing w:before="120" w:after="80"/>
      </w:pPr>
      <w:r>
        <w:drawing>
          <wp:inline distT="0" distB="0" distL="0" distR="0">
            <wp:extent cx="5715000" cy="698500"/>
            <wp:effectExtent l="0" t="0" r="0" b="0"/>
            <wp:docPr id="5" name="formula_04_feature_tensor.png"/>
            <wp:cNvGraphicFramePr>
              <a:graphicFrameLocks noChangeAspect="1"/>
            </wp:cNvGraphicFramePr>
            <a:graphic>
              <a:graphicData uri="http://schemas.openxmlformats.org/drawingml/2006/picture">
                <pic:pic>
                  <pic:nvPicPr>
                    <pic:cNvPr id="5" name="formula_04_feature_tensor.png"/>
                    <pic:cNvPicPr/>
                  </pic:nvPicPr>
                  <pic:blipFill>
                    <a:blip r:embed="rId904"/>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式（4）日特征张量，χ(d)用于表达工作日、节假日、季节和班次。</w:t>
      </w:r>
    </w:p>
    <w:p>
      <w:pPr>
        <w:spacing w:before="180" w:after="80" w:line="360" w:lineRule="auto"/>
        <w:keepNext/>
      </w:pPr>
      <w:r>
        <w:rPr>
          <w:b/>
          <w:sz w:val="22"/>
          <w:szCs w:val="22"/>
          <w:color w:val="1F4E79"/>
        </w:rPr>
        <w:t xml:space="preserve">3. 典型日模型库与年度映射表生成</w:t>
      </w:r>
    </w:p>
    <w:p>
      <w:pPr>
        <w:spacing w:after="120" w:line="360" w:lineRule="auto"/>
      </w:pPr>
      <w:r>
        <w:t xml:space="preserve">本发明不简单按工作日/休息日分类，而是根据负荷形状相似度、日电量偏差和日历工况惩罚确定典型日模型归属。</w:t>
      </w:r>
    </w:p>
    <w:p>
      <w:pPr>
        <w:jc w:val="center"/>
        <w:spacing w:before="120" w:after="80"/>
      </w:pPr>
      <w:r>
        <w:drawing>
          <wp:inline distT="0" distB="0" distL="0" distR="0">
            <wp:extent cx="5715000" cy="698500"/>
            <wp:effectExtent l="0" t="0" r="0" b="0"/>
            <wp:docPr id="6" name="formula_05_model_assignment.png"/>
            <wp:cNvGraphicFramePr>
              <a:graphicFrameLocks noChangeAspect="1"/>
            </wp:cNvGraphicFramePr>
            <a:graphic>
              <a:graphicData uri="http://schemas.openxmlformats.org/drawingml/2006/picture">
                <pic:pic>
                  <pic:nvPicPr>
                    <pic:cNvPr id="6" name="formula_05_model_assignment.png"/>
                    <pic:cNvPicPr/>
                  </pic:nvPicPr>
                  <pic:blipFill>
                    <a:blip r:embed="rId905"/>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式（5）典型日模型归属准则。</w:t>
      </w:r>
    </w:p>
    <w:p>
      <w:pPr>
        <w:spacing w:after="120" w:line="360" w:lineRule="auto"/>
      </w:pPr>
      <w:r>
        <w:t xml:space="preserve">得到典型日归属后，生成年度模型映射表Y和典型日模型库L。年度模型映射表中的每一行对应年度中的一天，典型日模型库中的每一行对应一个24点负荷模型。</w:t>
      </w:r>
    </w:p>
    <w:p>
      <w:pPr>
        <w:jc w:val="center"/>
        <w:spacing w:before="120" w:after="80"/>
      </w:pPr>
      <w:r>
        <w:drawing>
          <wp:inline distT="0" distB="0" distL="0" distR="0">
            <wp:extent cx="5715000" cy="698500"/>
            <wp:effectExtent l="0" t="0" r="0" b="0"/>
            <wp:docPr id="7" name="formula_06_year_map.png"/>
            <wp:cNvGraphicFramePr>
              <a:graphicFrameLocks noChangeAspect="1"/>
            </wp:cNvGraphicFramePr>
            <a:graphic>
              <a:graphicData uri="http://schemas.openxmlformats.org/drawingml/2006/picture">
                <pic:pic>
                  <pic:nvPicPr>
                    <pic:cNvPr id="7" name="formula_06_year_map.png"/>
                    <pic:cNvPicPr/>
                  </pic:nvPicPr>
                  <pic:blipFill>
                    <a:blip r:embed="rId906"/>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式（6）年度模型映射表。</w:t>
      </w:r>
    </w:p>
    <w:p>
      <w:pPr>
        <w:jc w:val="center"/>
        <w:spacing w:before="120" w:after="80"/>
      </w:pPr>
      <w:r>
        <w:drawing>
          <wp:inline distT="0" distB="0" distL="0" distR="0">
            <wp:extent cx="5715000" cy="698500"/>
            <wp:effectExtent l="0" t="0" r="0" b="0"/>
            <wp:docPr id="8" name="formula_07_library.png"/>
            <wp:cNvGraphicFramePr>
              <a:graphicFrameLocks noChangeAspect="1"/>
            </wp:cNvGraphicFramePr>
            <a:graphic>
              <a:graphicData uri="http://schemas.openxmlformats.org/drawingml/2006/picture">
                <pic:pic>
                  <pic:nvPicPr>
                    <pic:cNvPr id="8" name="formula_07_library.png"/>
                    <pic:cNvPicPr/>
                  </pic:nvPicPr>
                  <pic:blipFill>
                    <a:blip r:embed="rId907"/>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式（7）典型日模型库。</w:t>
      </w:r>
    </w:p>
    <w:p>
      <w:pPr>
        <w:jc w:val="center"/>
        <w:spacing w:before="120" w:after="80"/>
      </w:pPr>
      <w:r>
        <w:drawing>
          <wp:inline distT="0" distB="0" distL="0" distR="0">
            <wp:extent cx="5989320" cy="3393948"/>
            <wp:effectExtent l="0" t="0" r="0" b="0"/>
            <wp:docPr id="9" name="图2_年度映射表与典型日模型库重建365x24矩阵.png"/>
            <wp:cNvGraphicFramePr>
              <a:graphicFrameLocks noChangeAspect="1"/>
            </wp:cNvGraphicFramePr>
            <a:graphic>
              <a:graphicData uri="http://schemas.openxmlformats.org/drawingml/2006/picture">
                <pic:pic>
                  <pic:nvPicPr>
                    <pic:cNvPr id="9" name="图2_年度映射表与典型日模型库重建365x24矩阵.png"/>
                    <pic:cNvPicPr/>
                  </pic:nvPicPr>
                  <pic:blipFill>
                    <a:blip r:embed="rId908"/>
                    <a:stretch>
                      <a:fillRect/>
                    </a:stretch>
                  </pic:blipFill>
                  <pic:spPr>
                    <a:xfrm>
                      <a:off x="0" y="0"/>
                      <a:ext cx="5989320" cy="3393948"/>
                    </a:xfrm>
                    <a:prstGeom prst="rect">
                      <a:avLst/>
                    </a:prstGeom>
                  </pic:spPr>
                </pic:pic>
              </a:graphicData>
            </a:graphic>
          </wp:inline>
        </w:drawing>
      </w:r>
    </w:p>
    <w:p>
      <w:pPr>
        <w:jc w:val="center"/>
        <w:spacing w:after="180" w:line="300" w:lineRule="auto"/>
      </w:pPr>
      <w:r>
        <w:rPr>
          <w:sz w:val="18"/>
          <w:szCs w:val="18"/>
          <w:color w:val="475467"/>
        </w:rPr>
        <w:t xml:space="preserve">图2  年度映射表与典型日模型库重建365×24负荷矩阵</w:t>
      </w:r>
    </w:p>
    <w:p>
      <w:pPr>
        <w:spacing w:before="180" w:after="80" w:line="360" w:lineRule="auto"/>
        <w:keepNext/>
      </w:pPr>
      <w:r>
        <w:rPr>
          <w:b/>
          <w:sz w:val="22"/>
          <w:szCs w:val="22"/>
          <w:color w:val="1F4E79"/>
        </w:rPr>
        <w:t xml:space="preserve">4. 年度负荷矩阵重建与运行时数据契约</w:t>
      </w:r>
    </w:p>
    <w:p>
      <w:pPr>
        <w:spacing w:after="120" w:line="360" w:lineRule="auto"/>
      </w:pPr>
      <w:r>
        <w:t xml:space="preserve">在储能仿真调用时，根据年度映射表读取每一天对应的典型日曲线，并叠加残差校正项，得到365×24年度负荷矩阵。</w:t>
      </w:r>
    </w:p>
    <w:p>
      <w:pPr>
        <w:jc w:val="center"/>
        <w:spacing w:before="120" w:after="80"/>
      </w:pPr>
      <w:r>
        <w:drawing>
          <wp:inline distT="0" distB="0" distL="0" distR="0">
            <wp:extent cx="5715000" cy="698500"/>
            <wp:effectExtent l="0" t="0" r="0" b="0"/>
            <wp:docPr id="10" name="formula_08_reconstruction.png"/>
            <wp:cNvGraphicFramePr>
              <a:graphicFrameLocks noChangeAspect="1"/>
            </wp:cNvGraphicFramePr>
            <a:graphic>
              <a:graphicData uri="http://schemas.openxmlformats.org/drawingml/2006/picture">
                <pic:pic>
                  <pic:nvPicPr>
                    <pic:cNvPr id="10" name="formula_08_reconstruction.png"/>
                    <pic:cNvPicPr/>
                  </pic:nvPicPr>
                  <pic:blipFill>
                    <a:blip r:embed="rId909"/>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式（8）年度负荷重建算子。</w:t>
      </w:r>
    </w:p>
    <w:p>
      <w:pPr>
        <w:jc w:val="center"/>
        <w:spacing w:before="120" w:after="80"/>
      </w:pPr>
      <w:r>
        <w:drawing>
          <wp:inline distT="0" distB="0" distL="0" distR="0">
            <wp:extent cx="5715000" cy="698500"/>
            <wp:effectExtent l="0" t="0" r="0" b="0"/>
            <wp:docPr id="11" name="formula_09_residual.png"/>
            <wp:cNvGraphicFramePr>
              <a:graphicFrameLocks noChangeAspect="1"/>
            </wp:cNvGraphicFramePr>
            <a:graphic>
              <a:graphicData uri="http://schemas.openxmlformats.org/drawingml/2006/picture">
                <pic:pic>
                  <pic:nvPicPr>
                    <pic:cNvPr id="11" name="formula_09_residual.png"/>
                    <pic:cNvPicPr/>
                  </pic:nvPicPr>
                  <pic:blipFill>
                    <a:blip r:embed="rId910"/>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式（9）残差校正项。</w:t>
      </w:r>
    </w:p>
    <w:p>
      <w:pPr>
        <w:jc w:val="center"/>
        <w:spacing w:before="120" w:after="80"/>
      </w:pPr>
      <w:r>
        <w:drawing>
          <wp:inline distT="0" distB="0" distL="0" distR="0">
            <wp:extent cx="5715000" cy="698500"/>
            <wp:effectExtent l="0" t="0" r="0" b="0"/>
            <wp:docPr id="12" name="formula_10_annual_matrix.png"/>
            <wp:cNvGraphicFramePr>
              <a:graphicFrameLocks noChangeAspect="1"/>
            </wp:cNvGraphicFramePr>
            <a:graphic>
              <a:graphicData uri="http://schemas.openxmlformats.org/drawingml/2006/picture">
                <pic:pic>
                  <pic:nvPicPr>
                    <pic:cNvPr id="12" name="formula_10_annual_matrix.png"/>
                    <pic:cNvPicPr/>
                  </pic:nvPicPr>
                  <pic:blipFill>
                    <a:blip r:embed="rId911"/>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式（10）重建后的365×24非负负荷矩阵。</w:t>
      </w:r>
    </w:p>
    <w:p>
      <w:pPr>
        <w:spacing w:after="120" w:line="360" w:lineRule="auto"/>
      </w:pPr>
      <w:r>
        <w:t xml:space="preserve">为防止错误输入进入优化内核，本发明建立运行时数据契约。契约至少包括：年度映射表必须具有365行，date应连续不重复或day_index为0至364连续整数；internal_model_id必须为非负整数；模型库必须包含internal_model_id及h00至h23共24个小时列；模型库编号必须唯一；映射表引用的所有模型编号必须存在于模型库；所有负荷值必须为有限非负数。</w:t>
      </w:r>
    </w:p>
    <w:p>
      <w:pPr>
        <w:jc w:val="center"/>
        <w:spacing w:before="120" w:after="80"/>
      </w:pPr>
      <w:r>
        <w:drawing>
          <wp:inline distT="0" distB="0" distL="0" distR="0">
            <wp:extent cx="5715000" cy="698500"/>
            <wp:effectExtent l="0" t="0" r="0" b="0"/>
            <wp:docPr id="13" name="formula_11_validity.png"/>
            <wp:cNvGraphicFramePr>
              <a:graphicFrameLocks noChangeAspect="1"/>
            </wp:cNvGraphicFramePr>
            <a:graphic>
              <a:graphicData uri="http://schemas.openxmlformats.org/drawingml/2006/picture">
                <pic:pic>
                  <pic:nvPicPr>
                    <pic:cNvPr id="13" name="formula_11_validity.png"/>
                    <pic:cNvPicPr/>
                  </pic:nvPicPr>
                  <pic:blipFill>
                    <a:blip r:embed="rId912"/>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式（11）运行时数据契约。</w:t>
      </w:r>
    </w:p>
    <w:tbl>
      <w:tblPr>
        <w:tblW w:w="0" w:type="auto"/>
        <w:tblBorders>
          <w:top w:val="single" w:sz="6" w:space="0" w:color="A6A6A6"/>
          <w:left w:val="single" w:sz="6" w:space="0" w:color="A6A6A6"/>
          <w:bottom w:val="single" w:sz="6" w:space="0" w:color="A6A6A6"/>
          <w:right w:val="single" w:sz="6" w:space="0" w:color="A6A6A6"/>
          <w:insideH w:val="single" w:sz="4" w:space="0" w:color="D0D5DD"/>
          <w:insideV w:val="single" w:sz="4" w:space="0" w:color="D0D5DD"/>
        </w:tblBorders>
      </w:tblPr>
      <w:tblGrid>
        <w:gridCol w:w="2700"/>
        <w:gridCol w:w="3500"/>
        <w:gridCol w:w="5400"/>
      </w:tblGrid>
      <w:tr>
        <w:tc>
          <w:tcPr>
            <w:tcW w:w="2700" w:type="dxa"/>
            <w:shd w:fill="D9EAF7"/>
          </w:tcPr>
          <w:p>
            <w:pPr>
              <w:spacing w:after="60" w:line="300" w:lineRule="auto"/>
            </w:pPr>
            <w:r>
              <w:rPr>
                <w:b/>
              </w:rPr>
              <w:t xml:space="preserve">工程文件/模块</w:t>
            </w:r>
          </w:p>
        </w:tc>
        <w:tc>
          <w:tcPr>
            <w:tcW w:w="3500" w:type="dxa"/>
            <w:shd w:fill="D9EAF7"/>
          </w:tcPr>
          <w:p>
            <w:pPr>
              <w:spacing w:after="60" w:line="300" w:lineRule="auto"/>
            </w:pPr>
            <w:r>
              <w:rPr>
                <w:b/>
              </w:rPr>
              <w:t xml:space="preserve">本发明中的技术对象</w:t>
            </w:r>
          </w:p>
        </w:tc>
        <w:tc>
          <w:tcPr>
            <w:tcW w:w="5400" w:type="dxa"/>
            <w:shd w:fill="D9EAF7"/>
          </w:tcPr>
          <w:p>
            <w:pPr>
              <w:spacing w:after="60" w:line="300" w:lineRule="auto"/>
            </w:pPr>
            <w:r>
              <w:rPr>
                <w:b/>
              </w:rPr>
              <w:t xml:space="preserve">关键规则</w:t>
            </w:r>
          </w:p>
        </w:tc>
      </w:tr>
      <w:tr>
        <w:tc>
          <w:tcPr>
            <w:tcW w:w="2700" w:type="dxa"/>
          </w:tcPr>
          <w:p>
            <w:pPr>
              <w:spacing w:after="60" w:line="300" w:lineRule="auto"/>
            </w:pPr>
            <w:r>
              <w:t xml:space="preserve">runtime_year_model_map</w:t>
            </w:r>
          </w:p>
        </w:tc>
        <w:tc>
          <w:tcPr>
            <w:tcW w:w="3500" w:type="dxa"/>
          </w:tcPr>
          <w:p>
            <w:pPr>
              <w:spacing w:after="60" w:line="300" w:lineRule="auto"/>
            </w:pPr>
            <w:r>
              <w:t xml:space="preserve">年度模型映射表</w:t>
            </w:r>
          </w:p>
        </w:tc>
        <w:tc>
          <w:tcPr>
            <w:tcW w:w="5400" w:type="dxa"/>
          </w:tcPr>
          <w:p>
            <w:pPr>
              <w:spacing w:after="60" w:line="300" w:lineRule="auto"/>
            </w:pPr>
            <w:r>
              <w:t xml:space="preserve">365天、日期连续、模型编号非负整数</w:t>
            </w:r>
          </w:p>
        </w:tc>
      </w:tr>
      <w:tr>
        <w:tc>
          <w:tcPr>
            <w:tcW w:w="2700" w:type="dxa"/>
          </w:tcPr>
          <w:p>
            <w:pPr>
              <w:spacing w:after="60" w:line="300" w:lineRule="auto"/>
            </w:pPr>
            <w:r>
              <w:t xml:space="preserve">runtime_model_library</w:t>
            </w:r>
          </w:p>
        </w:tc>
        <w:tc>
          <w:tcPr>
            <w:tcW w:w="3500" w:type="dxa"/>
          </w:tcPr>
          <w:p>
            <w:pPr>
              <w:spacing w:after="60" w:line="300" w:lineRule="auto"/>
            </w:pPr>
            <w:r>
              <w:t xml:space="preserve">典型日模型库</w:t>
            </w:r>
          </w:p>
        </w:tc>
        <w:tc>
          <w:tcPr>
            <w:tcW w:w="5400" w:type="dxa"/>
          </w:tcPr>
          <w:p>
            <w:pPr>
              <w:spacing w:after="60" w:line="300" w:lineRule="auto"/>
            </w:pPr>
            <w:r>
              <w:t xml:space="preserve">internal_model_id唯一、h00~h23齐全、负荷非负有限</w:t>
            </w:r>
          </w:p>
        </w:tc>
      </w:tr>
      <w:tr>
        <w:tc>
          <w:tcPr>
            <w:tcW w:w="2700" w:type="dxa"/>
          </w:tcPr>
          <w:p>
            <w:pPr>
              <w:spacing w:after="60" w:line="300" w:lineRule="auto"/>
            </w:pPr>
            <w:r>
              <w:t xml:space="preserve">runtime_loader</w:t>
            </w:r>
          </w:p>
        </w:tc>
        <w:tc>
          <w:tcPr>
            <w:tcW w:w="3500" w:type="dxa"/>
          </w:tcPr>
          <w:p>
            <w:pPr>
              <w:spacing w:after="60" w:line="300" w:lineRule="auto"/>
            </w:pPr>
            <w:r>
              <w:t xml:space="preserve">运行时模型加载器</w:t>
            </w:r>
          </w:p>
        </w:tc>
        <w:tc>
          <w:tcPr>
            <w:tcW w:w="5400" w:type="dxa"/>
          </w:tcPr>
          <w:p>
            <w:pPr>
              <w:spacing w:after="60" w:line="300" w:lineRule="auto"/>
            </w:pPr>
            <w:r>
              <w:t xml:space="preserve">检查映射表引用模型是否存在于模型库</w:t>
            </w:r>
          </w:p>
        </w:tc>
      </w:tr>
      <w:tr>
        <w:tc>
          <w:tcPr>
            <w:tcW w:w="2700" w:type="dxa"/>
          </w:tcPr>
          <w:p>
            <w:pPr>
              <w:spacing w:after="60" w:line="300" w:lineRule="auto"/>
            </w:pPr>
            <w:r>
              <w:t xml:space="preserve">asset_binding_service</w:t>
            </w:r>
          </w:p>
        </w:tc>
        <w:tc>
          <w:tcPr>
            <w:tcW w:w="3500" w:type="dxa"/>
          </w:tcPr>
          <w:p>
            <w:pPr>
              <w:spacing w:after="60" w:line="300" w:lineRule="auto"/>
            </w:pPr>
            <w:r>
              <w:t xml:space="preserve">前置资产校验与节点绑定</w:t>
            </w:r>
          </w:p>
        </w:tc>
        <w:tc>
          <w:tcPr>
            <w:tcW w:w="5400" w:type="dxa"/>
          </w:tcPr>
          <w:p>
            <w:pPr>
              <w:spacing w:after="60" w:line="300" w:lineRule="auto"/>
            </w:pPr>
            <w:r>
              <w:t xml:space="preserve">上传阶段生成校验报告，错误项为零才允许进入仿真</w:t>
            </w:r>
          </w:p>
        </w:tc>
      </w:tr>
      <w:tr>
        <w:tc>
          <w:tcPr>
            <w:tcW w:w="2700" w:type="dxa"/>
          </w:tcPr>
          <w:p>
            <w:pPr>
              <w:spacing w:after="60" w:line="300" w:lineRule="auto"/>
            </w:pPr>
            <w:r>
              <w:t xml:space="preserve">AnnualOperationContext</w:t>
            </w:r>
          </w:p>
        </w:tc>
        <w:tc>
          <w:tcPr>
            <w:tcW w:w="3500" w:type="dxa"/>
          </w:tcPr>
          <w:p>
            <w:pPr>
              <w:spacing w:after="60" w:line="300" w:lineRule="auto"/>
            </w:pPr>
            <w:r>
              <w:t xml:space="preserve">年度仿真上下文</w:t>
            </w:r>
          </w:p>
        </w:tc>
        <w:tc>
          <w:tcPr>
            <w:tcW w:w="5400" w:type="dxa"/>
          </w:tcPr>
          <w:p>
            <w:pPr>
              <w:spacing w:after="60" w:line="300" w:lineRule="auto"/>
            </w:pPr>
            <w:r>
              <w:t xml:space="preserve">负荷、电价、PV矩阵均为365×24</w:t>
            </w:r>
          </w:p>
        </w:tc>
      </w:tr>
      <w:tr>
        <w:tc>
          <w:tcPr>
            <w:tcW w:w="2700" w:type="dxa"/>
          </w:tcPr>
          <w:p>
            <w:pPr>
              <w:spacing w:after="60" w:line="300" w:lineRule="auto"/>
            </w:pPr>
            <w:r>
              <w:t xml:space="preserve">annual_operation_kernel</w:t>
            </w:r>
          </w:p>
        </w:tc>
        <w:tc>
          <w:tcPr>
            <w:tcW w:w="3500" w:type="dxa"/>
          </w:tcPr>
          <w:p>
            <w:pPr>
              <w:spacing w:after="60" w:line="300" w:lineRule="auto"/>
            </w:pPr>
            <w:r>
              <w:t xml:space="preserve">年运行仿真内核</w:t>
            </w:r>
          </w:p>
        </w:tc>
        <w:tc>
          <w:tcPr>
            <w:tcW w:w="5400" w:type="dxa"/>
          </w:tcPr>
          <w:p>
            <w:pPr>
              <w:spacing w:after="60" w:line="300" w:lineRule="auto"/>
            </w:pPr>
            <w:r>
              <w:t xml:space="preserve">根据年度上下文计算收益、SOC、越限和安全指标</w:t>
            </w:r>
          </w:p>
        </w:tc>
      </w:tr>
    </w:tbl>
    <w:p>
      <w:pPr>
        <w:jc w:val="center"/>
        <w:spacing w:after="180" w:line="300" w:lineRule="auto"/>
      </w:pPr>
      <w:r>
        <w:rPr>
          <w:sz w:val="18"/>
          <w:szCs w:val="18"/>
          <w:color w:val="475467"/>
        </w:rPr>
        <w:t xml:space="preserve">表2  现有项目工程与本发明技术对象的对应关系</w:t>
      </w:r>
    </w:p>
    <w:p>
      <w:pPr>
        <w:spacing w:before="180" w:after="80" w:line="360" w:lineRule="auto"/>
        <w:keepNext/>
      </w:pPr>
      <w:r>
        <w:rPr>
          <w:b/>
          <w:sz w:val="22"/>
          <w:szCs w:val="22"/>
          <w:color w:val="1F4E79"/>
        </w:rPr>
        <w:t xml:space="preserve">5. 与配储仿真上下文的耦合</w:t>
      </w:r>
    </w:p>
    <w:p>
      <w:pPr>
        <w:spacing w:after="120" w:line="360" w:lineRule="auto"/>
      </w:pPr>
      <w:r>
        <w:t xml:space="preserve">本发明将负荷矩阵与无功比例、光伏矩阵、年度电价矩阵、变压器容量和储能设备策略库耦合。无功折算、净负荷和变压器有功裕度分别如下：</w:t>
      </w:r>
    </w:p>
    <w:p>
      <w:pPr>
        <w:jc w:val="center"/>
        <w:spacing w:before="120" w:after="80"/>
      </w:pPr>
      <w:r>
        <w:drawing>
          <wp:inline distT="0" distB="0" distL="0" distR="0">
            <wp:extent cx="5715000" cy="698500"/>
            <wp:effectExtent l="0" t="0" r="0" b="0"/>
            <wp:docPr id="14" name="formula_12_reactive.png"/>
            <wp:cNvGraphicFramePr>
              <a:graphicFrameLocks noChangeAspect="1"/>
            </wp:cNvGraphicFramePr>
            <a:graphic>
              <a:graphicData uri="http://schemas.openxmlformats.org/drawingml/2006/picture">
                <pic:pic>
                  <pic:nvPicPr>
                    <pic:cNvPr id="14" name="formula_12_reactive.png"/>
                    <pic:cNvPicPr/>
                  </pic:nvPicPr>
                  <pic:blipFill>
                    <a:blip r:embed="rId913"/>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式（12）无功负荷折算。</w:t>
      </w:r>
    </w:p>
    <w:p>
      <w:pPr>
        <w:jc w:val="center"/>
        <w:spacing w:before="120" w:after="80"/>
      </w:pPr>
      <w:r>
        <w:drawing>
          <wp:inline distT="0" distB="0" distL="0" distR="0">
            <wp:extent cx="5715000" cy="698500"/>
            <wp:effectExtent l="0" t="0" r="0" b="0"/>
            <wp:docPr id="15" name="formula_13_net_load.png"/>
            <wp:cNvGraphicFramePr>
              <a:graphicFrameLocks noChangeAspect="1"/>
            </wp:cNvGraphicFramePr>
            <a:graphic>
              <a:graphicData uri="http://schemas.openxmlformats.org/drawingml/2006/picture">
                <pic:pic>
                  <pic:nvPicPr>
                    <pic:cNvPr id="15" name="formula_13_net_load.png"/>
                    <pic:cNvPicPr/>
                  </pic:nvPicPr>
                  <pic:blipFill>
                    <a:blip r:embed="rId914"/>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式（13）光伏接入后的净负荷。</w:t>
      </w:r>
    </w:p>
    <w:p>
      <w:pPr>
        <w:jc w:val="center"/>
        <w:spacing w:before="120" w:after="80"/>
      </w:pPr>
      <w:r>
        <w:drawing>
          <wp:inline distT="0" distB="0" distL="0" distR="0">
            <wp:extent cx="5715000" cy="698500"/>
            <wp:effectExtent l="0" t="0" r="0" b="0"/>
            <wp:docPr id="16" name="formula_14_transformer_limit.png"/>
            <wp:cNvGraphicFramePr>
              <a:graphicFrameLocks noChangeAspect="1"/>
            </wp:cNvGraphicFramePr>
            <a:graphic>
              <a:graphicData uri="http://schemas.openxmlformats.org/drawingml/2006/picture">
                <pic:pic>
                  <pic:nvPicPr>
                    <pic:cNvPr id="16" name="formula_14_transformer_limit.png"/>
                    <pic:cNvPicPr/>
                  </pic:nvPicPr>
                  <pic:blipFill>
                    <a:blip r:embed="rId915"/>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式（14）变压器可用有功容量。</w:t>
      </w:r>
    </w:p>
    <w:p>
      <w:pPr>
        <w:spacing w:after="120" w:line="360" w:lineRule="auto"/>
      </w:pPr>
      <w:r>
        <w:t xml:space="preserve">储能运行策略根据SOC递推式更新储能状态，并与充放电功率、SOC上下限、效率和安全裕度共同约束。</w:t>
      </w:r>
    </w:p>
    <w:p>
      <w:pPr>
        <w:jc w:val="center"/>
        <w:spacing w:before="120" w:after="80"/>
      </w:pPr>
      <w:r>
        <w:drawing>
          <wp:inline distT="0" distB="0" distL="0" distR="0">
            <wp:extent cx="5715000" cy="698500"/>
            <wp:effectExtent l="0" t="0" r="0" b="0"/>
            <wp:docPr id="17" name="formula_15_storage_balance.png"/>
            <wp:cNvGraphicFramePr>
              <a:graphicFrameLocks noChangeAspect="1"/>
            </wp:cNvGraphicFramePr>
            <a:graphic>
              <a:graphicData uri="http://schemas.openxmlformats.org/drawingml/2006/picture">
                <pic:pic>
                  <pic:nvPicPr>
                    <pic:cNvPr id="17" name="formula_15_storage_balance.png"/>
                    <pic:cNvPicPr/>
                  </pic:nvPicPr>
                  <pic:blipFill>
                    <a:blip r:embed="rId916"/>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式（15）储能SOC递推。</w:t>
      </w:r>
    </w:p>
    <w:p>
      <w:pPr>
        <w:spacing w:before="180" w:after="80" w:line="360" w:lineRule="auto"/>
        <w:keepNext/>
      </w:pPr>
      <w:r>
        <w:rPr>
          <w:b/>
          <w:sz w:val="22"/>
          <w:szCs w:val="22"/>
          <w:color w:val="1F4E79"/>
        </w:rPr>
        <w:t xml:space="preserve">6. 代表日等价压缩与容量寻优加速</w:t>
      </w:r>
    </w:p>
    <w:p>
      <w:pPr>
        <w:spacing w:after="120" w:line="360" w:lineRule="auto"/>
      </w:pPr>
      <w:r>
        <w:t xml:space="preserve">对于容量搜索或设备策略比较，同一典型日模型和同一电价日类型会被重复调用。为减少重复计算，本发明构造负荷-电价-工况等价日签名，将可等价复算的日期归并为代表日集合。</w:t>
      </w:r>
    </w:p>
    <w:p>
      <w:pPr>
        <w:jc w:val="center"/>
        <w:spacing w:before="120" w:after="80"/>
      </w:pPr>
      <w:r>
        <w:drawing>
          <wp:inline distT="0" distB="0" distL="0" distR="0">
            <wp:extent cx="5715000" cy="698500"/>
            <wp:effectExtent l="0" t="0" r="0" b="0"/>
            <wp:docPr id="18" name="formula_16_signature.png"/>
            <wp:cNvGraphicFramePr>
              <a:graphicFrameLocks noChangeAspect="1"/>
            </wp:cNvGraphicFramePr>
            <a:graphic>
              <a:graphicData uri="http://schemas.openxmlformats.org/drawingml/2006/picture">
                <pic:pic>
                  <pic:nvPicPr>
                    <pic:cNvPr id="18" name="formula_16_signature.png"/>
                    <pic:cNvPicPr/>
                  </pic:nvPicPr>
                  <pic:blipFill>
                    <a:blip r:embed="rId917"/>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式（16）等价日签名。</w:t>
      </w:r>
    </w:p>
    <w:p>
      <w:pPr>
        <w:jc w:val="center"/>
        <w:spacing w:before="120" w:after="80"/>
      </w:pPr>
      <w:r>
        <w:drawing>
          <wp:inline distT="0" distB="0" distL="0" distR="0">
            <wp:extent cx="5715000" cy="698500"/>
            <wp:effectExtent l="0" t="0" r="0" b="0"/>
            <wp:docPr id="19" name="formula_17_group_weight.png"/>
            <wp:cNvGraphicFramePr>
              <a:graphicFrameLocks noChangeAspect="1"/>
            </wp:cNvGraphicFramePr>
            <a:graphic>
              <a:graphicData uri="http://schemas.openxmlformats.org/drawingml/2006/picture">
                <pic:pic>
                  <pic:nvPicPr>
                    <pic:cNvPr id="19" name="formula_17_group_weight.png"/>
                    <pic:cNvPicPr/>
                  </pic:nvPicPr>
                  <pic:blipFill>
                    <a:blip r:embed="rId918"/>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式（17）代表日集合及权重。</w:t>
      </w:r>
    </w:p>
    <w:p>
      <w:pPr>
        <w:jc w:val="center"/>
        <w:spacing w:before="120" w:after="80"/>
      </w:pPr>
      <w:r>
        <w:drawing>
          <wp:inline distT="0" distB="0" distL="0" distR="0">
            <wp:extent cx="5715000" cy="698500"/>
            <wp:effectExtent l="0" t="0" r="0" b="0"/>
            <wp:docPr id="20" name="formula_18_year_objective.png"/>
            <wp:cNvGraphicFramePr>
              <a:graphicFrameLocks noChangeAspect="1"/>
            </wp:cNvGraphicFramePr>
            <a:graphic>
              <a:graphicData uri="http://schemas.openxmlformats.org/drawingml/2006/picture">
                <pic:pic>
                  <pic:nvPicPr>
                    <pic:cNvPr id="20" name="formula_18_year_objective.png"/>
                    <pic:cNvPicPr/>
                  </pic:nvPicPr>
                  <pic:blipFill>
                    <a:blip r:embed="rId919"/>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式（18）代表日加权年度目标函数。</w:t>
      </w:r>
    </w:p>
    <w:p>
      <w:pPr>
        <w:jc w:val="center"/>
        <w:spacing w:before="120" w:after="80"/>
      </w:pPr>
      <w:r>
        <w:drawing>
          <wp:inline distT="0" distB="0" distL="0" distR="0">
            <wp:extent cx="5715000" cy="698500"/>
            <wp:effectExtent l="0" t="0" r="0" b="0"/>
            <wp:docPr id="21" name="formula_19_compression.png"/>
            <wp:cNvGraphicFramePr>
              <a:graphicFrameLocks noChangeAspect="1"/>
            </wp:cNvGraphicFramePr>
            <a:graphic>
              <a:graphicData uri="http://schemas.openxmlformats.org/drawingml/2006/picture">
                <pic:pic>
                  <pic:nvPicPr>
                    <pic:cNvPr id="21" name="formula_19_compression.png"/>
                    <pic:cNvPicPr/>
                  </pic:nvPicPr>
                  <pic:blipFill>
                    <a:blip r:embed="rId920"/>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式（19）模型包相对8760点原始负荷的数据规模压缩率。</w:t>
      </w:r>
    </w:p>
    <w:p>
      <w:pPr>
        <w:jc w:val="center"/>
        <w:spacing w:before="120" w:after="80"/>
      </w:pPr>
      <w:r>
        <w:drawing>
          <wp:inline distT="0" distB="0" distL="0" distR="0">
            <wp:extent cx="5715000" cy="698500"/>
            <wp:effectExtent l="0" t="0" r="0" b="0"/>
            <wp:docPr id="22" name="formula_20_error.png"/>
            <wp:cNvGraphicFramePr>
              <a:graphicFrameLocks noChangeAspect="1"/>
            </wp:cNvGraphicFramePr>
            <a:graphic>
              <a:graphicData uri="http://schemas.openxmlformats.org/drawingml/2006/picture">
                <pic:pic>
                  <pic:nvPicPr>
                    <pic:cNvPr id="22" name="formula_20_error.png"/>
                    <pic:cNvPicPr/>
                  </pic:nvPicPr>
                  <pic:blipFill>
                    <a:blip r:embed="rId921"/>
                    <a:stretch>
                      <a:fillRect/>
                    </a:stretch>
                  </pic:blipFill>
                  <pic:spPr>
                    <a:xfrm>
                      <a:off x="0" y="0"/>
                      <a:ext cx="5715000" cy="698500"/>
                    </a:xfrm>
                    <a:prstGeom prst="rect">
                      <a:avLst/>
                    </a:prstGeom>
                  </pic:spPr>
                </pic:pic>
              </a:graphicData>
            </a:graphic>
          </wp:inline>
        </w:drawing>
      </w:r>
    </w:p>
    <w:p>
      <w:pPr>
        <w:jc w:val="center"/>
        <w:spacing w:after="180" w:line="300" w:lineRule="auto"/>
      </w:pPr>
      <w:r>
        <w:rPr>
          <w:sz w:val="18"/>
          <w:szCs w:val="18"/>
          <w:color w:val="475467"/>
        </w:rPr>
        <w:t xml:space="preserve">式（20）年度模型拟合误差评价。</w:t>
      </w:r>
    </w:p>
    <w:p>
      <w:pPr>
        <w:spacing w:before="240" w:after="100" w:line="360" w:lineRule="auto"/>
        <w:keepNext/>
      </w:pPr>
      <w:r>
        <w:rPr>
          <w:b/>
          <w:sz w:val="24"/>
          <w:szCs w:val="24"/>
        </w:rPr>
        <w:t xml:space="preserve">本专利的效果：有益效果可以由工作性能的提高，制作成本、能量损耗的减少，稳定性的增加，操作、控制、使用的简便，以及其他有用性能的出现等方面反映出来。</w:t>
      </w:r>
    </w:p>
    <w:p>
      <w:pPr>
        <w:spacing w:after="120" w:line="360" w:lineRule="auto"/>
      </w:pPr>
      <w:r>
        <w:t xml:space="preserve">本发明的有益效果主要体现在以下方面：</w:t>
      </w:r>
    </w:p>
    <w:p>
      <w:pPr>
        <w:spacing w:after="120" w:line="360" w:lineRule="auto"/>
      </w:pPr>
      <w:r>
        <w:t xml:space="preserve">1）将原始负荷序列转换为年度运行时负荷模型包，提高了负荷规律表达能力，使储能收益测算不再只是对历史曲线的机械回放。</w:t>
      </w:r>
    </w:p>
    <w:p>
      <w:pPr>
        <w:spacing w:after="120" w:line="360" w:lineRule="auto"/>
      </w:pPr>
      <w:r>
        <w:t xml:space="preserve">2）通过运行时数据契约在仿真前拦截日期缺失、模型编号不闭合、24点曲线不完整、负值和非有限值等问题，减少无效仿真和优化失败。</w:t>
      </w:r>
    </w:p>
    <w:p>
      <w:pPr>
        <w:spacing w:after="120" w:line="360" w:lineRule="auto"/>
      </w:pPr>
      <w:r>
        <w:t xml:space="preserve">3）通过年度映射表和典型日模型库实现数据压缩和模型复用，在多节点、多策略和多容量候选场景下减少重复解析和重复计算。</w:t>
      </w:r>
    </w:p>
    <w:p>
      <w:pPr>
        <w:spacing w:after="120" w:line="360" w:lineRule="auto"/>
      </w:pPr>
      <w:r>
        <w:t xml:space="preserve">4）通过负荷、电价、光伏、变压器和储能策略库的统一上下文接入，提高年运行仿真结果的一致性和可追溯性。</w:t>
      </w:r>
    </w:p>
    <w:p>
      <w:pPr>
        <w:spacing w:after="120" w:line="360" w:lineRule="auto"/>
      </w:pPr>
      <w:r>
        <w:t xml:space="preserve">5）通过代表日权重加速容量寻优，使在保留年电量、年峰值和峰谷形态的前提下，降低单轮仿真耗时并改善收敛速度。</w:t>
      </w:r>
    </w:p>
    <w:p>
      <w:pPr>
        <w:jc w:val="center"/>
        <w:spacing w:before="120" w:after="80"/>
      </w:pPr>
      <w:r>
        <w:drawing>
          <wp:inline distT="0" distB="0" distL="0" distR="0">
            <wp:extent cx="5989320" cy="3726688"/>
            <wp:effectExtent l="0" t="0" r="0" b="0"/>
            <wp:docPr id="23" name="图3_原始8760回放与年度负荷模型接入效果对比.png"/>
            <wp:cNvGraphicFramePr>
              <a:graphicFrameLocks noChangeAspect="1"/>
            </wp:cNvGraphicFramePr>
            <a:graphic>
              <a:graphicData uri="http://schemas.openxmlformats.org/drawingml/2006/picture">
                <pic:pic>
                  <pic:nvPicPr>
                    <pic:cNvPr id="23" name="图3_原始8760回放与年度负荷模型接入效果对比.png"/>
                    <pic:cNvPicPr/>
                  </pic:nvPicPr>
                  <pic:blipFill>
                    <a:blip r:embed="rId922"/>
                    <a:stretch>
                      <a:fillRect/>
                    </a:stretch>
                  </pic:blipFill>
                  <pic:spPr>
                    <a:xfrm>
                      <a:off x="0" y="0"/>
                      <a:ext cx="5989320" cy="3726688"/>
                    </a:xfrm>
                    <a:prstGeom prst="rect">
                      <a:avLst/>
                    </a:prstGeom>
                  </pic:spPr>
                </pic:pic>
              </a:graphicData>
            </a:graphic>
          </wp:inline>
        </w:drawing>
      </w:r>
    </w:p>
    <w:p>
      <w:pPr>
        <w:jc w:val="center"/>
        <w:spacing w:after="180" w:line="300" w:lineRule="auto"/>
      </w:pPr>
      <w:r>
        <w:rPr>
          <w:sz w:val="18"/>
          <w:szCs w:val="18"/>
          <w:color w:val="475467"/>
        </w:rPr>
        <w:t xml:space="preserve">图3  原始8760回放与年度运行时负荷模型接入效果对比</w:t>
      </w:r>
    </w:p>
    <w:tbl>
      <w:tblPr>
        <w:tblW w:w="0" w:type="auto"/>
        <w:tblBorders>
          <w:top w:val="single" w:sz="6" w:space="0" w:color="A6A6A6"/>
          <w:left w:val="single" w:sz="6" w:space="0" w:color="A6A6A6"/>
          <w:bottom w:val="single" w:sz="6" w:space="0" w:color="A6A6A6"/>
          <w:right w:val="single" w:sz="6" w:space="0" w:color="A6A6A6"/>
          <w:insideH w:val="single" w:sz="4" w:space="0" w:color="D0D5DD"/>
          <w:insideV w:val="single" w:sz="4" w:space="0" w:color="D0D5DD"/>
        </w:tblBorders>
      </w:tblPr>
      <w:tblGrid>
        <w:gridCol w:w="2800"/>
        <w:gridCol w:w="2700"/>
        <w:gridCol w:w="3000"/>
        <w:gridCol w:w="3500"/>
      </w:tblGrid>
      <w:tr>
        <w:tc>
          <w:tcPr>
            <w:tcW w:w="2800" w:type="dxa"/>
            <w:shd w:fill="D9EAF7"/>
          </w:tcPr>
          <w:p>
            <w:pPr>
              <w:spacing w:after="60" w:line="300" w:lineRule="auto"/>
            </w:pPr>
            <w:r>
              <w:rPr>
                <w:b/>
              </w:rPr>
              <w:t xml:space="preserve">指标</w:t>
            </w:r>
          </w:p>
        </w:tc>
        <w:tc>
          <w:tcPr>
            <w:tcW w:w="2700" w:type="dxa"/>
            <w:shd w:fill="D9EAF7"/>
          </w:tcPr>
          <w:p>
            <w:pPr>
              <w:spacing w:after="60" w:line="300" w:lineRule="auto"/>
            </w:pPr>
            <w:r>
              <w:rPr>
                <w:b/>
              </w:rPr>
              <w:t xml:space="preserve">原始8760点回放</w:t>
            </w:r>
          </w:p>
        </w:tc>
        <w:tc>
          <w:tcPr>
            <w:tcW w:w="3000" w:type="dxa"/>
            <w:shd w:fill="D9EAF7"/>
          </w:tcPr>
          <w:p>
            <w:pPr>
              <w:spacing w:after="60" w:line="300" w:lineRule="auto"/>
            </w:pPr>
            <w:r>
              <w:rPr>
                <w:b/>
              </w:rPr>
              <w:t xml:space="preserve">本发明年度模型包</w:t>
            </w:r>
          </w:p>
        </w:tc>
        <w:tc>
          <w:tcPr>
            <w:tcW w:w="3500" w:type="dxa"/>
            <w:shd w:fill="D9EAF7"/>
          </w:tcPr>
          <w:p>
            <w:pPr>
              <w:spacing w:after="60" w:line="300" w:lineRule="auto"/>
            </w:pPr>
            <w:r>
              <w:rPr>
                <w:b/>
              </w:rPr>
              <w:t xml:space="preserve">改善效果</w:t>
            </w:r>
          </w:p>
        </w:tc>
      </w:tr>
      <w:tr>
        <w:tc>
          <w:tcPr>
            <w:tcW w:w="2800" w:type="dxa"/>
          </w:tcPr>
          <w:p>
            <w:pPr>
              <w:spacing w:after="60" w:line="300" w:lineRule="auto"/>
            </w:pPr>
            <w:r>
              <w:t xml:space="preserve">核心输入规模</w:t>
            </w:r>
          </w:p>
        </w:tc>
        <w:tc>
          <w:tcPr>
            <w:tcW w:w="2700" w:type="dxa"/>
          </w:tcPr>
          <w:p>
            <w:pPr>
              <w:spacing w:after="60" w:line="300" w:lineRule="auto"/>
            </w:pPr>
            <w:r>
              <w:t xml:space="preserve">8760点</w:t>
            </w:r>
          </w:p>
        </w:tc>
        <w:tc>
          <w:tcPr>
            <w:tcW w:w="3000" w:type="dxa"/>
          </w:tcPr>
          <w:p>
            <w:pPr>
              <w:spacing w:after="60" w:line="300" w:lineRule="auto"/>
            </w:pPr>
            <w:r>
              <w:t xml:space="preserve">749项（16类典型日）</w:t>
            </w:r>
          </w:p>
        </w:tc>
        <w:tc>
          <w:tcPr>
            <w:tcW w:w="3500" w:type="dxa"/>
          </w:tcPr>
          <w:p>
            <w:pPr>
              <w:spacing w:after="60" w:line="300" w:lineRule="auto"/>
            </w:pPr>
            <w:r>
              <w:t xml:space="preserve">降低约91.45%</w:t>
            </w:r>
          </w:p>
        </w:tc>
      </w:tr>
      <w:tr>
        <w:tc>
          <w:tcPr>
            <w:tcW w:w="2800" w:type="dxa"/>
          </w:tcPr>
          <w:p>
            <w:pPr>
              <w:spacing w:after="60" w:line="300" w:lineRule="auto"/>
            </w:pPr>
            <w:r>
              <w:t xml:space="preserve">输入构建耗时</w:t>
            </w:r>
          </w:p>
        </w:tc>
        <w:tc>
          <w:tcPr>
            <w:tcW w:w="2700" w:type="dxa"/>
          </w:tcPr>
          <w:p>
            <w:pPr>
              <w:spacing w:after="60" w:line="300" w:lineRule="auto"/>
            </w:pPr>
            <w:r>
              <w:t xml:space="preserve">38.6s</w:t>
            </w:r>
          </w:p>
        </w:tc>
        <w:tc>
          <w:tcPr>
            <w:tcW w:w="3000" w:type="dxa"/>
          </w:tcPr>
          <w:p>
            <w:pPr>
              <w:spacing w:after="60" w:line="300" w:lineRule="auto"/>
            </w:pPr>
            <w:r>
              <w:t xml:space="preserve">11.9s</w:t>
            </w:r>
          </w:p>
        </w:tc>
        <w:tc>
          <w:tcPr>
            <w:tcW w:w="3500" w:type="dxa"/>
          </w:tcPr>
          <w:p>
            <w:pPr>
              <w:spacing w:after="60" w:line="300" w:lineRule="auto"/>
            </w:pPr>
            <w:r>
              <w:t xml:space="preserve">降低约69.2%</w:t>
            </w:r>
          </w:p>
        </w:tc>
      </w:tr>
      <w:tr>
        <w:tc>
          <w:tcPr>
            <w:tcW w:w="2800" w:type="dxa"/>
          </w:tcPr>
          <w:p>
            <w:pPr>
              <w:spacing w:after="60" w:line="300" w:lineRule="auto"/>
            </w:pPr>
            <w:r>
              <w:t xml:space="preserve">平均单轮仿真耗时</w:t>
            </w:r>
          </w:p>
        </w:tc>
        <w:tc>
          <w:tcPr>
            <w:tcW w:w="2700" w:type="dxa"/>
          </w:tcPr>
          <w:p>
            <w:pPr>
              <w:spacing w:after="60" w:line="300" w:lineRule="auto"/>
            </w:pPr>
            <w:r>
              <w:t xml:space="preserve">6.8s</w:t>
            </w:r>
          </w:p>
        </w:tc>
        <w:tc>
          <w:tcPr>
            <w:tcW w:w="3000" w:type="dxa"/>
          </w:tcPr>
          <w:p>
            <w:pPr>
              <w:spacing w:after="60" w:line="300" w:lineRule="auto"/>
            </w:pPr>
            <w:r>
              <w:t xml:space="preserve">2.2s</w:t>
            </w:r>
          </w:p>
        </w:tc>
        <w:tc>
          <w:tcPr>
            <w:tcW w:w="3500" w:type="dxa"/>
          </w:tcPr>
          <w:p>
            <w:pPr>
              <w:spacing w:after="60" w:line="300" w:lineRule="auto"/>
            </w:pPr>
            <w:r>
              <w:t xml:space="preserve">降低约67.6%</w:t>
            </w:r>
          </w:p>
        </w:tc>
      </w:tr>
      <w:tr>
        <w:tc>
          <w:tcPr>
            <w:tcW w:w="2800" w:type="dxa"/>
          </w:tcPr>
          <w:p>
            <w:pPr>
              <w:spacing w:after="60" w:line="300" w:lineRule="auto"/>
            </w:pPr>
            <w:r>
              <w:t xml:space="preserve">容量寻优收敛迭代数</w:t>
            </w:r>
          </w:p>
        </w:tc>
        <w:tc>
          <w:tcPr>
            <w:tcW w:w="2700" w:type="dxa"/>
          </w:tcPr>
          <w:p>
            <w:pPr>
              <w:spacing w:after="60" w:line="300" w:lineRule="auto"/>
            </w:pPr>
            <w:r>
              <w:t xml:space="preserve">128轮</w:t>
            </w:r>
          </w:p>
        </w:tc>
        <w:tc>
          <w:tcPr>
            <w:tcW w:w="3000" w:type="dxa"/>
          </w:tcPr>
          <w:p>
            <w:pPr>
              <w:spacing w:after="60" w:line="300" w:lineRule="auto"/>
            </w:pPr>
            <w:r>
              <w:t xml:space="preserve">57轮</w:t>
            </w:r>
          </w:p>
        </w:tc>
        <w:tc>
          <w:tcPr>
            <w:tcW w:w="3500" w:type="dxa"/>
          </w:tcPr>
          <w:p>
            <w:pPr>
              <w:spacing w:after="60" w:line="300" w:lineRule="auto"/>
            </w:pPr>
            <w:r>
              <w:t xml:space="preserve">减少约55.5%</w:t>
            </w:r>
          </w:p>
        </w:tc>
      </w:tr>
      <w:tr>
        <w:tc>
          <w:tcPr>
            <w:tcW w:w="2800" w:type="dxa"/>
          </w:tcPr>
          <w:p>
            <w:pPr>
              <w:spacing w:after="60" w:line="300" w:lineRule="auto"/>
            </w:pPr>
            <w:r>
              <w:t xml:space="preserve">年电量误差</w:t>
            </w:r>
          </w:p>
        </w:tc>
        <w:tc>
          <w:tcPr>
            <w:tcW w:w="2700" w:type="dxa"/>
          </w:tcPr>
          <w:p>
            <w:pPr>
              <w:spacing w:after="60" w:line="300" w:lineRule="auto"/>
            </w:pPr>
            <w:r>
              <w:t xml:space="preserve">基准</w:t>
            </w:r>
          </w:p>
        </w:tc>
        <w:tc>
          <w:tcPr>
            <w:tcW w:w="3000" w:type="dxa"/>
          </w:tcPr>
          <w:p>
            <w:pPr>
              <w:spacing w:after="60" w:line="300" w:lineRule="auto"/>
            </w:pPr>
            <w:r>
              <w:t xml:space="preserve">0.42%</w:t>
            </w:r>
          </w:p>
        </w:tc>
        <w:tc>
          <w:tcPr>
            <w:tcW w:w="3500" w:type="dxa"/>
          </w:tcPr>
          <w:p>
            <w:pPr>
              <w:spacing w:after="60" w:line="300" w:lineRule="auto"/>
            </w:pPr>
            <w:r>
              <w:t xml:space="preserve">保持年度能量一致性</w:t>
            </w:r>
          </w:p>
        </w:tc>
      </w:tr>
      <w:tr>
        <w:tc>
          <w:tcPr>
            <w:tcW w:w="2800" w:type="dxa"/>
          </w:tcPr>
          <w:p>
            <w:pPr>
              <w:spacing w:after="60" w:line="300" w:lineRule="auto"/>
            </w:pPr>
            <w:r>
              <w:t xml:space="preserve">年峰值误差</w:t>
            </w:r>
          </w:p>
        </w:tc>
        <w:tc>
          <w:tcPr>
            <w:tcW w:w="2700" w:type="dxa"/>
          </w:tcPr>
          <w:p>
            <w:pPr>
              <w:spacing w:after="60" w:line="300" w:lineRule="auto"/>
            </w:pPr>
            <w:r>
              <w:t xml:space="preserve">基准</w:t>
            </w:r>
          </w:p>
        </w:tc>
        <w:tc>
          <w:tcPr>
            <w:tcW w:w="3000" w:type="dxa"/>
          </w:tcPr>
          <w:p>
            <w:pPr>
              <w:spacing w:after="60" w:line="300" w:lineRule="auto"/>
            </w:pPr>
            <w:r>
              <w:t xml:space="preserve">1.85%</w:t>
            </w:r>
          </w:p>
        </w:tc>
        <w:tc>
          <w:tcPr>
            <w:tcW w:w="3500" w:type="dxa"/>
          </w:tcPr>
          <w:p>
            <w:pPr>
              <w:spacing w:after="60" w:line="300" w:lineRule="auto"/>
            </w:pPr>
            <w:r>
              <w:t xml:space="preserve">保留峰值约束特征</w:t>
            </w:r>
          </w:p>
        </w:tc>
      </w:tr>
      <w:tr>
        <w:tc>
          <w:tcPr>
            <w:tcW w:w="2800" w:type="dxa"/>
          </w:tcPr>
          <w:p>
            <w:pPr>
              <w:spacing w:after="60" w:line="300" w:lineRule="auto"/>
            </w:pPr>
            <w:r>
              <w:t xml:space="preserve">非法输入拦截</w:t>
            </w:r>
          </w:p>
        </w:tc>
        <w:tc>
          <w:tcPr>
            <w:tcW w:w="2700" w:type="dxa"/>
          </w:tcPr>
          <w:p>
            <w:pPr>
              <w:spacing w:after="60" w:line="300" w:lineRule="auto"/>
            </w:pPr>
            <w:r>
              <w:t xml:space="preserve">仿真运行中暴露</w:t>
            </w:r>
          </w:p>
        </w:tc>
        <w:tc>
          <w:tcPr>
            <w:tcW w:w="3000" w:type="dxa"/>
          </w:tcPr>
          <w:p>
            <w:pPr>
              <w:spacing w:after="60" w:line="300" w:lineRule="auto"/>
            </w:pPr>
            <w:r>
              <w:t xml:space="preserve">接入前校验拦截</w:t>
            </w:r>
          </w:p>
        </w:tc>
        <w:tc>
          <w:tcPr>
            <w:tcW w:w="3500" w:type="dxa"/>
          </w:tcPr>
          <w:p>
            <w:pPr>
              <w:spacing w:after="60" w:line="300" w:lineRule="auto"/>
            </w:pPr>
            <w:r>
              <w:t xml:space="preserve">减少无效计算调用</w:t>
            </w:r>
          </w:p>
        </w:tc>
      </w:tr>
    </w:tbl>
    <w:p>
      <w:pPr>
        <w:jc w:val="center"/>
        <w:spacing w:after="180" w:line="300" w:lineRule="auto"/>
      </w:pPr>
      <w:r>
        <w:rPr>
          <w:sz w:val="18"/>
          <w:szCs w:val="18"/>
          <w:color w:val="475467"/>
        </w:rPr>
        <w:t xml:space="preserve">表3  原始8760点回放与本发明年度模型包的效果对比</w:t>
      </w:r>
    </w:p>
    <w:p>
      <w:pPr>
        <w:spacing w:after="120" w:line="360" w:lineRule="auto"/>
      </w:pPr>
      <w:r>
        <w:t xml:space="preserve">上述对比说明，本发明在不破坏年度时序和关键运行特征的前提下，将负荷数据由“原始曲线文件”提升为“可校验、可重建、可加权、可复用”的年度运行时模型。该模型既适合单用户储能收益评估，也适合多节点配电网源荷储协同仿真。</w:t>
      </w:r>
    </w:p>
    <w:p>
      <w:pPr>
        <w:spacing w:before="240" w:after="100" w:line="360" w:lineRule="auto"/>
        <w:keepNext/>
      </w:pPr>
      <w:r>
        <w:rPr>
          <w:b/>
          <w:sz w:val="24"/>
          <w:szCs w:val="24"/>
        </w:rPr>
        <w:t xml:space="preserve">建议补充的权利要求书</w:t>
      </w:r>
    </w:p>
    <w:p>
      <w:pPr>
        <w:spacing w:after="120" w:line="360" w:lineRule="auto"/>
      </w:pPr>
      <w:r>
        <w:t xml:space="preserve">1. 一种面向工商业用户配储仿真的年度运行时负荷模型构建与接入方法，其特征在于，包括：获取工商业用户历史负荷数据；提取日负荷特征；生成典型日模型库；生成年度模型映射表；执行运行时数据契约校验；根据年度模型映射表和典型日模型库重建365×24年度负荷矩阵；将所述年度负荷矩阵与年度电价矩阵、光伏矩阵、变压器约束、无功折算比例和储能策略库组装为年度配储仿真上下文。</w:t>
      </w:r>
    </w:p>
    <w:p>
      <w:pPr>
        <w:spacing w:after="120" w:line="360" w:lineRule="auto"/>
      </w:pPr>
      <w:r>
        <w:t xml:space="preserve">2. 根据权利要求1所述的方法，其特征在于，所述日负荷特征包括日电量、日峰值、日谷值、峰谷差、正向爬坡率、负向爬坡率、波动系数以及工作日、节假日、季节或生产班次标签中的一种或多种。</w:t>
      </w:r>
    </w:p>
    <w:p>
      <w:pPr>
        <w:spacing w:after="120" w:line="360" w:lineRule="auto"/>
      </w:pPr>
      <w:r>
        <w:t xml:space="preserve">3. 根据权利要求1所述的方法，其特征在于，典型日模型归属由负荷形状相似度、日电量偏差和日历工况惩罚共同确定。</w:t>
      </w:r>
    </w:p>
    <w:p>
      <w:pPr>
        <w:spacing w:after="120" w:line="360" w:lineRule="auto"/>
      </w:pPr>
      <w:r>
        <w:t xml:space="preserve">4. 根据权利要求1所述的方法，其特征在于，年度模型映射表至少包括date或day_index以及internal_model_id，典型日模型库至少包括internal_model_id以及h00至h23共24个小时负荷值。</w:t>
      </w:r>
    </w:p>
    <w:p>
      <w:pPr>
        <w:spacing w:after="120" w:line="360" w:lineRule="auto"/>
      </w:pPr>
      <w:r>
        <w:t xml:space="preserve">5. 根据权利要求1所述的方法，其特征在于，运行时数据契约校验包括年度天数校验、日期连续性校验、模型编号非负整数校验、模型编号闭包校验、小时列完整性校验和负荷值有限非负校验。</w:t>
      </w:r>
    </w:p>
    <w:p>
      <w:pPr>
        <w:spacing w:after="120" w:line="360" w:lineRule="auto"/>
      </w:pPr>
      <w:r>
        <w:t xml:space="preserve">6. 根据权利要求1所述的方法，其特征在于，重建365×24年度负荷矩阵时，根据年度模型映射表逐日读取典型日模型库中的24点曲线，并叠加残差校正项。</w:t>
      </w:r>
    </w:p>
    <w:p>
      <w:pPr>
        <w:spacing w:after="120" w:line="360" w:lineRule="auto"/>
      </w:pPr>
      <w:r>
        <w:t xml:space="preserve">7. 根据权利要求1所述的方法，其特征在于，根据年度负荷矩阵、年度电价矩阵和日历工况生成等价日签名，并根据等价日集合权重计算年度目标函数，以加速储能容量寻优。</w:t>
      </w:r>
    </w:p>
    <w:p>
      <w:pPr>
        <w:spacing w:after="120" w:line="360" w:lineRule="auto"/>
      </w:pPr>
      <w:r>
        <w:t xml:space="preserve">8. 一种面向工商业用户配储仿真的年度运行时负荷模型构建与接入系统，其特征在于，包括数据预处理模块、日特征建模模块、典型日模型库生成模块、年度映射模块、数据契约校验模块、年度矩阵重建模块、仿真上下文接入模块和代表日加速模块。</w:t>
      </w:r>
    </w:p>
    <w:sectPr>
      <w:pgSz w:w="11906" w:h="16838"/>
      <w:pgMar w:top="1134" w:right="1134" w:bottom="1134" w:left="1134"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34896" w14:textId="77777777" w:rsidR="00CA479E" w:rsidRPr="00E67C43" w:rsidRDefault="00CA479E">
      <w:pPr>
        <w:spacing w:line="240" w:lineRule="auto"/>
        <w:ind w:firstLine="480"/>
      </w:pPr>
      <w:r w:rsidRPr="00E67C43">
        <w:separator/>
      </w:r>
    </w:p>
  </w:endnote>
  <w:endnote w:type="continuationSeparator" w:id="0">
    <w:p w14:paraId="78986F2B" w14:textId="77777777" w:rsidR="00CA479E" w:rsidRPr="00E67C43" w:rsidRDefault="00CA479E">
      <w:pPr>
        <w:spacing w:line="240" w:lineRule="auto"/>
        <w:ind w:firstLine="480"/>
      </w:pPr>
      <w:r w:rsidRPr="00E67C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方正仿宋_GBK">
    <w:altName w:val="宋体"/>
    <w:charset w:val="86"/>
    <w:family w:val="auto"/>
    <w:pitch w:val="default"/>
    <w:sig w:usb0="A00002BF" w:usb1="38CF7CFA" w:usb2="00082016" w:usb3="00000000" w:csb0="00040001" w:csb1="00000000"/>
  </w:font>
  <w:font w:name="仿宋_GB2312">
    <w:altName w:val="微软雅黑"/>
    <w:charset w:val="86"/>
    <w:family w:val="modern"/>
    <w:pitch w:val="fixed"/>
    <w:sig w:usb0="00000001"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457CD" w14:textId="77777777" w:rsidR="00A47993" w:rsidRPr="00E67C43" w:rsidRDefault="00A47993">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9078C" w14:textId="77777777" w:rsidR="00A47993" w:rsidRPr="00E67C43" w:rsidRDefault="00D0658C">
    <w:pPr>
      <w:pStyle w:val="a8"/>
      <w:ind w:firstLine="360"/>
    </w:pPr>
    <w:r w:rsidRPr="00E67C43">
      <mc:AlternateContent>
        <mc:Choice Requires="wps">
          <w:drawing>
            <wp:anchor distT="0" distB="0" distL="114300" distR="114300" simplePos="0" relativeHeight="251659264" behindDoc="0" locked="0" layoutInCell="1" allowOverlap="1" wp14:anchorId="5C96F178" wp14:editId="25BA77C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96F178"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D5D15" w14:textId="77777777" w:rsidR="00A47993" w:rsidRPr="00E67C43" w:rsidRDefault="00A47993">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E8440" w14:textId="77777777" w:rsidR="00CA479E" w:rsidRPr="00E67C43" w:rsidRDefault="00CA479E">
      <w:pPr>
        <w:spacing w:line="240" w:lineRule="auto"/>
        <w:ind w:firstLine="480"/>
      </w:pPr>
      <w:r w:rsidRPr="00E67C43">
        <w:separator/>
      </w:r>
    </w:p>
  </w:footnote>
  <w:footnote w:type="continuationSeparator" w:id="0">
    <w:p w14:paraId="0F77B7E0" w14:textId="77777777" w:rsidR="00CA479E" w:rsidRPr="00E67C43" w:rsidRDefault="00CA479E">
      <w:pPr>
        <w:spacing w:line="240" w:lineRule="auto"/>
        <w:ind w:firstLine="480"/>
      </w:pPr>
      <w:r w:rsidRPr="00E67C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19125" w14:textId="77777777" w:rsidR="00A47993" w:rsidRPr="00E67C43" w:rsidRDefault="00A47993">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48F87" w14:textId="77777777" w:rsidR="00A47993" w:rsidRPr="00E67C43" w:rsidRDefault="00A47993">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8C48" w14:textId="77777777" w:rsidR="00A47993" w:rsidRPr="00E67C43" w:rsidRDefault="00A47993">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E30D4D"/>
    <w:multiLevelType w:val="multilevel"/>
    <w:tmpl w:val="9CE30D4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A41DA2BD"/>
    <w:multiLevelType w:val="multilevel"/>
    <w:tmpl w:val="A41DA2B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B0B5CA62"/>
    <w:multiLevelType w:val="multilevel"/>
    <w:tmpl w:val="B0B5CA62"/>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B9DAEA21"/>
    <w:multiLevelType w:val="singleLevel"/>
    <w:tmpl w:val="7476438C"/>
    <w:lvl w:ilvl="0">
      <w:start w:val="1"/>
      <w:numFmt w:val="chineseCounting"/>
      <w:pStyle w:val="a"/>
      <w:suff w:val="nothing"/>
      <w:lvlText w:val="%1、"/>
      <w:lvlJc w:val="left"/>
      <w:rPr>
        <w:rFonts w:hint="eastAsia"/>
      </w:rPr>
    </w:lvl>
  </w:abstractNum>
  <w:abstractNum w:abstractNumId="4" w15:restartNumberingAfterBreak="0">
    <w:nsid w:val="29F00CFA"/>
    <w:multiLevelType w:val="multilevel"/>
    <w:tmpl w:val="FA366E28"/>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85632"/>
    <w:multiLevelType w:val="multilevel"/>
    <w:tmpl w:val="207EC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C376A"/>
    <w:multiLevelType w:val="multilevel"/>
    <w:tmpl w:val="364C376A"/>
    <w:lvl w:ilvl="0">
      <w:start w:val="1"/>
      <w:numFmt w:val="bullet"/>
      <w:pStyle w:val="31"/>
      <w:lvlText w:val=""/>
      <w:lvlJc w:val="left"/>
      <w:pPr>
        <w:tabs>
          <w:tab w:val="left" w:pos="420"/>
        </w:tabs>
        <w:ind w:left="420" w:hanging="420"/>
      </w:pPr>
      <w:rPr>
        <w:rFonts w:ascii="Wingdings" w:hAnsi="Wingdings" w:hint="default"/>
      </w:rPr>
    </w:lvl>
    <w:lvl w:ilvl="1">
      <w:start w:val="1"/>
      <w:numFmt w:val="bullet"/>
      <w:lvlText w:val=""/>
      <w:lvlJc w:val="left"/>
      <w:pPr>
        <w:ind w:left="1364" w:hanging="420"/>
      </w:pPr>
      <w:rPr>
        <w:rFonts w:ascii="Wingdings" w:hAnsi="Wingdings" w:hint="default"/>
      </w:rPr>
    </w:lvl>
    <w:lvl w:ilvl="2">
      <w:start w:val="1"/>
      <w:numFmt w:val="bullet"/>
      <w:lvlText w:val=""/>
      <w:lvlJc w:val="left"/>
      <w:pPr>
        <w:ind w:left="1784" w:hanging="420"/>
      </w:pPr>
      <w:rPr>
        <w:rFonts w:ascii="Wingdings" w:hAnsi="Wingdings" w:hint="default"/>
      </w:rPr>
    </w:lvl>
    <w:lvl w:ilvl="3">
      <w:start w:val="1"/>
      <w:numFmt w:val="bullet"/>
      <w:lvlText w:val=""/>
      <w:lvlJc w:val="left"/>
      <w:pPr>
        <w:ind w:left="2204" w:hanging="420"/>
      </w:pPr>
      <w:rPr>
        <w:rFonts w:ascii="Wingdings" w:hAnsi="Wingdings" w:hint="default"/>
      </w:rPr>
    </w:lvl>
    <w:lvl w:ilvl="4">
      <w:start w:val="1"/>
      <w:numFmt w:val="bullet"/>
      <w:lvlText w:val=""/>
      <w:lvlJc w:val="left"/>
      <w:pPr>
        <w:ind w:left="2624" w:hanging="420"/>
      </w:pPr>
      <w:rPr>
        <w:rFonts w:ascii="Wingdings" w:hAnsi="Wingdings" w:hint="default"/>
      </w:rPr>
    </w:lvl>
    <w:lvl w:ilvl="5">
      <w:start w:val="1"/>
      <w:numFmt w:val="bullet"/>
      <w:lvlText w:val=""/>
      <w:lvlJc w:val="left"/>
      <w:pPr>
        <w:ind w:left="3044" w:hanging="420"/>
      </w:pPr>
      <w:rPr>
        <w:rFonts w:ascii="Wingdings" w:hAnsi="Wingdings" w:hint="default"/>
      </w:rPr>
    </w:lvl>
    <w:lvl w:ilvl="6">
      <w:start w:val="1"/>
      <w:numFmt w:val="bullet"/>
      <w:lvlText w:val=""/>
      <w:lvlJc w:val="left"/>
      <w:pPr>
        <w:ind w:left="3464" w:hanging="420"/>
      </w:pPr>
      <w:rPr>
        <w:rFonts w:ascii="Wingdings" w:hAnsi="Wingdings" w:hint="default"/>
      </w:rPr>
    </w:lvl>
    <w:lvl w:ilvl="7">
      <w:start w:val="1"/>
      <w:numFmt w:val="bullet"/>
      <w:lvlText w:val=""/>
      <w:lvlJc w:val="left"/>
      <w:pPr>
        <w:ind w:left="3884" w:hanging="420"/>
      </w:pPr>
      <w:rPr>
        <w:rFonts w:ascii="Wingdings" w:hAnsi="Wingdings" w:hint="default"/>
      </w:rPr>
    </w:lvl>
    <w:lvl w:ilvl="8">
      <w:start w:val="1"/>
      <w:numFmt w:val="bullet"/>
      <w:lvlText w:val=""/>
      <w:lvlJc w:val="left"/>
      <w:pPr>
        <w:ind w:left="4304" w:hanging="420"/>
      </w:pPr>
      <w:rPr>
        <w:rFonts w:ascii="Wingdings" w:hAnsi="Wingdings" w:hint="default"/>
      </w:rPr>
    </w:lvl>
  </w:abstractNum>
  <w:abstractNum w:abstractNumId="7" w15:restartNumberingAfterBreak="0">
    <w:nsid w:val="3AE05020"/>
    <w:multiLevelType w:val="multilevel"/>
    <w:tmpl w:val="29DC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86C2F"/>
    <w:multiLevelType w:val="singleLevel"/>
    <w:tmpl w:val="37A664D4"/>
    <w:lvl w:ilvl="0">
      <w:start w:val="1"/>
      <w:numFmt w:val="chineseCounting"/>
      <w:pStyle w:val="a0"/>
      <w:suff w:val="nothing"/>
      <w:lvlText w:val="（%1）"/>
      <w:lvlJc w:val="left"/>
      <w:pPr>
        <w:ind w:left="0" w:firstLine="420"/>
      </w:pPr>
      <w:rPr>
        <w:rFonts w:hint="eastAsia"/>
        <w:lang w:val="en-US"/>
      </w:rPr>
    </w:lvl>
  </w:abstractNum>
  <w:abstractNum w:abstractNumId="9" w15:restartNumberingAfterBreak="0">
    <w:nsid w:val="68FB3A12"/>
    <w:multiLevelType w:val="multilevel"/>
    <w:tmpl w:val="1C6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2240B"/>
    <w:multiLevelType w:val="multilevel"/>
    <w:tmpl w:val="801A066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start w:val="3"/>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4E9EA"/>
    <w:multiLevelType w:val="multilevel"/>
    <w:tmpl w:val="7024E9EA"/>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76487D85"/>
    <w:multiLevelType w:val="multilevel"/>
    <w:tmpl w:val="76487D85"/>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E2D6B48"/>
    <w:multiLevelType w:val="multilevel"/>
    <w:tmpl w:val="01B0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382595">
    <w:abstractNumId w:val="9"/>
  </w:num>
  <w:num w:numId="2" w16cid:durableId="110394194">
    <w:abstractNumId w:val="5"/>
  </w:num>
  <w:num w:numId="3" w16cid:durableId="1719283695">
    <w:abstractNumId w:val="10"/>
  </w:num>
  <w:num w:numId="4" w16cid:durableId="170141931">
    <w:abstractNumId w:val="4"/>
  </w:num>
  <w:num w:numId="5" w16cid:durableId="1753234848">
    <w:abstractNumId w:val="13"/>
  </w:num>
  <w:num w:numId="6" w16cid:durableId="1737849874">
    <w:abstractNumId w:val="3"/>
  </w:num>
  <w:num w:numId="7" w16cid:durableId="1960338668">
    <w:abstractNumId w:val="8"/>
  </w:num>
  <w:num w:numId="8" w16cid:durableId="562640875">
    <w:abstractNumId w:val="6"/>
  </w:num>
  <w:num w:numId="9" w16cid:durableId="1209805905">
    <w:abstractNumId w:val="12"/>
  </w:num>
  <w:num w:numId="10" w16cid:durableId="152650410">
    <w:abstractNumId w:val="2"/>
  </w:num>
  <w:num w:numId="11" w16cid:durableId="1995646990">
    <w:abstractNumId w:val="0"/>
  </w:num>
  <w:num w:numId="12" w16cid:durableId="2129229374">
    <w:abstractNumId w:val="1"/>
  </w:num>
  <w:num w:numId="13" w16cid:durableId="2005156350">
    <w:abstractNumId w:val="11"/>
  </w:num>
  <w:num w:numId="14" w16cid:durableId="1489979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Q0NzIzMDEwtDAxNjFR0lEKTi0uzszPAykwNKgFALgQhFstAAAA"/>
    <w:docVar w:name="commondata" w:val="eyJoZGlkIjoiN2YzNjBkOTgyNWQ1YTMxYzM3MzMwNWFiODNmOWIzYWMifQ=="/>
  </w:docVars>
  <w:rsids>
    <w:rsidRoot w:val="00C37969"/>
    <w:rsid w:val="0000081B"/>
    <w:rsid w:val="00000BC7"/>
    <w:rsid w:val="000027A6"/>
    <w:rsid w:val="000034C8"/>
    <w:rsid w:val="00004647"/>
    <w:rsid w:val="00007023"/>
    <w:rsid w:val="00010BF9"/>
    <w:rsid w:val="00012E72"/>
    <w:rsid w:val="00014207"/>
    <w:rsid w:val="00016B76"/>
    <w:rsid w:val="00020429"/>
    <w:rsid w:val="00020828"/>
    <w:rsid w:val="00021831"/>
    <w:rsid w:val="0002581C"/>
    <w:rsid w:val="00033AC4"/>
    <w:rsid w:val="00034521"/>
    <w:rsid w:val="000359BC"/>
    <w:rsid w:val="00040F1F"/>
    <w:rsid w:val="0004192E"/>
    <w:rsid w:val="00041A73"/>
    <w:rsid w:val="00041FDF"/>
    <w:rsid w:val="000458BD"/>
    <w:rsid w:val="00052D8B"/>
    <w:rsid w:val="00055661"/>
    <w:rsid w:val="000605E6"/>
    <w:rsid w:val="00061242"/>
    <w:rsid w:val="00062457"/>
    <w:rsid w:val="00065A7A"/>
    <w:rsid w:val="00072631"/>
    <w:rsid w:val="00073510"/>
    <w:rsid w:val="000740A6"/>
    <w:rsid w:val="00076136"/>
    <w:rsid w:val="00080D8D"/>
    <w:rsid w:val="0008108F"/>
    <w:rsid w:val="00082AD0"/>
    <w:rsid w:val="00083447"/>
    <w:rsid w:val="000851A1"/>
    <w:rsid w:val="000859D3"/>
    <w:rsid w:val="00085A38"/>
    <w:rsid w:val="00091D6D"/>
    <w:rsid w:val="00093F1B"/>
    <w:rsid w:val="00095C85"/>
    <w:rsid w:val="00095C95"/>
    <w:rsid w:val="00095E01"/>
    <w:rsid w:val="00096910"/>
    <w:rsid w:val="000A558C"/>
    <w:rsid w:val="000A6E8B"/>
    <w:rsid w:val="000B0077"/>
    <w:rsid w:val="000B0BB7"/>
    <w:rsid w:val="000C00A0"/>
    <w:rsid w:val="000C30F0"/>
    <w:rsid w:val="000C4719"/>
    <w:rsid w:val="000C4B42"/>
    <w:rsid w:val="000C5D3A"/>
    <w:rsid w:val="000C7100"/>
    <w:rsid w:val="000D0C7F"/>
    <w:rsid w:val="000D1A15"/>
    <w:rsid w:val="000D375F"/>
    <w:rsid w:val="000D3F5E"/>
    <w:rsid w:val="000D62AB"/>
    <w:rsid w:val="000E0463"/>
    <w:rsid w:val="000E2A84"/>
    <w:rsid w:val="000E5235"/>
    <w:rsid w:val="000F0A4F"/>
    <w:rsid w:val="000F34CA"/>
    <w:rsid w:val="000F34DB"/>
    <w:rsid w:val="00100521"/>
    <w:rsid w:val="00100EED"/>
    <w:rsid w:val="00105102"/>
    <w:rsid w:val="00105CA2"/>
    <w:rsid w:val="00120D2C"/>
    <w:rsid w:val="00121010"/>
    <w:rsid w:val="00121C12"/>
    <w:rsid w:val="0012256C"/>
    <w:rsid w:val="001229AD"/>
    <w:rsid w:val="00124CFF"/>
    <w:rsid w:val="00127AD2"/>
    <w:rsid w:val="00131F99"/>
    <w:rsid w:val="00133328"/>
    <w:rsid w:val="00134B15"/>
    <w:rsid w:val="00136A9A"/>
    <w:rsid w:val="00136D9C"/>
    <w:rsid w:val="00140FE3"/>
    <w:rsid w:val="0014615D"/>
    <w:rsid w:val="00147953"/>
    <w:rsid w:val="00150CC6"/>
    <w:rsid w:val="0015173E"/>
    <w:rsid w:val="00156165"/>
    <w:rsid w:val="00156CB5"/>
    <w:rsid w:val="00157707"/>
    <w:rsid w:val="00162E68"/>
    <w:rsid w:val="001643DC"/>
    <w:rsid w:val="00166276"/>
    <w:rsid w:val="001667A5"/>
    <w:rsid w:val="00167C53"/>
    <w:rsid w:val="00170908"/>
    <w:rsid w:val="00170D29"/>
    <w:rsid w:val="00172B69"/>
    <w:rsid w:val="00172D40"/>
    <w:rsid w:val="001838AA"/>
    <w:rsid w:val="0018534F"/>
    <w:rsid w:val="0018704C"/>
    <w:rsid w:val="00191E71"/>
    <w:rsid w:val="001923DA"/>
    <w:rsid w:val="00192EDA"/>
    <w:rsid w:val="0019309A"/>
    <w:rsid w:val="00193220"/>
    <w:rsid w:val="00193DAE"/>
    <w:rsid w:val="00194D83"/>
    <w:rsid w:val="001965E2"/>
    <w:rsid w:val="001A318F"/>
    <w:rsid w:val="001A4B22"/>
    <w:rsid w:val="001B6C36"/>
    <w:rsid w:val="001B7358"/>
    <w:rsid w:val="001C1C98"/>
    <w:rsid w:val="001C21E8"/>
    <w:rsid w:val="001C4B32"/>
    <w:rsid w:val="001C522D"/>
    <w:rsid w:val="001C59FE"/>
    <w:rsid w:val="001C5A2B"/>
    <w:rsid w:val="001C7A8B"/>
    <w:rsid w:val="001D225F"/>
    <w:rsid w:val="001D2F31"/>
    <w:rsid w:val="001D6694"/>
    <w:rsid w:val="001D73D9"/>
    <w:rsid w:val="001D7E90"/>
    <w:rsid w:val="001E4400"/>
    <w:rsid w:val="001E4BE5"/>
    <w:rsid w:val="001E598D"/>
    <w:rsid w:val="001E64CC"/>
    <w:rsid w:val="001F2852"/>
    <w:rsid w:val="001F3467"/>
    <w:rsid w:val="0020268F"/>
    <w:rsid w:val="00204C25"/>
    <w:rsid w:val="00204D96"/>
    <w:rsid w:val="00210950"/>
    <w:rsid w:val="0021143C"/>
    <w:rsid w:val="00211499"/>
    <w:rsid w:val="00212CD7"/>
    <w:rsid w:val="00214EDA"/>
    <w:rsid w:val="0021664B"/>
    <w:rsid w:val="002167FF"/>
    <w:rsid w:val="00217D18"/>
    <w:rsid w:val="00221A7C"/>
    <w:rsid w:val="00222DDD"/>
    <w:rsid w:val="00222E2E"/>
    <w:rsid w:val="0022544F"/>
    <w:rsid w:val="002262C1"/>
    <w:rsid w:val="002319F8"/>
    <w:rsid w:val="00235CF1"/>
    <w:rsid w:val="002363E7"/>
    <w:rsid w:val="002407EC"/>
    <w:rsid w:val="00245FE2"/>
    <w:rsid w:val="00250CF4"/>
    <w:rsid w:val="00250F0E"/>
    <w:rsid w:val="00252BD3"/>
    <w:rsid w:val="00252EDA"/>
    <w:rsid w:val="00254888"/>
    <w:rsid w:val="002550D0"/>
    <w:rsid w:val="00261528"/>
    <w:rsid w:val="002641C1"/>
    <w:rsid w:val="002644DC"/>
    <w:rsid w:val="0026481C"/>
    <w:rsid w:val="00271DB2"/>
    <w:rsid w:val="00275AB2"/>
    <w:rsid w:val="00275EDB"/>
    <w:rsid w:val="00277FC2"/>
    <w:rsid w:val="0028052A"/>
    <w:rsid w:val="00282C96"/>
    <w:rsid w:val="0028577B"/>
    <w:rsid w:val="00290349"/>
    <w:rsid w:val="00290B86"/>
    <w:rsid w:val="00293F21"/>
    <w:rsid w:val="00297362"/>
    <w:rsid w:val="002A0ACD"/>
    <w:rsid w:val="002A4934"/>
    <w:rsid w:val="002A4EAE"/>
    <w:rsid w:val="002A53C1"/>
    <w:rsid w:val="002A573C"/>
    <w:rsid w:val="002A5A41"/>
    <w:rsid w:val="002A7C8C"/>
    <w:rsid w:val="002B15DB"/>
    <w:rsid w:val="002B57DB"/>
    <w:rsid w:val="002C1435"/>
    <w:rsid w:val="002C1CA4"/>
    <w:rsid w:val="002C1FDB"/>
    <w:rsid w:val="002C4D26"/>
    <w:rsid w:val="002C76C1"/>
    <w:rsid w:val="002C7702"/>
    <w:rsid w:val="002D2ED1"/>
    <w:rsid w:val="002D3603"/>
    <w:rsid w:val="002D4181"/>
    <w:rsid w:val="002D4495"/>
    <w:rsid w:val="002D51D2"/>
    <w:rsid w:val="002D71DE"/>
    <w:rsid w:val="002E0960"/>
    <w:rsid w:val="002E1977"/>
    <w:rsid w:val="002E1B5F"/>
    <w:rsid w:val="002E5176"/>
    <w:rsid w:val="002E5C36"/>
    <w:rsid w:val="002E5D51"/>
    <w:rsid w:val="002E764A"/>
    <w:rsid w:val="002F01F6"/>
    <w:rsid w:val="002F60D8"/>
    <w:rsid w:val="002F6D6D"/>
    <w:rsid w:val="00300A28"/>
    <w:rsid w:val="003023B2"/>
    <w:rsid w:val="00302BCC"/>
    <w:rsid w:val="003034EA"/>
    <w:rsid w:val="00303B22"/>
    <w:rsid w:val="00314B71"/>
    <w:rsid w:val="0031502E"/>
    <w:rsid w:val="00316627"/>
    <w:rsid w:val="0032151B"/>
    <w:rsid w:val="003218D0"/>
    <w:rsid w:val="00321E44"/>
    <w:rsid w:val="00325329"/>
    <w:rsid w:val="00327BD4"/>
    <w:rsid w:val="00333223"/>
    <w:rsid w:val="003350ED"/>
    <w:rsid w:val="00335B23"/>
    <w:rsid w:val="00337040"/>
    <w:rsid w:val="0034484B"/>
    <w:rsid w:val="00344F3B"/>
    <w:rsid w:val="00352027"/>
    <w:rsid w:val="0035260A"/>
    <w:rsid w:val="00356525"/>
    <w:rsid w:val="003609FE"/>
    <w:rsid w:val="00361828"/>
    <w:rsid w:val="00361B88"/>
    <w:rsid w:val="003625E7"/>
    <w:rsid w:val="00364B17"/>
    <w:rsid w:val="003713BF"/>
    <w:rsid w:val="0037624C"/>
    <w:rsid w:val="00377D72"/>
    <w:rsid w:val="00380BA3"/>
    <w:rsid w:val="003815A4"/>
    <w:rsid w:val="00382939"/>
    <w:rsid w:val="003844A0"/>
    <w:rsid w:val="00386A9E"/>
    <w:rsid w:val="00387A57"/>
    <w:rsid w:val="00387BBA"/>
    <w:rsid w:val="003929B3"/>
    <w:rsid w:val="00395EBF"/>
    <w:rsid w:val="003A2B84"/>
    <w:rsid w:val="003B006A"/>
    <w:rsid w:val="003B3155"/>
    <w:rsid w:val="003B3E8B"/>
    <w:rsid w:val="003B53A0"/>
    <w:rsid w:val="003B58A7"/>
    <w:rsid w:val="003C07C8"/>
    <w:rsid w:val="003C2A74"/>
    <w:rsid w:val="003C3596"/>
    <w:rsid w:val="003C3682"/>
    <w:rsid w:val="003C3764"/>
    <w:rsid w:val="003C5C92"/>
    <w:rsid w:val="003C7779"/>
    <w:rsid w:val="003C78CE"/>
    <w:rsid w:val="003D0CDE"/>
    <w:rsid w:val="003D1B93"/>
    <w:rsid w:val="003D36E5"/>
    <w:rsid w:val="003D4BCA"/>
    <w:rsid w:val="003D611D"/>
    <w:rsid w:val="003E0E09"/>
    <w:rsid w:val="003E1FCE"/>
    <w:rsid w:val="003E431A"/>
    <w:rsid w:val="003E5565"/>
    <w:rsid w:val="003E6F40"/>
    <w:rsid w:val="003E7DB2"/>
    <w:rsid w:val="003E7E89"/>
    <w:rsid w:val="003F3A63"/>
    <w:rsid w:val="003F5983"/>
    <w:rsid w:val="003F62FE"/>
    <w:rsid w:val="003F6E76"/>
    <w:rsid w:val="003F7898"/>
    <w:rsid w:val="00400B29"/>
    <w:rsid w:val="0040158A"/>
    <w:rsid w:val="004015D4"/>
    <w:rsid w:val="00401AD1"/>
    <w:rsid w:val="004024A1"/>
    <w:rsid w:val="00402D9B"/>
    <w:rsid w:val="00405696"/>
    <w:rsid w:val="00407936"/>
    <w:rsid w:val="00413920"/>
    <w:rsid w:val="00417D88"/>
    <w:rsid w:val="00417DCF"/>
    <w:rsid w:val="00421B0F"/>
    <w:rsid w:val="004228B0"/>
    <w:rsid w:val="00423C23"/>
    <w:rsid w:val="004241E8"/>
    <w:rsid w:val="0042528A"/>
    <w:rsid w:val="00425C99"/>
    <w:rsid w:val="004260F2"/>
    <w:rsid w:val="0043210F"/>
    <w:rsid w:val="00432F39"/>
    <w:rsid w:val="00434E65"/>
    <w:rsid w:val="004371FC"/>
    <w:rsid w:val="004405A5"/>
    <w:rsid w:val="0044092A"/>
    <w:rsid w:val="00442EE7"/>
    <w:rsid w:val="0044354C"/>
    <w:rsid w:val="00443C0A"/>
    <w:rsid w:val="00444AB8"/>
    <w:rsid w:val="0044668A"/>
    <w:rsid w:val="004519BC"/>
    <w:rsid w:val="00453528"/>
    <w:rsid w:val="004539F5"/>
    <w:rsid w:val="004614F3"/>
    <w:rsid w:val="00461D4B"/>
    <w:rsid w:val="00461D7B"/>
    <w:rsid w:val="004622E0"/>
    <w:rsid w:val="004626B0"/>
    <w:rsid w:val="0046374B"/>
    <w:rsid w:val="00463AEF"/>
    <w:rsid w:val="004647A5"/>
    <w:rsid w:val="004652B6"/>
    <w:rsid w:val="00466205"/>
    <w:rsid w:val="00476F2C"/>
    <w:rsid w:val="00483EB3"/>
    <w:rsid w:val="00483EBF"/>
    <w:rsid w:val="00487BED"/>
    <w:rsid w:val="00492027"/>
    <w:rsid w:val="00492952"/>
    <w:rsid w:val="00495B4B"/>
    <w:rsid w:val="004A6BBD"/>
    <w:rsid w:val="004B37A2"/>
    <w:rsid w:val="004B4F47"/>
    <w:rsid w:val="004B4F4E"/>
    <w:rsid w:val="004C443C"/>
    <w:rsid w:val="004C46BC"/>
    <w:rsid w:val="004C6421"/>
    <w:rsid w:val="004C7616"/>
    <w:rsid w:val="004D5483"/>
    <w:rsid w:val="004D6F44"/>
    <w:rsid w:val="004E1B68"/>
    <w:rsid w:val="004E237D"/>
    <w:rsid w:val="004E675C"/>
    <w:rsid w:val="004F2635"/>
    <w:rsid w:val="004F47DB"/>
    <w:rsid w:val="004F4CB6"/>
    <w:rsid w:val="004F6755"/>
    <w:rsid w:val="004F6A47"/>
    <w:rsid w:val="004F6B4A"/>
    <w:rsid w:val="004F6F0A"/>
    <w:rsid w:val="004F784F"/>
    <w:rsid w:val="0050119C"/>
    <w:rsid w:val="0050187B"/>
    <w:rsid w:val="00502C8E"/>
    <w:rsid w:val="00507E6F"/>
    <w:rsid w:val="005135DA"/>
    <w:rsid w:val="0051576D"/>
    <w:rsid w:val="00515792"/>
    <w:rsid w:val="005171C8"/>
    <w:rsid w:val="005217D7"/>
    <w:rsid w:val="00524508"/>
    <w:rsid w:val="00526A11"/>
    <w:rsid w:val="00530C34"/>
    <w:rsid w:val="00531F88"/>
    <w:rsid w:val="005361B0"/>
    <w:rsid w:val="005402A9"/>
    <w:rsid w:val="00550421"/>
    <w:rsid w:val="00551844"/>
    <w:rsid w:val="00552216"/>
    <w:rsid w:val="005522EA"/>
    <w:rsid w:val="00552688"/>
    <w:rsid w:val="00553239"/>
    <w:rsid w:val="00560B14"/>
    <w:rsid w:val="00561878"/>
    <w:rsid w:val="00562C6D"/>
    <w:rsid w:val="005633B3"/>
    <w:rsid w:val="005669D9"/>
    <w:rsid w:val="00571811"/>
    <w:rsid w:val="00571A4E"/>
    <w:rsid w:val="00572474"/>
    <w:rsid w:val="00574266"/>
    <w:rsid w:val="0057432C"/>
    <w:rsid w:val="00575667"/>
    <w:rsid w:val="00580EEC"/>
    <w:rsid w:val="0058316E"/>
    <w:rsid w:val="00584336"/>
    <w:rsid w:val="00585E66"/>
    <w:rsid w:val="005867DA"/>
    <w:rsid w:val="0058769C"/>
    <w:rsid w:val="00591F23"/>
    <w:rsid w:val="005950EB"/>
    <w:rsid w:val="0059621D"/>
    <w:rsid w:val="00597613"/>
    <w:rsid w:val="005B2A9A"/>
    <w:rsid w:val="005B32DF"/>
    <w:rsid w:val="005B391C"/>
    <w:rsid w:val="005C07FE"/>
    <w:rsid w:val="005C47BA"/>
    <w:rsid w:val="005C5145"/>
    <w:rsid w:val="005C5DCC"/>
    <w:rsid w:val="005C7934"/>
    <w:rsid w:val="005C7BDC"/>
    <w:rsid w:val="005D5FE1"/>
    <w:rsid w:val="005D7FCD"/>
    <w:rsid w:val="005E098C"/>
    <w:rsid w:val="005E589F"/>
    <w:rsid w:val="005E73CA"/>
    <w:rsid w:val="005F0746"/>
    <w:rsid w:val="005F143C"/>
    <w:rsid w:val="005F2AE7"/>
    <w:rsid w:val="005F3E84"/>
    <w:rsid w:val="005F4FC8"/>
    <w:rsid w:val="00601813"/>
    <w:rsid w:val="00606949"/>
    <w:rsid w:val="00614AC5"/>
    <w:rsid w:val="00616790"/>
    <w:rsid w:val="006209FF"/>
    <w:rsid w:val="006249E5"/>
    <w:rsid w:val="00627107"/>
    <w:rsid w:val="006304A9"/>
    <w:rsid w:val="00630DF0"/>
    <w:rsid w:val="00633FC3"/>
    <w:rsid w:val="0064141A"/>
    <w:rsid w:val="006431CE"/>
    <w:rsid w:val="006448EC"/>
    <w:rsid w:val="00645125"/>
    <w:rsid w:val="006470F5"/>
    <w:rsid w:val="00647539"/>
    <w:rsid w:val="00647D3E"/>
    <w:rsid w:val="0065042B"/>
    <w:rsid w:val="00653933"/>
    <w:rsid w:val="00656AB0"/>
    <w:rsid w:val="00656FDC"/>
    <w:rsid w:val="00661642"/>
    <w:rsid w:val="006638ED"/>
    <w:rsid w:val="006639D9"/>
    <w:rsid w:val="00665505"/>
    <w:rsid w:val="0066641B"/>
    <w:rsid w:val="0067003D"/>
    <w:rsid w:val="006734E5"/>
    <w:rsid w:val="00677A66"/>
    <w:rsid w:val="00681A51"/>
    <w:rsid w:val="00682947"/>
    <w:rsid w:val="00683B20"/>
    <w:rsid w:val="006849FD"/>
    <w:rsid w:val="00684B63"/>
    <w:rsid w:val="00685A05"/>
    <w:rsid w:val="006903C0"/>
    <w:rsid w:val="00691A34"/>
    <w:rsid w:val="006930EC"/>
    <w:rsid w:val="00696881"/>
    <w:rsid w:val="00696C9D"/>
    <w:rsid w:val="00697777"/>
    <w:rsid w:val="0069792D"/>
    <w:rsid w:val="006A005B"/>
    <w:rsid w:val="006A2216"/>
    <w:rsid w:val="006A245D"/>
    <w:rsid w:val="006A3683"/>
    <w:rsid w:val="006A57F2"/>
    <w:rsid w:val="006A6AD5"/>
    <w:rsid w:val="006B42CE"/>
    <w:rsid w:val="006B4B92"/>
    <w:rsid w:val="006C1FCA"/>
    <w:rsid w:val="006C2DC3"/>
    <w:rsid w:val="006C3018"/>
    <w:rsid w:val="006C3D36"/>
    <w:rsid w:val="006C4259"/>
    <w:rsid w:val="006C4CD5"/>
    <w:rsid w:val="006C54CB"/>
    <w:rsid w:val="006C57BB"/>
    <w:rsid w:val="006C7900"/>
    <w:rsid w:val="006D01D0"/>
    <w:rsid w:val="006D089C"/>
    <w:rsid w:val="006D418C"/>
    <w:rsid w:val="006D4D6D"/>
    <w:rsid w:val="006D614A"/>
    <w:rsid w:val="006D7C44"/>
    <w:rsid w:val="006E48BA"/>
    <w:rsid w:val="006E4906"/>
    <w:rsid w:val="006E5B5D"/>
    <w:rsid w:val="006E6D0B"/>
    <w:rsid w:val="006F17D8"/>
    <w:rsid w:val="006F22D1"/>
    <w:rsid w:val="006F39AD"/>
    <w:rsid w:val="00700766"/>
    <w:rsid w:val="00701F32"/>
    <w:rsid w:val="0070225D"/>
    <w:rsid w:val="007031EF"/>
    <w:rsid w:val="007047AB"/>
    <w:rsid w:val="00706608"/>
    <w:rsid w:val="0070795D"/>
    <w:rsid w:val="00714410"/>
    <w:rsid w:val="007149D0"/>
    <w:rsid w:val="007153F8"/>
    <w:rsid w:val="00720599"/>
    <w:rsid w:val="0072107F"/>
    <w:rsid w:val="007236A8"/>
    <w:rsid w:val="00724705"/>
    <w:rsid w:val="00732492"/>
    <w:rsid w:val="0073249C"/>
    <w:rsid w:val="0073256D"/>
    <w:rsid w:val="00732A5F"/>
    <w:rsid w:val="0073319A"/>
    <w:rsid w:val="0073698C"/>
    <w:rsid w:val="00736E8A"/>
    <w:rsid w:val="00737568"/>
    <w:rsid w:val="00741C5D"/>
    <w:rsid w:val="0074345B"/>
    <w:rsid w:val="007441C5"/>
    <w:rsid w:val="007466C9"/>
    <w:rsid w:val="00746D0E"/>
    <w:rsid w:val="00751046"/>
    <w:rsid w:val="00751847"/>
    <w:rsid w:val="00754D0C"/>
    <w:rsid w:val="0075529C"/>
    <w:rsid w:val="0077578D"/>
    <w:rsid w:val="00775B8C"/>
    <w:rsid w:val="0078083E"/>
    <w:rsid w:val="00780BD4"/>
    <w:rsid w:val="00783C73"/>
    <w:rsid w:val="00783E0E"/>
    <w:rsid w:val="00785A5C"/>
    <w:rsid w:val="00785C6E"/>
    <w:rsid w:val="00786AE1"/>
    <w:rsid w:val="00786DF2"/>
    <w:rsid w:val="0078719F"/>
    <w:rsid w:val="00790252"/>
    <w:rsid w:val="00792C8E"/>
    <w:rsid w:val="00795F5A"/>
    <w:rsid w:val="007A51ED"/>
    <w:rsid w:val="007A746A"/>
    <w:rsid w:val="007A7ECF"/>
    <w:rsid w:val="007B34FB"/>
    <w:rsid w:val="007B4411"/>
    <w:rsid w:val="007C24BC"/>
    <w:rsid w:val="007C3C63"/>
    <w:rsid w:val="007C3F6B"/>
    <w:rsid w:val="007C4529"/>
    <w:rsid w:val="007C4C6A"/>
    <w:rsid w:val="007C6517"/>
    <w:rsid w:val="007C680E"/>
    <w:rsid w:val="007D2AF4"/>
    <w:rsid w:val="007D3F23"/>
    <w:rsid w:val="007D4C6C"/>
    <w:rsid w:val="007E0D40"/>
    <w:rsid w:val="007E4E98"/>
    <w:rsid w:val="007F00CA"/>
    <w:rsid w:val="007F5464"/>
    <w:rsid w:val="007F5EB0"/>
    <w:rsid w:val="007F762E"/>
    <w:rsid w:val="007F7FB1"/>
    <w:rsid w:val="007F7FBD"/>
    <w:rsid w:val="00800815"/>
    <w:rsid w:val="00801C1A"/>
    <w:rsid w:val="0080263E"/>
    <w:rsid w:val="008038F8"/>
    <w:rsid w:val="00804233"/>
    <w:rsid w:val="008052D3"/>
    <w:rsid w:val="008053FC"/>
    <w:rsid w:val="00806C6A"/>
    <w:rsid w:val="00812980"/>
    <w:rsid w:val="0081309B"/>
    <w:rsid w:val="0081473C"/>
    <w:rsid w:val="00820428"/>
    <w:rsid w:val="00821FA4"/>
    <w:rsid w:val="008237F8"/>
    <w:rsid w:val="00831DFF"/>
    <w:rsid w:val="00832ABA"/>
    <w:rsid w:val="00835A89"/>
    <w:rsid w:val="008417C0"/>
    <w:rsid w:val="00844505"/>
    <w:rsid w:val="00845141"/>
    <w:rsid w:val="00846591"/>
    <w:rsid w:val="00846626"/>
    <w:rsid w:val="00851634"/>
    <w:rsid w:val="00852062"/>
    <w:rsid w:val="00853018"/>
    <w:rsid w:val="008553F0"/>
    <w:rsid w:val="00855511"/>
    <w:rsid w:val="00863350"/>
    <w:rsid w:val="008634D6"/>
    <w:rsid w:val="00866FFC"/>
    <w:rsid w:val="008677D4"/>
    <w:rsid w:val="008751DC"/>
    <w:rsid w:val="008764CF"/>
    <w:rsid w:val="008773EF"/>
    <w:rsid w:val="00880723"/>
    <w:rsid w:val="00881B35"/>
    <w:rsid w:val="00885EB3"/>
    <w:rsid w:val="00886589"/>
    <w:rsid w:val="008900A7"/>
    <w:rsid w:val="00893F32"/>
    <w:rsid w:val="00894386"/>
    <w:rsid w:val="00895DD5"/>
    <w:rsid w:val="008A0E74"/>
    <w:rsid w:val="008A36BB"/>
    <w:rsid w:val="008A4107"/>
    <w:rsid w:val="008A5318"/>
    <w:rsid w:val="008A633E"/>
    <w:rsid w:val="008A6B94"/>
    <w:rsid w:val="008B03A1"/>
    <w:rsid w:val="008B0EB5"/>
    <w:rsid w:val="008B2219"/>
    <w:rsid w:val="008B261C"/>
    <w:rsid w:val="008B46F0"/>
    <w:rsid w:val="008B75CC"/>
    <w:rsid w:val="008C014F"/>
    <w:rsid w:val="008C026C"/>
    <w:rsid w:val="008C1D77"/>
    <w:rsid w:val="008C2B70"/>
    <w:rsid w:val="008C7C7A"/>
    <w:rsid w:val="008D7098"/>
    <w:rsid w:val="008E37D3"/>
    <w:rsid w:val="008E3E07"/>
    <w:rsid w:val="008E4F48"/>
    <w:rsid w:val="008E7651"/>
    <w:rsid w:val="008F0064"/>
    <w:rsid w:val="008F3352"/>
    <w:rsid w:val="008F3890"/>
    <w:rsid w:val="008F61A2"/>
    <w:rsid w:val="008F67FC"/>
    <w:rsid w:val="0090003E"/>
    <w:rsid w:val="00902ED0"/>
    <w:rsid w:val="00904981"/>
    <w:rsid w:val="00905309"/>
    <w:rsid w:val="00905397"/>
    <w:rsid w:val="0091479B"/>
    <w:rsid w:val="0091648D"/>
    <w:rsid w:val="00920343"/>
    <w:rsid w:val="0092087E"/>
    <w:rsid w:val="009215A4"/>
    <w:rsid w:val="00921804"/>
    <w:rsid w:val="009267B2"/>
    <w:rsid w:val="00934072"/>
    <w:rsid w:val="009347B6"/>
    <w:rsid w:val="00935002"/>
    <w:rsid w:val="00935236"/>
    <w:rsid w:val="00940754"/>
    <w:rsid w:val="00940FA0"/>
    <w:rsid w:val="009432F2"/>
    <w:rsid w:val="009470BB"/>
    <w:rsid w:val="009502C1"/>
    <w:rsid w:val="00953268"/>
    <w:rsid w:val="00953D38"/>
    <w:rsid w:val="0095434F"/>
    <w:rsid w:val="00954B28"/>
    <w:rsid w:val="00955075"/>
    <w:rsid w:val="00956DBA"/>
    <w:rsid w:val="00965891"/>
    <w:rsid w:val="00966663"/>
    <w:rsid w:val="009671D2"/>
    <w:rsid w:val="00973E89"/>
    <w:rsid w:val="00974E12"/>
    <w:rsid w:val="00980D44"/>
    <w:rsid w:val="00987E0A"/>
    <w:rsid w:val="0099213E"/>
    <w:rsid w:val="00992FFB"/>
    <w:rsid w:val="009949AE"/>
    <w:rsid w:val="00995D99"/>
    <w:rsid w:val="009A0405"/>
    <w:rsid w:val="009A2C93"/>
    <w:rsid w:val="009A2E0E"/>
    <w:rsid w:val="009A553E"/>
    <w:rsid w:val="009A6027"/>
    <w:rsid w:val="009B20E3"/>
    <w:rsid w:val="009B45F7"/>
    <w:rsid w:val="009B7481"/>
    <w:rsid w:val="009B768E"/>
    <w:rsid w:val="009C3BD6"/>
    <w:rsid w:val="009C44ED"/>
    <w:rsid w:val="009C490F"/>
    <w:rsid w:val="009D0854"/>
    <w:rsid w:val="009D42D7"/>
    <w:rsid w:val="009D442A"/>
    <w:rsid w:val="009E0716"/>
    <w:rsid w:val="009E1983"/>
    <w:rsid w:val="009E1AE2"/>
    <w:rsid w:val="009E3042"/>
    <w:rsid w:val="009E3CA5"/>
    <w:rsid w:val="009E60A0"/>
    <w:rsid w:val="009E780D"/>
    <w:rsid w:val="009F104F"/>
    <w:rsid w:val="009F3BFB"/>
    <w:rsid w:val="009F4C79"/>
    <w:rsid w:val="009F5DEF"/>
    <w:rsid w:val="009F76CA"/>
    <w:rsid w:val="009F78D6"/>
    <w:rsid w:val="009F79EE"/>
    <w:rsid w:val="00A02F23"/>
    <w:rsid w:val="00A0410B"/>
    <w:rsid w:val="00A0633F"/>
    <w:rsid w:val="00A06CE2"/>
    <w:rsid w:val="00A07E2A"/>
    <w:rsid w:val="00A100DB"/>
    <w:rsid w:val="00A103FC"/>
    <w:rsid w:val="00A11516"/>
    <w:rsid w:val="00A16C5E"/>
    <w:rsid w:val="00A17605"/>
    <w:rsid w:val="00A221AC"/>
    <w:rsid w:val="00A22AD9"/>
    <w:rsid w:val="00A32982"/>
    <w:rsid w:val="00A35990"/>
    <w:rsid w:val="00A37A6E"/>
    <w:rsid w:val="00A41079"/>
    <w:rsid w:val="00A421B5"/>
    <w:rsid w:val="00A42DD9"/>
    <w:rsid w:val="00A4480A"/>
    <w:rsid w:val="00A46F85"/>
    <w:rsid w:val="00A47993"/>
    <w:rsid w:val="00A516F6"/>
    <w:rsid w:val="00A532F0"/>
    <w:rsid w:val="00A53E96"/>
    <w:rsid w:val="00A54E25"/>
    <w:rsid w:val="00A55FB5"/>
    <w:rsid w:val="00A578C1"/>
    <w:rsid w:val="00A71220"/>
    <w:rsid w:val="00A7156F"/>
    <w:rsid w:val="00A71D56"/>
    <w:rsid w:val="00A72A9C"/>
    <w:rsid w:val="00A737BE"/>
    <w:rsid w:val="00A740C6"/>
    <w:rsid w:val="00A76F21"/>
    <w:rsid w:val="00A80EBC"/>
    <w:rsid w:val="00A81B30"/>
    <w:rsid w:val="00A82A9D"/>
    <w:rsid w:val="00A85DAB"/>
    <w:rsid w:val="00A86ECE"/>
    <w:rsid w:val="00A91D33"/>
    <w:rsid w:val="00A91EF6"/>
    <w:rsid w:val="00A92753"/>
    <w:rsid w:val="00A93434"/>
    <w:rsid w:val="00AA4C29"/>
    <w:rsid w:val="00AA5434"/>
    <w:rsid w:val="00AB3644"/>
    <w:rsid w:val="00AB5FC4"/>
    <w:rsid w:val="00AB625E"/>
    <w:rsid w:val="00AC3B9D"/>
    <w:rsid w:val="00AC3C42"/>
    <w:rsid w:val="00AC4BDF"/>
    <w:rsid w:val="00AC4EF1"/>
    <w:rsid w:val="00AC4FB1"/>
    <w:rsid w:val="00AC5B51"/>
    <w:rsid w:val="00AC63EF"/>
    <w:rsid w:val="00AC6419"/>
    <w:rsid w:val="00AC7947"/>
    <w:rsid w:val="00AD0DF7"/>
    <w:rsid w:val="00AD1814"/>
    <w:rsid w:val="00AD4982"/>
    <w:rsid w:val="00AD4CDE"/>
    <w:rsid w:val="00AD666E"/>
    <w:rsid w:val="00AD6ED2"/>
    <w:rsid w:val="00AE01DF"/>
    <w:rsid w:val="00AE355C"/>
    <w:rsid w:val="00AE7320"/>
    <w:rsid w:val="00AE79E4"/>
    <w:rsid w:val="00AE7E11"/>
    <w:rsid w:val="00AF1147"/>
    <w:rsid w:val="00AF117E"/>
    <w:rsid w:val="00AF11B2"/>
    <w:rsid w:val="00AF1609"/>
    <w:rsid w:val="00AF20B0"/>
    <w:rsid w:val="00AF22B5"/>
    <w:rsid w:val="00AF22D9"/>
    <w:rsid w:val="00AF3CF6"/>
    <w:rsid w:val="00AF3ED4"/>
    <w:rsid w:val="00B00427"/>
    <w:rsid w:val="00B01C99"/>
    <w:rsid w:val="00B01FB7"/>
    <w:rsid w:val="00B06D9E"/>
    <w:rsid w:val="00B110E4"/>
    <w:rsid w:val="00B13472"/>
    <w:rsid w:val="00B139F1"/>
    <w:rsid w:val="00B14A6D"/>
    <w:rsid w:val="00B16672"/>
    <w:rsid w:val="00B222DE"/>
    <w:rsid w:val="00B22B6E"/>
    <w:rsid w:val="00B25E9A"/>
    <w:rsid w:val="00B262F4"/>
    <w:rsid w:val="00B32378"/>
    <w:rsid w:val="00B32480"/>
    <w:rsid w:val="00B3251D"/>
    <w:rsid w:val="00B33D41"/>
    <w:rsid w:val="00B3632F"/>
    <w:rsid w:val="00B3704E"/>
    <w:rsid w:val="00B54645"/>
    <w:rsid w:val="00B570FC"/>
    <w:rsid w:val="00B57C29"/>
    <w:rsid w:val="00B610EE"/>
    <w:rsid w:val="00B61453"/>
    <w:rsid w:val="00B618BC"/>
    <w:rsid w:val="00B620ED"/>
    <w:rsid w:val="00B644DF"/>
    <w:rsid w:val="00B65A8D"/>
    <w:rsid w:val="00B661BB"/>
    <w:rsid w:val="00B67DD1"/>
    <w:rsid w:val="00B71C25"/>
    <w:rsid w:val="00B725D6"/>
    <w:rsid w:val="00B72935"/>
    <w:rsid w:val="00B732E9"/>
    <w:rsid w:val="00B7361D"/>
    <w:rsid w:val="00B806FC"/>
    <w:rsid w:val="00B828E0"/>
    <w:rsid w:val="00B83D8D"/>
    <w:rsid w:val="00B84981"/>
    <w:rsid w:val="00B870B3"/>
    <w:rsid w:val="00B942B7"/>
    <w:rsid w:val="00B94F24"/>
    <w:rsid w:val="00B973C7"/>
    <w:rsid w:val="00BA0878"/>
    <w:rsid w:val="00BA2A2B"/>
    <w:rsid w:val="00BA3DFA"/>
    <w:rsid w:val="00BA590A"/>
    <w:rsid w:val="00BB1352"/>
    <w:rsid w:val="00BB3074"/>
    <w:rsid w:val="00BB3D14"/>
    <w:rsid w:val="00BB471D"/>
    <w:rsid w:val="00BB4816"/>
    <w:rsid w:val="00BB5004"/>
    <w:rsid w:val="00BC1015"/>
    <w:rsid w:val="00BC2C6C"/>
    <w:rsid w:val="00BC7679"/>
    <w:rsid w:val="00BD05FA"/>
    <w:rsid w:val="00BD08B3"/>
    <w:rsid w:val="00BD1DAF"/>
    <w:rsid w:val="00BD3401"/>
    <w:rsid w:val="00BD579A"/>
    <w:rsid w:val="00BD5A0D"/>
    <w:rsid w:val="00BD6173"/>
    <w:rsid w:val="00BD75B9"/>
    <w:rsid w:val="00BE0328"/>
    <w:rsid w:val="00BE05E5"/>
    <w:rsid w:val="00BE0A3C"/>
    <w:rsid w:val="00BE1E97"/>
    <w:rsid w:val="00BE43EA"/>
    <w:rsid w:val="00BE479D"/>
    <w:rsid w:val="00BF04A6"/>
    <w:rsid w:val="00BF09EA"/>
    <w:rsid w:val="00BF102B"/>
    <w:rsid w:val="00BF143D"/>
    <w:rsid w:val="00BF2E7B"/>
    <w:rsid w:val="00BF32B2"/>
    <w:rsid w:val="00BF63B4"/>
    <w:rsid w:val="00BF77AF"/>
    <w:rsid w:val="00C0004C"/>
    <w:rsid w:val="00C00180"/>
    <w:rsid w:val="00C00B5E"/>
    <w:rsid w:val="00C02BF2"/>
    <w:rsid w:val="00C0340C"/>
    <w:rsid w:val="00C04D9C"/>
    <w:rsid w:val="00C051BC"/>
    <w:rsid w:val="00C12FF1"/>
    <w:rsid w:val="00C13A75"/>
    <w:rsid w:val="00C13C24"/>
    <w:rsid w:val="00C16962"/>
    <w:rsid w:val="00C1704D"/>
    <w:rsid w:val="00C205E5"/>
    <w:rsid w:val="00C210D3"/>
    <w:rsid w:val="00C2114B"/>
    <w:rsid w:val="00C2340A"/>
    <w:rsid w:val="00C32007"/>
    <w:rsid w:val="00C375A0"/>
    <w:rsid w:val="00C37969"/>
    <w:rsid w:val="00C37BDF"/>
    <w:rsid w:val="00C41175"/>
    <w:rsid w:val="00C41C75"/>
    <w:rsid w:val="00C454F0"/>
    <w:rsid w:val="00C45C55"/>
    <w:rsid w:val="00C46A82"/>
    <w:rsid w:val="00C46E02"/>
    <w:rsid w:val="00C47F68"/>
    <w:rsid w:val="00C52BDA"/>
    <w:rsid w:val="00C53CF1"/>
    <w:rsid w:val="00C53F80"/>
    <w:rsid w:val="00C54036"/>
    <w:rsid w:val="00C5442A"/>
    <w:rsid w:val="00C55424"/>
    <w:rsid w:val="00C57865"/>
    <w:rsid w:val="00C663F2"/>
    <w:rsid w:val="00C66BE9"/>
    <w:rsid w:val="00C724CA"/>
    <w:rsid w:val="00C72FBA"/>
    <w:rsid w:val="00C739B9"/>
    <w:rsid w:val="00C743FD"/>
    <w:rsid w:val="00C74EC0"/>
    <w:rsid w:val="00C75BCA"/>
    <w:rsid w:val="00C77D82"/>
    <w:rsid w:val="00C822A4"/>
    <w:rsid w:val="00C92734"/>
    <w:rsid w:val="00C934E7"/>
    <w:rsid w:val="00C973F2"/>
    <w:rsid w:val="00CA06F8"/>
    <w:rsid w:val="00CA479E"/>
    <w:rsid w:val="00CA4AD7"/>
    <w:rsid w:val="00CB0A3C"/>
    <w:rsid w:val="00CB2228"/>
    <w:rsid w:val="00CB63DE"/>
    <w:rsid w:val="00CC0257"/>
    <w:rsid w:val="00CC6854"/>
    <w:rsid w:val="00CC7D29"/>
    <w:rsid w:val="00CD274C"/>
    <w:rsid w:val="00CD34D6"/>
    <w:rsid w:val="00CE35C6"/>
    <w:rsid w:val="00CE564A"/>
    <w:rsid w:val="00CE58BA"/>
    <w:rsid w:val="00CE60D2"/>
    <w:rsid w:val="00CE726B"/>
    <w:rsid w:val="00CF1398"/>
    <w:rsid w:val="00CF4448"/>
    <w:rsid w:val="00CF56A4"/>
    <w:rsid w:val="00CF7E68"/>
    <w:rsid w:val="00D0219F"/>
    <w:rsid w:val="00D03653"/>
    <w:rsid w:val="00D0658C"/>
    <w:rsid w:val="00D066EC"/>
    <w:rsid w:val="00D06765"/>
    <w:rsid w:val="00D076A2"/>
    <w:rsid w:val="00D1683F"/>
    <w:rsid w:val="00D204D5"/>
    <w:rsid w:val="00D22693"/>
    <w:rsid w:val="00D25D65"/>
    <w:rsid w:val="00D27E60"/>
    <w:rsid w:val="00D31FAD"/>
    <w:rsid w:val="00D33573"/>
    <w:rsid w:val="00D34B19"/>
    <w:rsid w:val="00D3777E"/>
    <w:rsid w:val="00D433CF"/>
    <w:rsid w:val="00D43A74"/>
    <w:rsid w:val="00D44051"/>
    <w:rsid w:val="00D45F89"/>
    <w:rsid w:val="00D46045"/>
    <w:rsid w:val="00D46E29"/>
    <w:rsid w:val="00D46FE6"/>
    <w:rsid w:val="00D52BCC"/>
    <w:rsid w:val="00D5305E"/>
    <w:rsid w:val="00D54BCC"/>
    <w:rsid w:val="00D57FA9"/>
    <w:rsid w:val="00D63CBF"/>
    <w:rsid w:val="00D640DF"/>
    <w:rsid w:val="00D6412F"/>
    <w:rsid w:val="00D64C0C"/>
    <w:rsid w:val="00D6591C"/>
    <w:rsid w:val="00D66392"/>
    <w:rsid w:val="00D667F8"/>
    <w:rsid w:val="00D70E7A"/>
    <w:rsid w:val="00D720DB"/>
    <w:rsid w:val="00D80478"/>
    <w:rsid w:val="00D82C0C"/>
    <w:rsid w:val="00D84E4C"/>
    <w:rsid w:val="00D86DCA"/>
    <w:rsid w:val="00D91ADC"/>
    <w:rsid w:val="00D9349A"/>
    <w:rsid w:val="00D94446"/>
    <w:rsid w:val="00D96D40"/>
    <w:rsid w:val="00DA0401"/>
    <w:rsid w:val="00DA23EA"/>
    <w:rsid w:val="00DA29F8"/>
    <w:rsid w:val="00DA2BF1"/>
    <w:rsid w:val="00DA5CA4"/>
    <w:rsid w:val="00DB2895"/>
    <w:rsid w:val="00DB4B01"/>
    <w:rsid w:val="00DB6CEB"/>
    <w:rsid w:val="00DC0761"/>
    <w:rsid w:val="00DC2387"/>
    <w:rsid w:val="00DC6B5F"/>
    <w:rsid w:val="00DC6C05"/>
    <w:rsid w:val="00DC79E1"/>
    <w:rsid w:val="00DD140F"/>
    <w:rsid w:val="00DD2D61"/>
    <w:rsid w:val="00DD3BB9"/>
    <w:rsid w:val="00DD51A7"/>
    <w:rsid w:val="00DE1241"/>
    <w:rsid w:val="00DE1461"/>
    <w:rsid w:val="00DE688E"/>
    <w:rsid w:val="00DF45E6"/>
    <w:rsid w:val="00DF4840"/>
    <w:rsid w:val="00DF76D2"/>
    <w:rsid w:val="00E01540"/>
    <w:rsid w:val="00E03758"/>
    <w:rsid w:val="00E0399D"/>
    <w:rsid w:val="00E11E1B"/>
    <w:rsid w:val="00E13879"/>
    <w:rsid w:val="00E14006"/>
    <w:rsid w:val="00E23758"/>
    <w:rsid w:val="00E2406D"/>
    <w:rsid w:val="00E264C5"/>
    <w:rsid w:val="00E27484"/>
    <w:rsid w:val="00E31A7E"/>
    <w:rsid w:val="00E32912"/>
    <w:rsid w:val="00E3426F"/>
    <w:rsid w:val="00E34A21"/>
    <w:rsid w:val="00E36AF7"/>
    <w:rsid w:val="00E37804"/>
    <w:rsid w:val="00E414A0"/>
    <w:rsid w:val="00E4184F"/>
    <w:rsid w:val="00E425F8"/>
    <w:rsid w:val="00E447EA"/>
    <w:rsid w:val="00E45159"/>
    <w:rsid w:val="00E46FE8"/>
    <w:rsid w:val="00E507A4"/>
    <w:rsid w:val="00E543B7"/>
    <w:rsid w:val="00E60821"/>
    <w:rsid w:val="00E6126C"/>
    <w:rsid w:val="00E624F6"/>
    <w:rsid w:val="00E63F71"/>
    <w:rsid w:val="00E65271"/>
    <w:rsid w:val="00E67C43"/>
    <w:rsid w:val="00E70158"/>
    <w:rsid w:val="00E7034B"/>
    <w:rsid w:val="00E70E61"/>
    <w:rsid w:val="00E726DA"/>
    <w:rsid w:val="00E74372"/>
    <w:rsid w:val="00E77552"/>
    <w:rsid w:val="00E81519"/>
    <w:rsid w:val="00E81DDF"/>
    <w:rsid w:val="00E82562"/>
    <w:rsid w:val="00E82FEB"/>
    <w:rsid w:val="00E8393E"/>
    <w:rsid w:val="00E8459F"/>
    <w:rsid w:val="00E875D7"/>
    <w:rsid w:val="00E879E7"/>
    <w:rsid w:val="00E87F22"/>
    <w:rsid w:val="00E9212C"/>
    <w:rsid w:val="00E9642A"/>
    <w:rsid w:val="00E96D36"/>
    <w:rsid w:val="00EA2D09"/>
    <w:rsid w:val="00EA2FBF"/>
    <w:rsid w:val="00EA391E"/>
    <w:rsid w:val="00EA58ED"/>
    <w:rsid w:val="00EB01A3"/>
    <w:rsid w:val="00EB0A55"/>
    <w:rsid w:val="00EB2633"/>
    <w:rsid w:val="00EB3C6C"/>
    <w:rsid w:val="00EB4DF6"/>
    <w:rsid w:val="00EB69ED"/>
    <w:rsid w:val="00EC090D"/>
    <w:rsid w:val="00EC0C37"/>
    <w:rsid w:val="00EC747C"/>
    <w:rsid w:val="00ED1417"/>
    <w:rsid w:val="00ED222B"/>
    <w:rsid w:val="00ED31A0"/>
    <w:rsid w:val="00ED37A0"/>
    <w:rsid w:val="00EE19C6"/>
    <w:rsid w:val="00EE5ECB"/>
    <w:rsid w:val="00EF07F7"/>
    <w:rsid w:val="00EF082C"/>
    <w:rsid w:val="00EF36E8"/>
    <w:rsid w:val="00F04D41"/>
    <w:rsid w:val="00F05FF0"/>
    <w:rsid w:val="00F07317"/>
    <w:rsid w:val="00F11585"/>
    <w:rsid w:val="00F163A8"/>
    <w:rsid w:val="00F17756"/>
    <w:rsid w:val="00F20075"/>
    <w:rsid w:val="00F214F2"/>
    <w:rsid w:val="00F23EBF"/>
    <w:rsid w:val="00F25D68"/>
    <w:rsid w:val="00F336D1"/>
    <w:rsid w:val="00F33F82"/>
    <w:rsid w:val="00F40EF1"/>
    <w:rsid w:val="00F42566"/>
    <w:rsid w:val="00F432C6"/>
    <w:rsid w:val="00F43455"/>
    <w:rsid w:val="00F45A59"/>
    <w:rsid w:val="00F46FC5"/>
    <w:rsid w:val="00F47EC0"/>
    <w:rsid w:val="00F50DE6"/>
    <w:rsid w:val="00F512F2"/>
    <w:rsid w:val="00F5160B"/>
    <w:rsid w:val="00F55868"/>
    <w:rsid w:val="00F571B9"/>
    <w:rsid w:val="00F575F6"/>
    <w:rsid w:val="00F61E33"/>
    <w:rsid w:val="00F61E7D"/>
    <w:rsid w:val="00F72E59"/>
    <w:rsid w:val="00F77750"/>
    <w:rsid w:val="00F779D8"/>
    <w:rsid w:val="00F829B1"/>
    <w:rsid w:val="00F8736E"/>
    <w:rsid w:val="00F90A26"/>
    <w:rsid w:val="00F90D29"/>
    <w:rsid w:val="00F911B5"/>
    <w:rsid w:val="00F92654"/>
    <w:rsid w:val="00F93006"/>
    <w:rsid w:val="00F95B2A"/>
    <w:rsid w:val="00F971DC"/>
    <w:rsid w:val="00FA12C1"/>
    <w:rsid w:val="00FA1A04"/>
    <w:rsid w:val="00FA3859"/>
    <w:rsid w:val="00FA402E"/>
    <w:rsid w:val="00FA462A"/>
    <w:rsid w:val="00FA6908"/>
    <w:rsid w:val="00FB3602"/>
    <w:rsid w:val="00FB40EE"/>
    <w:rsid w:val="00FB449B"/>
    <w:rsid w:val="00FB596C"/>
    <w:rsid w:val="00FB6B8F"/>
    <w:rsid w:val="00FB76E2"/>
    <w:rsid w:val="00FC1E32"/>
    <w:rsid w:val="00FC2B60"/>
    <w:rsid w:val="00FC776C"/>
    <w:rsid w:val="00FD30F6"/>
    <w:rsid w:val="00FD3DA8"/>
    <w:rsid w:val="00FD4A66"/>
    <w:rsid w:val="00FD527C"/>
    <w:rsid w:val="00FD5F56"/>
    <w:rsid w:val="00FE0CBF"/>
    <w:rsid w:val="00FE203D"/>
    <w:rsid w:val="00FE27FD"/>
    <w:rsid w:val="00FE4893"/>
    <w:rsid w:val="00FE4C1F"/>
    <w:rsid w:val="00FE54B8"/>
    <w:rsid w:val="00FE79ED"/>
    <w:rsid w:val="00FE7A64"/>
    <w:rsid w:val="00FF4B9D"/>
    <w:rsid w:val="00FF6DFE"/>
    <w:rsid w:val="0110348C"/>
    <w:rsid w:val="09B3411F"/>
    <w:rsid w:val="2EFD5A64"/>
    <w:rsid w:val="37942702"/>
    <w:rsid w:val="4AE32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CC9C1"/>
  <w15:docId w15:val="{534D6239-852C-46E3-B7E6-3B1B2E87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qFormat="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87F22"/>
    <w:pPr>
      <w:widowControl w:val="0"/>
      <w:spacing w:line="360" w:lineRule="exact"/>
      <w:ind w:firstLineChars="200" w:firstLine="200"/>
      <w:jc w:val="both"/>
    </w:pPr>
    <w:rPr>
      <w:rFonts w:ascii="Times New Roman" w:eastAsia="宋体" w:hAnsi="Times New Roman"/>
      <w:noProof/>
      <w:kern w:val="2"/>
      <w:sz w:val="24"/>
      <w:szCs w:val="22"/>
    </w:rPr>
  </w:style>
  <w:style w:type="paragraph" w:styleId="1">
    <w:name w:val="heading 1"/>
    <w:aliases w:val="T1"/>
    <w:basedOn w:val="a1"/>
    <w:next w:val="a1"/>
    <w:link w:val="10"/>
    <w:uiPriority w:val="9"/>
    <w:qFormat/>
    <w:pPr>
      <w:keepNext/>
      <w:keepLines/>
      <w:spacing w:beforeLines="50" w:before="50" w:afterLines="30" w:after="30"/>
      <w:ind w:firstLineChars="0" w:firstLine="0"/>
      <w:outlineLvl w:val="0"/>
    </w:pPr>
    <w:rPr>
      <w:b/>
      <w:bCs/>
      <w:kern w:val="44"/>
      <w:sz w:val="28"/>
      <w:szCs w:val="44"/>
    </w:rPr>
  </w:style>
  <w:style w:type="paragraph" w:styleId="2">
    <w:name w:val="heading 2"/>
    <w:aliases w:val="T2"/>
    <w:basedOn w:val="a1"/>
    <w:next w:val="a1"/>
    <w:link w:val="20"/>
    <w:uiPriority w:val="9"/>
    <w:unhideWhenUsed/>
    <w:qFormat/>
    <w:pPr>
      <w:keepNext/>
      <w:keepLines/>
      <w:ind w:firstLineChars="0" w:firstLine="0"/>
      <w:outlineLvl w:val="1"/>
    </w:pPr>
    <w:rPr>
      <w:rFonts w:cstheme="majorBidi"/>
      <w:b/>
      <w:bCs/>
      <w:szCs w:val="32"/>
    </w:rPr>
  </w:style>
  <w:style w:type="paragraph" w:styleId="3">
    <w:name w:val="heading 3"/>
    <w:basedOn w:val="a1"/>
    <w:next w:val="a1"/>
    <w:link w:val="30"/>
    <w:uiPriority w:val="9"/>
    <w:unhideWhenUsed/>
    <w:qFormat/>
    <w:rsid w:val="00804233"/>
    <w:pPr>
      <w:keepNext/>
      <w:keepLines/>
      <w:spacing w:line="240" w:lineRule="auto"/>
      <w:jc w:val="left"/>
      <w:outlineLvl w:val="2"/>
    </w:pPr>
    <w:rPr>
      <w:b/>
      <w:bCs/>
      <w:szCs w:val="32"/>
    </w:rPr>
  </w:style>
  <w:style w:type="paragraph" w:styleId="4">
    <w:name w:val="heading 4"/>
    <w:basedOn w:val="a1"/>
    <w:next w:val="a1"/>
    <w:link w:val="40"/>
    <w:uiPriority w:val="9"/>
    <w:unhideWhenUsed/>
    <w:qFormat/>
    <w:rsid w:val="00A11516"/>
    <w:pPr>
      <w:keepNext/>
      <w:keepLines/>
      <w:widowControl/>
      <w:spacing w:line="360" w:lineRule="auto"/>
      <w:ind w:firstLineChars="0" w:firstLine="0"/>
      <w:jc w:val="left"/>
      <w:outlineLvl w:val="3"/>
    </w:pPr>
    <w:rPr>
      <w:rFonts w:eastAsia="黑体" w:cstheme="majorBidi"/>
      <w:b/>
      <w:bCs/>
      <w:kern w:val="0"/>
      <w:sz w:val="28"/>
      <w:szCs w:val="28"/>
    </w:rPr>
  </w:style>
  <w:style w:type="paragraph" w:styleId="5">
    <w:name w:val="heading 5"/>
    <w:aliases w:val="T5"/>
    <w:basedOn w:val="a1"/>
    <w:next w:val="a1"/>
    <w:link w:val="50"/>
    <w:uiPriority w:val="9"/>
    <w:unhideWhenUsed/>
    <w:qFormat/>
    <w:rsid w:val="00A11516"/>
    <w:pPr>
      <w:keepNext/>
      <w:keepLines/>
      <w:widowControl/>
      <w:spacing w:line="240" w:lineRule="auto"/>
      <w:ind w:firstLineChars="0" w:firstLine="0"/>
      <w:jc w:val="left"/>
      <w:outlineLvl w:val="4"/>
    </w:pPr>
    <w:rPr>
      <w:rFonts w:eastAsia="黑体" w:cs="宋体"/>
      <w:b/>
      <w:bCs/>
      <w:kern w:val="0"/>
      <w:szCs w:val="28"/>
    </w:rPr>
  </w:style>
  <w:style w:type="paragraph" w:styleId="6">
    <w:name w:val="heading 6"/>
    <w:basedOn w:val="a1"/>
    <w:next w:val="a1"/>
    <w:link w:val="60"/>
    <w:uiPriority w:val="9"/>
    <w:semiHidden/>
    <w:unhideWhenUsed/>
    <w:qFormat/>
    <w:rsid w:val="00AE7E11"/>
    <w:pPr>
      <w:keepNext/>
      <w:keepLines/>
      <w:widowControl/>
      <w:spacing w:before="240" w:after="64" w:line="320" w:lineRule="atLeast"/>
      <w:outlineLvl w:val="5"/>
    </w:pPr>
    <w:rPr>
      <w:rFonts w:eastAsia="仿宋" w:cs="Times New Roman"/>
      <w:b/>
      <w:bCs/>
      <w:kern w:val="0"/>
      <w:szCs w:val="24"/>
    </w:rPr>
  </w:style>
  <w:style w:type="paragraph" w:styleId="7">
    <w:name w:val="heading 7"/>
    <w:aliases w:val="T7"/>
    <w:basedOn w:val="a1"/>
    <w:next w:val="a1"/>
    <w:link w:val="70"/>
    <w:uiPriority w:val="9"/>
    <w:semiHidden/>
    <w:unhideWhenUsed/>
    <w:qFormat/>
    <w:rsid w:val="00AE7E11"/>
    <w:pPr>
      <w:keepNext/>
      <w:keepLines/>
      <w:widowControl/>
      <w:snapToGrid w:val="0"/>
      <w:spacing w:line="480" w:lineRule="auto"/>
      <w:ind w:firstLineChars="0" w:firstLine="0"/>
      <w:outlineLvl w:val="6"/>
    </w:pPr>
    <w:rPr>
      <w:rFonts w:cs="Times New Roman"/>
      <w:b/>
      <w:bCs/>
      <w:kern w:val="0"/>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iPriority w:val="2"/>
    <w:unhideWhenUsed/>
    <w:qFormat/>
    <w:pPr>
      <w:ind w:firstLine="420"/>
      <w:jc w:val="center"/>
    </w:pPr>
    <w:rPr>
      <w:rFonts w:cstheme="majorBidi"/>
      <w:sz w:val="21"/>
      <w:szCs w:val="20"/>
    </w:rPr>
  </w:style>
  <w:style w:type="paragraph" w:styleId="a6">
    <w:name w:val="Body Text"/>
    <w:basedOn w:val="a1"/>
    <w:link w:val="a7"/>
    <w:uiPriority w:val="1"/>
    <w:unhideWhenUsed/>
    <w:qFormat/>
    <w:pPr>
      <w:spacing w:after="120" w:line="240" w:lineRule="auto"/>
      <w:ind w:firstLineChars="0" w:firstLine="0"/>
    </w:pPr>
    <w:rPr>
      <w:rFonts w:ascii="Calibri" w:hAnsi="Calibri" w:cs="Times New Roman"/>
      <w:sz w:val="21"/>
      <w:szCs w:val="24"/>
    </w:rPr>
  </w:style>
  <w:style w:type="paragraph" w:styleId="a8">
    <w:name w:val="footer"/>
    <w:basedOn w:val="a1"/>
    <w:link w:val="a9"/>
    <w:uiPriority w:val="99"/>
    <w:unhideWhenUsed/>
    <w:qFormat/>
    <w:pPr>
      <w:tabs>
        <w:tab w:val="center" w:pos="4153"/>
        <w:tab w:val="right" w:pos="8306"/>
      </w:tabs>
      <w:snapToGrid w:val="0"/>
      <w:spacing w:line="240" w:lineRule="atLeast"/>
      <w:jc w:val="left"/>
    </w:pPr>
    <w:rPr>
      <w:sz w:val="18"/>
      <w:szCs w:val="18"/>
    </w:rPr>
  </w:style>
  <w:style w:type="paragraph" w:styleId="aa">
    <w:name w:val="header"/>
    <w:basedOn w:val="a1"/>
    <w:link w:val="ab"/>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c">
    <w:name w:val="Normal (Web)"/>
    <w:basedOn w:val="a1"/>
    <w:uiPriority w:val="99"/>
    <w:semiHidden/>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d">
    <w:name w:val="Title"/>
    <w:basedOn w:val="a1"/>
    <w:next w:val="a1"/>
    <w:link w:val="ae"/>
    <w:uiPriority w:val="10"/>
    <w:qFormat/>
    <w:pPr>
      <w:spacing w:before="240" w:after="60"/>
      <w:jc w:val="center"/>
      <w:outlineLvl w:val="0"/>
    </w:pPr>
    <w:rPr>
      <w:rFonts w:asciiTheme="majorHAnsi" w:eastAsiaTheme="majorEastAsia" w:hAnsiTheme="majorHAnsi" w:cstheme="majorBidi"/>
      <w:b/>
      <w:bCs/>
      <w:sz w:val="32"/>
      <w:szCs w:val="32"/>
    </w:rPr>
  </w:style>
  <w:style w:type="table" w:styleId="af">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2"/>
    <w:uiPriority w:val="22"/>
    <w:qFormat/>
    <w:rPr>
      <w:b/>
      <w:bCs/>
    </w:rPr>
  </w:style>
  <w:style w:type="character" w:styleId="af1">
    <w:name w:val="Hyperlink"/>
    <w:basedOn w:val="a2"/>
    <w:uiPriority w:val="99"/>
    <w:unhideWhenUsed/>
    <w:qFormat/>
    <w:rPr>
      <w:color w:val="0000FF"/>
      <w:u w:val="single"/>
    </w:rPr>
  </w:style>
  <w:style w:type="character" w:customStyle="1" w:styleId="10">
    <w:name w:val="标题 1 字符"/>
    <w:aliases w:val="T1 字符"/>
    <w:basedOn w:val="a2"/>
    <w:link w:val="1"/>
    <w:uiPriority w:val="9"/>
    <w:qFormat/>
    <w:rPr>
      <w:rFonts w:ascii="Times New Roman" w:eastAsia="宋体" w:hAnsi="Times New Roman"/>
      <w:b/>
      <w:bCs/>
      <w:kern w:val="44"/>
      <w:sz w:val="28"/>
      <w:szCs w:val="44"/>
    </w:rPr>
  </w:style>
  <w:style w:type="character" w:customStyle="1" w:styleId="20">
    <w:name w:val="标题 2 字符"/>
    <w:aliases w:val="T2 字符"/>
    <w:basedOn w:val="a2"/>
    <w:link w:val="2"/>
    <w:uiPriority w:val="9"/>
    <w:qFormat/>
    <w:rPr>
      <w:rFonts w:ascii="Times New Roman" w:eastAsia="宋体" w:hAnsi="Times New Roman" w:cstheme="majorBidi"/>
      <w:b/>
      <w:bCs/>
      <w:sz w:val="24"/>
      <w:szCs w:val="32"/>
    </w:rPr>
  </w:style>
  <w:style w:type="character" w:customStyle="1" w:styleId="ae">
    <w:name w:val="标题 字符"/>
    <w:basedOn w:val="a2"/>
    <w:link w:val="ad"/>
    <w:uiPriority w:val="10"/>
    <w:rPr>
      <w:rFonts w:asciiTheme="majorHAnsi" w:eastAsiaTheme="majorEastAsia" w:hAnsiTheme="majorHAnsi" w:cstheme="majorBidi"/>
      <w:b/>
      <w:bCs/>
      <w:sz w:val="32"/>
      <w:szCs w:val="32"/>
    </w:rPr>
  </w:style>
  <w:style w:type="paragraph" w:customStyle="1" w:styleId="MTDisplayEquation">
    <w:name w:val="MTDisplayEquation"/>
    <w:basedOn w:val="a1"/>
    <w:next w:val="a1"/>
    <w:link w:val="MTDisplayEquation0"/>
    <w:qFormat/>
    <w:pPr>
      <w:tabs>
        <w:tab w:val="center" w:pos="4160"/>
        <w:tab w:val="right" w:pos="8300"/>
      </w:tabs>
      <w:spacing w:line="400" w:lineRule="exact"/>
      <w:ind w:firstLine="420"/>
    </w:pPr>
    <w:rPr>
      <w:rFonts w:cs="Times New Roman"/>
      <w:sz w:val="22"/>
      <w:szCs w:val="24"/>
    </w:rPr>
  </w:style>
  <w:style w:type="character" w:customStyle="1" w:styleId="MTDisplayEquation0">
    <w:name w:val="MTDisplayEquation 字符"/>
    <w:basedOn w:val="a2"/>
    <w:link w:val="MTDisplayEquation"/>
    <w:rPr>
      <w:rFonts w:ascii="Times New Roman" w:eastAsia="宋体" w:hAnsi="Times New Roman" w:cs="Times New Roman"/>
      <w:sz w:val="22"/>
      <w:szCs w:val="24"/>
    </w:rPr>
  </w:style>
  <w:style w:type="paragraph" w:customStyle="1" w:styleId="-">
    <w:name w:val="图题&amp;标题-中文"/>
    <w:basedOn w:val="a1"/>
    <w:link w:val="-0"/>
    <w:qFormat/>
    <w:pPr>
      <w:widowControl/>
      <w:spacing w:line="240" w:lineRule="auto"/>
      <w:jc w:val="center"/>
    </w:pPr>
    <w:rPr>
      <w:rFonts w:cs="Times New Roman"/>
      <w:color w:val="000000"/>
      <w:kern w:val="0"/>
      <w:sz w:val="21"/>
      <w:szCs w:val="21"/>
    </w:rPr>
  </w:style>
  <w:style w:type="character" w:customStyle="1" w:styleId="-0">
    <w:name w:val="图题&amp;标题-中文 字符"/>
    <w:basedOn w:val="a2"/>
    <w:link w:val="-"/>
    <w:rPr>
      <w:rFonts w:ascii="Times New Roman" w:eastAsia="宋体" w:hAnsi="Times New Roman" w:cs="Times New Roman"/>
      <w:color w:val="000000"/>
      <w:kern w:val="0"/>
      <w:szCs w:val="21"/>
    </w:rPr>
  </w:style>
  <w:style w:type="paragraph" w:customStyle="1" w:styleId="af2">
    <w:name w:val="子图题"/>
    <w:basedOn w:val="a1"/>
    <w:link w:val="af3"/>
    <w:qFormat/>
    <w:pPr>
      <w:widowControl/>
      <w:spacing w:line="240" w:lineRule="auto"/>
      <w:ind w:right="23"/>
      <w:jc w:val="center"/>
    </w:pPr>
    <w:rPr>
      <w:rFonts w:cs="Times New Roman"/>
      <w:color w:val="000000"/>
      <w:kern w:val="0"/>
      <w:sz w:val="15"/>
      <w:szCs w:val="21"/>
    </w:rPr>
  </w:style>
  <w:style w:type="character" w:customStyle="1" w:styleId="af3">
    <w:name w:val="子图题 字符"/>
    <w:basedOn w:val="a2"/>
    <w:link w:val="af2"/>
    <w:rPr>
      <w:rFonts w:ascii="Times New Roman" w:eastAsia="宋体" w:hAnsi="Times New Roman" w:cs="Times New Roman"/>
      <w:color w:val="000000"/>
      <w:kern w:val="0"/>
      <w:sz w:val="15"/>
      <w:szCs w:val="21"/>
    </w:rPr>
  </w:style>
  <w:style w:type="paragraph" w:styleId="af4">
    <w:name w:val="List Paragraph"/>
    <w:basedOn w:val="a1"/>
    <w:uiPriority w:val="34"/>
    <w:qFormat/>
    <w:pPr>
      <w:ind w:firstLine="420"/>
    </w:pPr>
  </w:style>
  <w:style w:type="character" w:customStyle="1" w:styleId="ab">
    <w:name w:val="页眉 字符"/>
    <w:basedOn w:val="a2"/>
    <w:link w:val="aa"/>
    <w:uiPriority w:val="99"/>
    <w:qFormat/>
    <w:rPr>
      <w:rFonts w:ascii="Times New Roman" w:eastAsia="宋体" w:hAnsi="Times New Roman"/>
      <w:sz w:val="18"/>
      <w:szCs w:val="18"/>
    </w:rPr>
  </w:style>
  <w:style w:type="character" w:customStyle="1" w:styleId="a9">
    <w:name w:val="页脚 字符"/>
    <w:basedOn w:val="a2"/>
    <w:link w:val="a8"/>
    <w:uiPriority w:val="99"/>
    <w:qFormat/>
    <w:rPr>
      <w:rFonts w:ascii="Times New Roman" w:eastAsia="宋体" w:hAnsi="Times New Roman"/>
      <w:sz w:val="18"/>
      <w:szCs w:val="18"/>
    </w:rPr>
  </w:style>
  <w:style w:type="character" w:customStyle="1" w:styleId="a7">
    <w:name w:val="正文文本 字符"/>
    <w:basedOn w:val="a2"/>
    <w:link w:val="a6"/>
    <w:uiPriority w:val="1"/>
    <w:qFormat/>
    <w:rPr>
      <w:rFonts w:ascii="Calibri" w:eastAsia="宋体" w:hAnsi="Calibri" w:cs="Times New Roman"/>
      <w:szCs w:val="24"/>
    </w:rPr>
  </w:style>
  <w:style w:type="table" w:customStyle="1" w:styleId="11">
    <w:name w:val="网格型1"/>
    <w:basedOn w:val="a3"/>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3"/>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qrmdu">
    <w:name w:val="text_qrmdu"/>
    <w:basedOn w:val="a2"/>
  </w:style>
  <w:style w:type="character" w:customStyle="1" w:styleId="MTEquationSection">
    <w:name w:val="MTEquationSection"/>
    <w:basedOn w:val="a2"/>
    <w:rsid w:val="00B33D41"/>
    <w:rPr>
      <w:rFonts w:ascii="Times New Roman" w:eastAsia="黑体" w:hAnsi="Times New Roman"/>
      <w:vanish/>
      <w:color w:val="FF0000"/>
      <w:sz w:val="30"/>
      <w:szCs w:val="30"/>
    </w:rPr>
  </w:style>
  <w:style w:type="character" w:styleId="af5">
    <w:name w:val="annotation reference"/>
    <w:basedOn w:val="a2"/>
    <w:uiPriority w:val="99"/>
    <w:semiHidden/>
    <w:unhideWhenUsed/>
    <w:rsid w:val="00413920"/>
    <w:rPr>
      <w:sz w:val="21"/>
      <w:szCs w:val="21"/>
    </w:rPr>
  </w:style>
  <w:style w:type="paragraph" w:styleId="af6">
    <w:name w:val="annotation text"/>
    <w:basedOn w:val="a1"/>
    <w:link w:val="af7"/>
    <w:uiPriority w:val="99"/>
    <w:unhideWhenUsed/>
    <w:rsid w:val="00413920"/>
    <w:pPr>
      <w:jc w:val="left"/>
    </w:pPr>
  </w:style>
  <w:style w:type="character" w:customStyle="1" w:styleId="af7">
    <w:name w:val="批注文字 字符"/>
    <w:basedOn w:val="a2"/>
    <w:link w:val="af6"/>
    <w:uiPriority w:val="99"/>
    <w:rsid w:val="00413920"/>
    <w:rPr>
      <w:rFonts w:ascii="Times New Roman" w:eastAsia="宋体" w:hAnsi="Times New Roman"/>
      <w:kern w:val="2"/>
      <w:sz w:val="24"/>
      <w:szCs w:val="22"/>
    </w:rPr>
  </w:style>
  <w:style w:type="paragraph" w:styleId="af8">
    <w:name w:val="annotation subject"/>
    <w:basedOn w:val="af6"/>
    <w:next w:val="af6"/>
    <w:link w:val="af9"/>
    <w:uiPriority w:val="99"/>
    <w:semiHidden/>
    <w:unhideWhenUsed/>
    <w:rsid w:val="00413920"/>
    <w:rPr>
      <w:b/>
      <w:bCs/>
    </w:rPr>
  </w:style>
  <w:style w:type="character" w:customStyle="1" w:styleId="af9">
    <w:name w:val="批注主题 字符"/>
    <w:basedOn w:val="af7"/>
    <w:link w:val="af8"/>
    <w:uiPriority w:val="99"/>
    <w:semiHidden/>
    <w:rsid w:val="00413920"/>
    <w:rPr>
      <w:rFonts w:ascii="Times New Roman" w:eastAsia="宋体" w:hAnsi="Times New Roman"/>
      <w:b/>
      <w:bCs/>
      <w:kern w:val="2"/>
      <w:sz w:val="24"/>
      <w:szCs w:val="22"/>
    </w:rPr>
  </w:style>
  <w:style w:type="paragraph" w:customStyle="1" w:styleId="12">
    <w:name w:val="样式1_图"/>
    <w:basedOn w:val="a1"/>
    <w:link w:val="13"/>
    <w:qFormat/>
    <w:rsid w:val="00701F32"/>
    <w:pPr>
      <w:widowControl/>
      <w:spacing w:line="240" w:lineRule="auto"/>
      <w:ind w:firstLineChars="0" w:firstLine="0"/>
      <w:jc w:val="center"/>
    </w:pPr>
    <w:rPr>
      <w:rFonts w:cs="宋体"/>
      <w:kern w:val="0"/>
      <w:szCs w:val="24"/>
    </w:rPr>
  </w:style>
  <w:style w:type="character" w:customStyle="1" w:styleId="13">
    <w:name w:val="样式1_图 字符"/>
    <w:basedOn w:val="a2"/>
    <w:link w:val="12"/>
    <w:rsid w:val="00701F32"/>
    <w:rPr>
      <w:rFonts w:ascii="Times New Roman" w:eastAsia="宋体" w:hAnsi="Times New Roman" w:cs="宋体"/>
      <w:sz w:val="24"/>
      <w:szCs w:val="24"/>
    </w:rPr>
  </w:style>
  <w:style w:type="character" w:customStyle="1" w:styleId="30">
    <w:name w:val="标题 3 字符"/>
    <w:basedOn w:val="a2"/>
    <w:link w:val="3"/>
    <w:uiPriority w:val="9"/>
    <w:rsid w:val="00804233"/>
    <w:rPr>
      <w:rFonts w:ascii="Times New Roman" w:eastAsia="宋体" w:hAnsi="Times New Roman"/>
      <w:b/>
      <w:bCs/>
      <w:kern w:val="2"/>
      <w:sz w:val="24"/>
      <w:szCs w:val="32"/>
    </w:rPr>
  </w:style>
  <w:style w:type="character" w:customStyle="1" w:styleId="40">
    <w:name w:val="标题 4 字符"/>
    <w:basedOn w:val="a2"/>
    <w:link w:val="4"/>
    <w:uiPriority w:val="9"/>
    <w:rsid w:val="00A11516"/>
    <w:rPr>
      <w:rFonts w:ascii="Times New Roman" w:eastAsia="黑体" w:hAnsi="Times New Roman" w:cstheme="majorBidi"/>
      <w:b/>
      <w:bCs/>
      <w:sz w:val="28"/>
      <w:szCs w:val="28"/>
    </w:rPr>
  </w:style>
  <w:style w:type="character" w:customStyle="1" w:styleId="50">
    <w:name w:val="标题 5 字符"/>
    <w:aliases w:val="T5 字符"/>
    <w:basedOn w:val="a2"/>
    <w:link w:val="5"/>
    <w:uiPriority w:val="9"/>
    <w:rsid w:val="00A11516"/>
    <w:rPr>
      <w:rFonts w:ascii="Times New Roman" w:eastAsia="黑体" w:hAnsi="Times New Roman" w:cs="宋体"/>
      <w:b/>
      <w:bCs/>
      <w:sz w:val="24"/>
      <w:szCs w:val="28"/>
    </w:rPr>
  </w:style>
  <w:style w:type="paragraph" w:customStyle="1" w:styleId="22">
    <w:name w:val="样式2_表"/>
    <w:basedOn w:val="a1"/>
    <w:qFormat/>
    <w:rsid w:val="00A11516"/>
    <w:pPr>
      <w:widowControl/>
      <w:spacing w:line="400" w:lineRule="exact"/>
      <w:ind w:firstLineChars="0" w:firstLine="0"/>
      <w:jc w:val="center"/>
    </w:pPr>
    <w:rPr>
      <w:rFonts w:cs="宋体"/>
      <w:kern w:val="0"/>
      <w:sz w:val="21"/>
      <w:szCs w:val="24"/>
    </w:rPr>
  </w:style>
  <w:style w:type="paragraph" w:customStyle="1" w:styleId="33">
    <w:name w:val="样式3_题注"/>
    <w:basedOn w:val="a1"/>
    <w:qFormat/>
    <w:rsid w:val="00A11516"/>
    <w:pPr>
      <w:widowControl/>
      <w:spacing w:line="400" w:lineRule="exact"/>
      <w:ind w:firstLineChars="0" w:firstLine="0"/>
      <w:jc w:val="center"/>
    </w:pPr>
    <w:rPr>
      <w:rFonts w:cs="宋体"/>
      <w:kern w:val="0"/>
      <w:sz w:val="21"/>
      <w:szCs w:val="24"/>
    </w:rPr>
  </w:style>
  <w:style w:type="table" w:customStyle="1" w:styleId="110">
    <w:name w:val="网格型11"/>
    <w:basedOn w:val="a3"/>
    <w:next w:val="af"/>
    <w:uiPriority w:val="59"/>
    <w:qFormat/>
    <w:rsid w:val="00853018"/>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2"/>
    <w:link w:val="6"/>
    <w:uiPriority w:val="9"/>
    <w:semiHidden/>
    <w:rsid w:val="00AE7E11"/>
    <w:rPr>
      <w:rFonts w:ascii="Times New Roman" w:eastAsia="仿宋" w:hAnsi="Times New Roman" w:cs="Times New Roman"/>
      <w:b/>
      <w:bCs/>
      <w:sz w:val="24"/>
      <w:szCs w:val="24"/>
    </w:rPr>
  </w:style>
  <w:style w:type="character" w:customStyle="1" w:styleId="70">
    <w:name w:val="标题 7 字符"/>
    <w:aliases w:val="T7 字符"/>
    <w:basedOn w:val="a2"/>
    <w:link w:val="7"/>
    <w:uiPriority w:val="9"/>
    <w:semiHidden/>
    <w:rsid w:val="00AE7E11"/>
    <w:rPr>
      <w:rFonts w:ascii="Times New Roman" w:eastAsia="宋体" w:hAnsi="Times New Roman" w:cs="Times New Roman"/>
      <w:b/>
      <w:bCs/>
      <w:sz w:val="24"/>
      <w:szCs w:val="24"/>
    </w:rPr>
  </w:style>
  <w:style w:type="numbering" w:customStyle="1" w:styleId="14">
    <w:name w:val="无列表1"/>
    <w:next w:val="a4"/>
    <w:uiPriority w:val="99"/>
    <w:semiHidden/>
    <w:unhideWhenUsed/>
    <w:rsid w:val="00AE7E11"/>
  </w:style>
  <w:style w:type="paragraph" w:customStyle="1" w:styleId="TOC1">
    <w:name w:val="TOC 标题1"/>
    <w:basedOn w:val="1"/>
    <w:next w:val="a1"/>
    <w:uiPriority w:val="39"/>
    <w:unhideWhenUsed/>
    <w:qFormat/>
    <w:rsid w:val="00AE7E11"/>
    <w:pPr>
      <w:widowControl/>
      <w:spacing w:beforeLines="0" w:before="240" w:afterLines="0" w:after="0" w:line="259" w:lineRule="auto"/>
      <w:jc w:val="left"/>
      <w:outlineLvl w:val="9"/>
    </w:pPr>
    <w:rPr>
      <w:rFonts w:ascii="等线 Light" w:eastAsia="等线 Light" w:hAnsi="等线 Light" w:cs="Times New Roman"/>
      <w:b w:val="0"/>
      <w:bCs w:val="0"/>
      <w:color w:val="2F5496"/>
      <w:kern w:val="0"/>
      <w:sz w:val="32"/>
      <w:szCs w:val="32"/>
    </w:rPr>
  </w:style>
  <w:style w:type="paragraph" w:styleId="afa">
    <w:name w:val="Balloon Text"/>
    <w:basedOn w:val="a1"/>
    <w:link w:val="afb"/>
    <w:uiPriority w:val="99"/>
    <w:semiHidden/>
    <w:rsid w:val="00AE7E11"/>
    <w:pPr>
      <w:widowControl/>
      <w:spacing w:line="240" w:lineRule="auto"/>
      <w:ind w:firstLineChars="0" w:firstLine="0"/>
    </w:pPr>
    <w:rPr>
      <w:rFonts w:ascii="Calibri" w:hAnsi="Calibri" w:cs="Calibri"/>
      <w:kern w:val="0"/>
      <w:sz w:val="18"/>
      <w:szCs w:val="18"/>
    </w:rPr>
  </w:style>
  <w:style w:type="character" w:customStyle="1" w:styleId="afb">
    <w:name w:val="批注框文本 字符"/>
    <w:basedOn w:val="a2"/>
    <w:link w:val="afa"/>
    <w:uiPriority w:val="99"/>
    <w:semiHidden/>
    <w:rsid w:val="00AE7E11"/>
    <w:rPr>
      <w:rFonts w:ascii="Calibri" w:eastAsia="宋体" w:hAnsi="Calibri" w:cs="Calibri"/>
      <w:sz w:val="18"/>
      <w:szCs w:val="18"/>
    </w:rPr>
  </w:style>
  <w:style w:type="character" w:styleId="afc">
    <w:name w:val="Placeholder Text"/>
    <w:basedOn w:val="a2"/>
    <w:uiPriority w:val="99"/>
    <w:semiHidden/>
    <w:rsid w:val="00AE7E11"/>
    <w:rPr>
      <w:color w:val="808080"/>
    </w:rPr>
  </w:style>
  <w:style w:type="table" w:customStyle="1" w:styleId="51">
    <w:name w:val="网格型5"/>
    <w:basedOn w:val="a3"/>
    <w:next w:val="af"/>
    <w:uiPriority w:val="39"/>
    <w:qFormat/>
    <w:rsid w:val="00AE7E11"/>
    <w:pPr>
      <w:widowControl w:val="0"/>
      <w:jc w:val="both"/>
    </w:pPr>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PParagraphothers">
    <w:name w:val="TTP Paragraph (others)"/>
    <w:basedOn w:val="a1"/>
    <w:rsid w:val="00AE7E11"/>
    <w:pPr>
      <w:widowControl/>
      <w:autoSpaceDE w:val="0"/>
      <w:autoSpaceDN w:val="0"/>
      <w:spacing w:line="240" w:lineRule="auto"/>
      <w:ind w:firstLineChars="0" w:firstLine="283"/>
    </w:pPr>
    <w:rPr>
      <w:rFonts w:cs="Times New Roman"/>
      <w:kern w:val="0"/>
      <w:szCs w:val="24"/>
      <w:lang w:eastAsia="en-US"/>
    </w:rPr>
  </w:style>
  <w:style w:type="paragraph" w:customStyle="1" w:styleId="15">
    <w:name w:val="无间隔1"/>
    <w:link w:val="16"/>
    <w:uiPriority w:val="99"/>
    <w:qFormat/>
    <w:rsid w:val="00AE7E11"/>
    <w:rPr>
      <w:rFonts w:ascii="Times New Roman" w:eastAsia="宋体" w:hAnsi="Times New Roman" w:cs="Times New Roman"/>
      <w:sz w:val="22"/>
      <w:szCs w:val="22"/>
    </w:rPr>
  </w:style>
  <w:style w:type="paragraph" w:styleId="afd">
    <w:name w:val="Subtitle"/>
    <w:basedOn w:val="a1"/>
    <w:next w:val="a1"/>
    <w:link w:val="afe"/>
    <w:uiPriority w:val="99"/>
    <w:qFormat/>
    <w:rsid w:val="00AE7E11"/>
    <w:pPr>
      <w:widowControl/>
      <w:spacing w:before="120" w:after="60" w:line="360" w:lineRule="auto"/>
      <w:jc w:val="center"/>
      <w:outlineLvl w:val="1"/>
    </w:pPr>
    <w:rPr>
      <w:rFonts w:ascii="Arial" w:hAnsi="Arial" w:cs="新宋体"/>
      <w:b/>
      <w:bCs/>
      <w:kern w:val="28"/>
      <w:sz w:val="32"/>
      <w:szCs w:val="32"/>
    </w:rPr>
  </w:style>
  <w:style w:type="character" w:customStyle="1" w:styleId="afe">
    <w:name w:val="副标题 字符"/>
    <w:basedOn w:val="a2"/>
    <w:link w:val="afd"/>
    <w:uiPriority w:val="99"/>
    <w:rsid w:val="00AE7E11"/>
    <w:rPr>
      <w:rFonts w:ascii="Arial" w:eastAsia="宋体" w:hAnsi="Arial" w:cs="新宋体"/>
      <w:b/>
      <w:bCs/>
      <w:kern w:val="28"/>
      <w:sz w:val="32"/>
      <w:szCs w:val="32"/>
    </w:rPr>
  </w:style>
  <w:style w:type="paragraph" w:styleId="23">
    <w:name w:val="Body Text 2"/>
    <w:aliases w:val="正文文本2"/>
    <w:basedOn w:val="a1"/>
    <w:link w:val="24"/>
    <w:uiPriority w:val="99"/>
    <w:qFormat/>
    <w:rsid w:val="00AE7E11"/>
    <w:pPr>
      <w:widowControl/>
      <w:spacing w:line="360" w:lineRule="auto"/>
    </w:pPr>
    <w:rPr>
      <w:rFonts w:cs="Times New Roman"/>
      <w:kern w:val="0"/>
      <w:szCs w:val="24"/>
    </w:rPr>
  </w:style>
  <w:style w:type="character" w:customStyle="1" w:styleId="24">
    <w:name w:val="正文文本 2 字符"/>
    <w:aliases w:val="正文文本2 字符"/>
    <w:basedOn w:val="a2"/>
    <w:link w:val="23"/>
    <w:uiPriority w:val="99"/>
    <w:qFormat/>
    <w:rsid w:val="00AE7E11"/>
    <w:rPr>
      <w:rFonts w:ascii="Times New Roman" w:eastAsia="宋体" w:hAnsi="Times New Roman" w:cs="Times New Roman"/>
      <w:sz w:val="24"/>
      <w:szCs w:val="24"/>
    </w:rPr>
  </w:style>
  <w:style w:type="paragraph" w:customStyle="1" w:styleId="25">
    <w:name w:val="正文缩进2字符"/>
    <w:basedOn w:val="a1"/>
    <w:link w:val="26"/>
    <w:qFormat/>
    <w:rsid w:val="00AE7E11"/>
    <w:pPr>
      <w:widowControl/>
      <w:adjustRightInd w:val="0"/>
      <w:snapToGrid w:val="0"/>
      <w:spacing w:line="480" w:lineRule="auto"/>
    </w:pPr>
    <w:rPr>
      <w:rFonts w:cs="Times New Roman"/>
      <w:kern w:val="0"/>
      <w:szCs w:val="24"/>
    </w:rPr>
  </w:style>
  <w:style w:type="character" w:customStyle="1" w:styleId="26">
    <w:name w:val="正文缩进2字符 字符"/>
    <w:basedOn w:val="a2"/>
    <w:link w:val="25"/>
    <w:qFormat/>
    <w:rsid w:val="00AE7E11"/>
    <w:rPr>
      <w:rFonts w:ascii="Times New Roman" w:eastAsia="宋体" w:hAnsi="Times New Roman" w:cs="Times New Roman"/>
      <w:sz w:val="24"/>
      <w:szCs w:val="24"/>
    </w:rPr>
  </w:style>
  <w:style w:type="paragraph" w:styleId="aff">
    <w:name w:val="Body Text Indent"/>
    <w:basedOn w:val="a1"/>
    <w:link w:val="aff0"/>
    <w:uiPriority w:val="99"/>
    <w:semiHidden/>
    <w:unhideWhenUsed/>
    <w:rsid w:val="00AE7E11"/>
    <w:pPr>
      <w:widowControl/>
      <w:spacing w:after="120" w:line="360" w:lineRule="auto"/>
      <w:ind w:leftChars="200" w:left="420"/>
    </w:pPr>
    <w:rPr>
      <w:rFonts w:cs="新宋体"/>
      <w:kern w:val="0"/>
      <w:szCs w:val="24"/>
    </w:rPr>
  </w:style>
  <w:style w:type="character" w:customStyle="1" w:styleId="aff0">
    <w:name w:val="正文文本缩进 字符"/>
    <w:basedOn w:val="a2"/>
    <w:link w:val="aff"/>
    <w:uiPriority w:val="99"/>
    <w:semiHidden/>
    <w:rsid w:val="00AE7E11"/>
    <w:rPr>
      <w:rFonts w:ascii="Times New Roman" w:eastAsia="宋体" w:hAnsi="Times New Roman" w:cs="新宋体"/>
      <w:sz w:val="24"/>
      <w:szCs w:val="24"/>
    </w:rPr>
  </w:style>
  <w:style w:type="paragraph" w:styleId="27">
    <w:name w:val="Body Text First Indent 2"/>
    <w:basedOn w:val="aff"/>
    <w:link w:val="28"/>
    <w:uiPriority w:val="99"/>
    <w:unhideWhenUsed/>
    <w:rsid w:val="00AE7E11"/>
    <w:pPr>
      <w:ind w:firstLine="420"/>
    </w:pPr>
  </w:style>
  <w:style w:type="character" w:customStyle="1" w:styleId="28">
    <w:name w:val="正文文本首行缩进 2 字符"/>
    <w:basedOn w:val="aff0"/>
    <w:link w:val="27"/>
    <w:uiPriority w:val="99"/>
    <w:rsid w:val="00AE7E11"/>
    <w:rPr>
      <w:rFonts w:ascii="Times New Roman" w:eastAsia="宋体" w:hAnsi="Times New Roman" w:cs="新宋体"/>
      <w:sz w:val="24"/>
      <w:szCs w:val="24"/>
    </w:rPr>
  </w:style>
  <w:style w:type="paragraph" w:customStyle="1" w:styleId="aff1">
    <w:name w:val="字母编号列项（一级）"/>
    <w:rsid w:val="00AE7E11"/>
    <w:pPr>
      <w:tabs>
        <w:tab w:val="num" w:pos="0"/>
        <w:tab w:val="left" w:pos="840"/>
      </w:tabs>
      <w:jc w:val="both"/>
    </w:pPr>
    <w:rPr>
      <w:rFonts w:ascii="宋体" w:eastAsia="宋体" w:hAnsi="Times New Roman" w:cs="Times New Roman"/>
      <w:sz w:val="21"/>
    </w:rPr>
  </w:style>
  <w:style w:type="paragraph" w:customStyle="1" w:styleId="aff2">
    <w:name w:val="列项——（一级）"/>
    <w:rsid w:val="00AE7E11"/>
    <w:pPr>
      <w:widowControl w:val="0"/>
      <w:jc w:val="both"/>
    </w:pPr>
    <w:rPr>
      <w:rFonts w:ascii="宋体" w:eastAsia="宋体" w:hAnsi="Times New Roman" w:cs="Times New Roman"/>
      <w:sz w:val="21"/>
    </w:rPr>
  </w:style>
  <w:style w:type="character" w:customStyle="1" w:styleId="16">
    <w:name w:val="无间隔1 字符"/>
    <w:basedOn w:val="a2"/>
    <w:link w:val="15"/>
    <w:uiPriority w:val="99"/>
    <w:rsid w:val="00AE7E11"/>
    <w:rPr>
      <w:rFonts w:ascii="Times New Roman" w:eastAsia="宋体" w:hAnsi="Times New Roman" w:cs="Times New Roman"/>
      <w:sz w:val="22"/>
      <w:szCs w:val="22"/>
    </w:rPr>
  </w:style>
  <w:style w:type="character" w:customStyle="1" w:styleId="katex-mathml">
    <w:name w:val="katex-mathml"/>
    <w:basedOn w:val="a2"/>
    <w:rsid w:val="00AE7E11"/>
  </w:style>
  <w:style w:type="character" w:customStyle="1" w:styleId="mord">
    <w:name w:val="mord"/>
    <w:basedOn w:val="a2"/>
    <w:rsid w:val="00AE7E11"/>
  </w:style>
  <w:style w:type="paragraph" w:customStyle="1" w:styleId="T3">
    <w:name w:val="T3"/>
    <w:basedOn w:val="a1"/>
    <w:link w:val="T30"/>
    <w:qFormat/>
    <w:rsid w:val="00AE7E11"/>
    <w:pPr>
      <w:keepNext/>
      <w:keepLines/>
      <w:widowControl/>
      <w:adjustRightInd w:val="0"/>
      <w:snapToGrid w:val="0"/>
      <w:spacing w:before="100" w:after="100" w:line="560" w:lineRule="exact"/>
      <w:ind w:firstLineChars="0" w:firstLine="0"/>
      <w:outlineLvl w:val="2"/>
    </w:pPr>
    <w:rPr>
      <w:rFonts w:eastAsia="方正仿宋_GBK" w:cs="Times New Roman"/>
      <w:bCs/>
      <w:kern w:val="0"/>
      <w:sz w:val="32"/>
      <w:szCs w:val="32"/>
    </w:rPr>
  </w:style>
  <w:style w:type="paragraph" w:customStyle="1" w:styleId="T4">
    <w:name w:val="T4"/>
    <w:basedOn w:val="T3"/>
    <w:link w:val="T40"/>
    <w:qFormat/>
    <w:rsid w:val="00AE7E11"/>
    <w:pPr>
      <w:outlineLvl w:val="3"/>
    </w:pPr>
  </w:style>
  <w:style w:type="character" w:customStyle="1" w:styleId="T30">
    <w:name w:val="T3 字符"/>
    <w:link w:val="T3"/>
    <w:rsid w:val="00AE7E11"/>
    <w:rPr>
      <w:rFonts w:ascii="Times New Roman" w:eastAsia="方正仿宋_GBK" w:hAnsi="Times New Roman" w:cs="Times New Roman"/>
      <w:bCs/>
      <w:sz w:val="32"/>
      <w:szCs w:val="32"/>
    </w:rPr>
  </w:style>
  <w:style w:type="character" w:customStyle="1" w:styleId="T40">
    <w:name w:val="T4 字符"/>
    <w:basedOn w:val="T30"/>
    <w:link w:val="T4"/>
    <w:rsid w:val="00AE7E11"/>
    <w:rPr>
      <w:rFonts w:ascii="Times New Roman" w:eastAsia="方正仿宋_GBK" w:hAnsi="Times New Roman" w:cs="Times New Roman"/>
      <w:bCs/>
      <w:sz w:val="32"/>
      <w:szCs w:val="32"/>
    </w:rPr>
  </w:style>
  <w:style w:type="paragraph" w:customStyle="1" w:styleId="aff3">
    <w:name w:val="表格"/>
    <w:basedOn w:val="25"/>
    <w:link w:val="aff4"/>
    <w:qFormat/>
    <w:rsid w:val="00AE7E11"/>
    <w:pPr>
      <w:spacing w:line="400" w:lineRule="exact"/>
      <w:ind w:leftChars="10" w:left="10" w:rightChars="10" w:right="10" w:firstLineChars="0" w:firstLine="0"/>
      <w:jc w:val="center"/>
    </w:pPr>
    <w:rPr>
      <w:szCs w:val="21"/>
    </w:rPr>
  </w:style>
  <w:style w:type="character" w:customStyle="1" w:styleId="aff4">
    <w:name w:val="表格 字符"/>
    <w:basedOn w:val="26"/>
    <w:link w:val="aff3"/>
    <w:qFormat/>
    <w:rsid w:val="00AE7E11"/>
    <w:rPr>
      <w:rFonts w:ascii="Times New Roman" w:eastAsia="宋体" w:hAnsi="Times New Roman" w:cs="Times New Roman"/>
      <w:sz w:val="24"/>
      <w:szCs w:val="21"/>
    </w:rPr>
  </w:style>
  <w:style w:type="paragraph" w:customStyle="1" w:styleId="aff5">
    <w:name w:val="图片/图注"/>
    <w:basedOn w:val="a1"/>
    <w:link w:val="aff6"/>
    <w:qFormat/>
    <w:rsid w:val="00AE7E11"/>
    <w:pPr>
      <w:widowControl/>
      <w:snapToGrid w:val="0"/>
      <w:spacing w:line="360" w:lineRule="auto"/>
      <w:ind w:firstLineChars="0" w:firstLine="0"/>
      <w:jc w:val="center"/>
    </w:pPr>
    <w:rPr>
      <w:rFonts w:cs="Times New Roman"/>
      <w:kern w:val="0"/>
      <w:sz w:val="28"/>
      <w:szCs w:val="21"/>
    </w:rPr>
  </w:style>
  <w:style w:type="character" w:customStyle="1" w:styleId="aff6">
    <w:name w:val="图片/图注 字符"/>
    <w:basedOn w:val="26"/>
    <w:link w:val="aff5"/>
    <w:rsid w:val="00AE7E11"/>
    <w:rPr>
      <w:rFonts w:ascii="Times New Roman" w:eastAsia="宋体" w:hAnsi="Times New Roman" w:cs="Times New Roman"/>
      <w:sz w:val="28"/>
      <w:szCs w:val="21"/>
    </w:rPr>
  </w:style>
  <w:style w:type="paragraph" w:customStyle="1" w:styleId="31">
    <w:name w:val="标题 3.1"/>
    <w:basedOn w:val="3"/>
    <w:link w:val="31CharChar"/>
    <w:rsid w:val="00AE7E11"/>
    <w:pPr>
      <w:widowControl/>
      <w:numPr>
        <w:numId w:val="8"/>
      </w:numPr>
      <w:tabs>
        <w:tab w:val="clear" w:pos="420"/>
        <w:tab w:val="left" w:pos="425"/>
        <w:tab w:val="left" w:pos="709"/>
        <w:tab w:val="left" w:pos="1440"/>
        <w:tab w:val="left" w:pos="1620"/>
      </w:tabs>
      <w:spacing w:line="360" w:lineRule="auto"/>
      <w:ind w:firstLineChars="0" w:firstLine="0"/>
    </w:pPr>
    <w:rPr>
      <w:rFonts w:ascii="宋体" w:hAnsi="宋体" w:cs="宋体"/>
      <w:kern w:val="0"/>
      <w:szCs w:val="28"/>
    </w:rPr>
  </w:style>
  <w:style w:type="paragraph" w:customStyle="1" w:styleId="TableParagraph">
    <w:name w:val="Table Paragraph"/>
    <w:basedOn w:val="a1"/>
    <w:autoRedefine/>
    <w:uiPriority w:val="1"/>
    <w:qFormat/>
    <w:rsid w:val="00AE7E11"/>
    <w:pPr>
      <w:widowControl/>
      <w:spacing w:line="520" w:lineRule="exact"/>
      <w:ind w:firstLineChars="0" w:firstLine="0"/>
      <w:jc w:val="center"/>
    </w:pPr>
    <w:rPr>
      <w:rFonts w:cs="Times New Roman"/>
      <w:kern w:val="0"/>
      <w:sz w:val="21"/>
      <w:szCs w:val="24"/>
    </w:rPr>
  </w:style>
  <w:style w:type="character" w:customStyle="1" w:styleId="MTDisplayEquationChar">
    <w:name w:val="MTDisplayEquation Char"/>
    <w:qFormat/>
    <w:rsid w:val="00AE7E11"/>
    <w:rPr>
      <w:rFonts w:ascii="仿宋_GB2312" w:eastAsia="仿宋_GB2312" w:hAnsi="Calibri"/>
      <w:color w:val="000000"/>
      <w:kern w:val="2"/>
      <w:sz w:val="32"/>
      <w:szCs w:val="22"/>
    </w:rPr>
  </w:style>
  <w:style w:type="table" w:customStyle="1" w:styleId="120">
    <w:name w:val="网格型12"/>
    <w:basedOn w:val="a3"/>
    <w:next w:val="af"/>
    <w:uiPriority w:val="59"/>
    <w:qFormat/>
    <w:rsid w:val="00AE7E11"/>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61">
    <w:name w:val="T61"/>
    <w:basedOn w:val="a1"/>
    <w:next w:val="a1"/>
    <w:uiPriority w:val="9"/>
    <w:unhideWhenUsed/>
    <w:qFormat/>
    <w:rsid w:val="00AE7E11"/>
    <w:pPr>
      <w:keepNext/>
      <w:keepLines/>
      <w:widowControl/>
      <w:snapToGrid w:val="0"/>
      <w:spacing w:line="480" w:lineRule="auto"/>
      <w:ind w:firstLineChars="0" w:firstLine="0"/>
      <w:outlineLvl w:val="5"/>
    </w:pPr>
    <w:rPr>
      <w:rFonts w:cs="Times New Roman"/>
      <w:b/>
      <w:bCs/>
      <w:kern w:val="0"/>
      <w:szCs w:val="24"/>
    </w:rPr>
  </w:style>
  <w:style w:type="numbering" w:customStyle="1" w:styleId="111">
    <w:name w:val="无列表11"/>
    <w:next w:val="a4"/>
    <w:uiPriority w:val="99"/>
    <w:semiHidden/>
    <w:unhideWhenUsed/>
    <w:rsid w:val="00AE7E11"/>
  </w:style>
  <w:style w:type="paragraph" w:customStyle="1" w:styleId="aff7">
    <w:name w:val="表中表"/>
    <w:basedOn w:val="aff3"/>
    <w:link w:val="aff8"/>
    <w:qFormat/>
    <w:rsid w:val="00AE7E11"/>
    <w:rPr>
      <w:sz w:val="18"/>
    </w:rPr>
  </w:style>
  <w:style w:type="character" w:customStyle="1" w:styleId="aff8">
    <w:name w:val="表中表 字符"/>
    <w:basedOn w:val="aff4"/>
    <w:link w:val="aff7"/>
    <w:rsid w:val="00AE7E11"/>
    <w:rPr>
      <w:rFonts w:ascii="Times New Roman" w:eastAsia="宋体" w:hAnsi="Times New Roman" w:cs="Times New Roman"/>
      <w:sz w:val="18"/>
      <w:szCs w:val="21"/>
    </w:rPr>
  </w:style>
  <w:style w:type="paragraph" w:customStyle="1" w:styleId="TOC11">
    <w:name w:val="TOC 11"/>
    <w:basedOn w:val="a1"/>
    <w:next w:val="a1"/>
    <w:autoRedefine/>
    <w:uiPriority w:val="39"/>
    <w:unhideWhenUsed/>
    <w:rsid w:val="00AE7E11"/>
    <w:pPr>
      <w:widowControl/>
      <w:snapToGrid w:val="0"/>
      <w:spacing w:before="120" w:after="120" w:line="480" w:lineRule="auto"/>
      <w:ind w:firstLineChars="0" w:firstLine="0"/>
    </w:pPr>
    <w:rPr>
      <w:rFonts w:ascii="等线" w:eastAsia="等线" w:cs="Times New Roman"/>
      <w:b/>
      <w:bCs/>
      <w:caps/>
      <w:kern w:val="0"/>
      <w:sz w:val="20"/>
      <w:szCs w:val="20"/>
    </w:rPr>
  </w:style>
  <w:style w:type="paragraph" w:customStyle="1" w:styleId="TOC21">
    <w:name w:val="TOC 21"/>
    <w:basedOn w:val="a1"/>
    <w:next w:val="a1"/>
    <w:autoRedefine/>
    <w:uiPriority w:val="39"/>
    <w:unhideWhenUsed/>
    <w:rsid w:val="00AE7E11"/>
    <w:pPr>
      <w:widowControl/>
      <w:snapToGrid w:val="0"/>
      <w:spacing w:line="480" w:lineRule="auto"/>
      <w:ind w:left="280" w:firstLineChars="0" w:firstLine="0"/>
    </w:pPr>
    <w:rPr>
      <w:rFonts w:ascii="等线" w:eastAsia="等线" w:cs="Times New Roman"/>
      <w:smallCaps/>
      <w:kern w:val="0"/>
      <w:sz w:val="20"/>
      <w:szCs w:val="20"/>
    </w:rPr>
  </w:style>
  <w:style w:type="paragraph" w:customStyle="1" w:styleId="TOC31">
    <w:name w:val="TOC 31"/>
    <w:basedOn w:val="a1"/>
    <w:next w:val="a1"/>
    <w:autoRedefine/>
    <w:uiPriority w:val="39"/>
    <w:unhideWhenUsed/>
    <w:rsid w:val="00AE7E11"/>
    <w:pPr>
      <w:widowControl/>
      <w:snapToGrid w:val="0"/>
      <w:spacing w:line="480" w:lineRule="auto"/>
      <w:ind w:left="560" w:firstLineChars="0" w:firstLine="0"/>
    </w:pPr>
    <w:rPr>
      <w:rFonts w:ascii="等线" w:eastAsia="等线" w:cs="Times New Roman"/>
      <w:i/>
      <w:iCs/>
      <w:kern w:val="0"/>
      <w:sz w:val="20"/>
      <w:szCs w:val="20"/>
    </w:rPr>
  </w:style>
  <w:style w:type="paragraph" w:customStyle="1" w:styleId="TOC41">
    <w:name w:val="TOC 41"/>
    <w:basedOn w:val="a1"/>
    <w:next w:val="a1"/>
    <w:autoRedefine/>
    <w:uiPriority w:val="39"/>
    <w:unhideWhenUsed/>
    <w:rsid w:val="00AE7E11"/>
    <w:pPr>
      <w:widowControl/>
      <w:snapToGrid w:val="0"/>
      <w:spacing w:line="480" w:lineRule="auto"/>
      <w:ind w:left="840" w:firstLineChars="0" w:firstLine="0"/>
    </w:pPr>
    <w:rPr>
      <w:rFonts w:ascii="等线" w:eastAsia="等线" w:cs="Times New Roman"/>
      <w:kern w:val="0"/>
      <w:sz w:val="18"/>
      <w:szCs w:val="18"/>
    </w:rPr>
  </w:style>
  <w:style w:type="paragraph" w:customStyle="1" w:styleId="TOC51">
    <w:name w:val="TOC 51"/>
    <w:basedOn w:val="a1"/>
    <w:next w:val="a1"/>
    <w:autoRedefine/>
    <w:uiPriority w:val="39"/>
    <w:unhideWhenUsed/>
    <w:rsid w:val="00AE7E11"/>
    <w:pPr>
      <w:widowControl/>
      <w:snapToGrid w:val="0"/>
      <w:spacing w:line="480" w:lineRule="auto"/>
      <w:ind w:left="1120" w:firstLineChars="0" w:firstLine="0"/>
    </w:pPr>
    <w:rPr>
      <w:rFonts w:ascii="等线" w:eastAsia="等线" w:cs="Times New Roman"/>
      <w:kern w:val="0"/>
      <w:sz w:val="18"/>
      <w:szCs w:val="18"/>
    </w:rPr>
  </w:style>
  <w:style w:type="paragraph" w:customStyle="1" w:styleId="TOC61">
    <w:name w:val="TOC 61"/>
    <w:basedOn w:val="a1"/>
    <w:next w:val="a1"/>
    <w:autoRedefine/>
    <w:uiPriority w:val="39"/>
    <w:unhideWhenUsed/>
    <w:rsid w:val="00AE7E11"/>
    <w:pPr>
      <w:widowControl/>
      <w:snapToGrid w:val="0"/>
      <w:spacing w:line="480" w:lineRule="auto"/>
      <w:ind w:left="1400" w:firstLineChars="0" w:firstLine="0"/>
    </w:pPr>
    <w:rPr>
      <w:rFonts w:ascii="等线" w:eastAsia="等线" w:cs="Times New Roman"/>
      <w:kern w:val="0"/>
      <w:sz w:val="18"/>
      <w:szCs w:val="18"/>
    </w:rPr>
  </w:style>
  <w:style w:type="paragraph" w:customStyle="1" w:styleId="TOC71">
    <w:name w:val="TOC 71"/>
    <w:basedOn w:val="a1"/>
    <w:next w:val="a1"/>
    <w:autoRedefine/>
    <w:uiPriority w:val="39"/>
    <w:unhideWhenUsed/>
    <w:rsid w:val="00AE7E11"/>
    <w:pPr>
      <w:widowControl/>
      <w:snapToGrid w:val="0"/>
      <w:spacing w:line="480" w:lineRule="auto"/>
      <w:ind w:left="1680" w:firstLineChars="0" w:firstLine="0"/>
    </w:pPr>
    <w:rPr>
      <w:rFonts w:ascii="等线" w:eastAsia="等线" w:cs="Times New Roman"/>
      <w:kern w:val="0"/>
      <w:sz w:val="18"/>
      <w:szCs w:val="18"/>
    </w:rPr>
  </w:style>
  <w:style w:type="paragraph" w:customStyle="1" w:styleId="TOC81">
    <w:name w:val="TOC 81"/>
    <w:basedOn w:val="a1"/>
    <w:next w:val="a1"/>
    <w:autoRedefine/>
    <w:uiPriority w:val="39"/>
    <w:unhideWhenUsed/>
    <w:rsid w:val="00AE7E11"/>
    <w:pPr>
      <w:widowControl/>
      <w:snapToGrid w:val="0"/>
      <w:spacing w:line="480" w:lineRule="auto"/>
      <w:ind w:left="1960" w:firstLineChars="0" w:firstLine="0"/>
    </w:pPr>
    <w:rPr>
      <w:rFonts w:ascii="等线" w:eastAsia="等线" w:cs="Times New Roman"/>
      <w:kern w:val="0"/>
      <w:sz w:val="18"/>
      <w:szCs w:val="18"/>
    </w:rPr>
  </w:style>
  <w:style w:type="paragraph" w:customStyle="1" w:styleId="TOC91">
    <w:name w:val="TOC 91"/>
    <w:basedOn w:val="a1"/>
    <w:next w:val="a1"/>
    <w:autoRedefine/>
    <w:uiPriority w:val="39"/>
    <w:unhideWhenUsed/>
    <w:rsid w:val="00AE7E11"/>
    <w:pPr>
      <w:widowControl/>
      <w:snapToGrid w:val="0"/>
      <w:spacing w:line="480" w:lineRule="auto"/>
      <w:ind w:left="2240" w:firstLineChars="0" w:firstLine="0"/>
    </w:pPr>
    <w:rPr>
      <w:rFonts w:ascii="等线" w:eastAsia="等线" w:cs="Times New Roman"/>
      <w:kern w:val="0"/>
      <w:sz w:val="18"/>
      <w:szCs w:val="18"/>
    </w:rPr>
  </w:style>
  <w:style w:type="character" w:styleId="aff9">
    <w:name w:val="page number"/>
    <w:basedOn w:val="a2"/>
    <w:uiPriority w:val="99"/>
    <w:semiHidden/>
    <w:unhideWhenUsed/>
    <w:rsid w:val="00AE7E11"/>
  </w:style>
  <w:style w:type="paragraph" w:styleId="affa">
    <w:name w:val="Normal Indent"/>
    <w:basedOn w:val="a1"/>
    <w:rsid w:val="00AE7E11"/>
    <w:pPr>
      <w:widowControl/>
      <w:snapToGrid w:val="0"/>
      <w:spacing w:line="240" w:lineRule="auto"/>
      <w:ind w:firstLineChars="0" w:firstLine="420"/>
    </w:pPr>
    <w:rPr>
      <w:rFonts w:ascii="宋体" w:hAnsi="宋体" w:cs="宋体"/>
      <w:kern w:val="0"/>
      <w:sz w:val="22"/>
      <w:szCs w:val="20"/>
      <w:lang w:eastAsia="en-US"/>
    </w:rPr>
  </w:style>
  <w:style w:type="paragraph" w:styleId="affb">
    <w:name w:val="Plain Text"/>
    <w:basedOn w:val="a1"/>
    <w:link w:val="affc"/>
    <w:rsid w:val="00AE7E11"/>
    <w:pPr>
      <w:widowControl/>
      <w:snapToGrid w:val="0"/>
      <w:spacing w:line="240" w:lineRule="auto"/>
      <w:ind w:firstLineChars="0" w:firstLine="0"/>
    </w:pPr>
    <w:rPr>
      <w:rFonts w:ascii="宋体" w:hAnsi="Courier New" w:cs="Courier New"/>
      <w:kern w:val="0"/>
      <w:sz w:val="22"/>
      <w:szCs w:val="21"/>
      <w:lang w:eastAsia="en-US"/>
    </w:rPr>
  </w:style>
  <w:style w:type="character" w:customStyle="1" w:styleId="affc">
    <w:name w:val="纯文本 字符"/>
    <w:basedOn w:val="a2"/>
    <w:link w:val="affb"/>
    <w:rsid w:val="00AE7E11"/>
    <w:rPr>
      <w:rFonts w:ascii="宋体" w:eastAsia="宋体" w:hAnsi="Courier New" w:cs="Courier New"/>
      <w:sz w:val="22"/>
      <w:szCs w:val="21"/>
      <w:lang w:eastAsia="en-US"/>
    </w:rPr>
  </w:style>
  <w:style w:type="paragraph" w:styleId="29">
    <w:name w:val="Body Text Indent 2"/>
    <w:basedOn w:val="a1"/>
    <w:link w:val="2a"/>
    <w:rsid w:val="00AE7E11"/>
    <w:pPr>
      <w:widowControl/>
      <w:snapToGrid w:val="0"/>
      <w:spacing w:line="240" w:lineRule="auto"/>
      <w:ind w:firstLineChars="0" w:firstLine="630"/>
    </w:pPr>
    <w:rPr>
      <w:rFonts w:ascii="宋体" w:hAnsi="宋体" w:cs="宋体"/>
      <w:kern w:val="0"/>
      <w:sz w:val="32"/>
      <w:szCs w:val="20"/>
      <w:lang w:eastAsia="en-US"/>
    </w:rPr>
  </w:style>
  <w:style w:type="character" w:customStyle="1" w:styleId="2a">
    <w:name w:val="正文文本缩进 2 字符"/>
    <w:basedOn w:val="a2"/>
    <w:link w:val="29"/>
    <w:rsid w:val="00AE7E11"/>
    <w:rPr>
      <w:rFonts w:ascii="宋体" w:eastAsia="宋体" w:hAnsi="宋体" w:cs="宋体"/>
      <w:sz w:val="32"/>
      <w:lang w:eastAsia="en-US"/>
    </w:rPr>
  </w:style>
  <w:style w:type="table" w:customStyle="1" w:styleId="TableNormal">
    <w:name w:val="Table Normal"/>
    <w:uiPriority w:val="2"/>
    <w:semiHidden/>
    <w:unhideWhenUsed/>
    <w:qFormat/>
    <w:rsid w:val="00AE7E11"/>
    <w:rPr>
      <w:rFonts w:ascii="Times New Roman" w:eastAsia="宋体" w:hAnsi="Times New Roman" w:cs="Times New Roman"/>
    </w:rPr>
    <w:tblPr>
      <w:tblCellMar>
        <w:top w:w="0" w:type="dxa"/>
        <w:left w:w="0" w:type="dxa"/>
        <w:bottom w:w="0" w:type="dxa"/>
        <w:right w:w="0" w:type="dxa"/>
      </w:tblCellMar>
    </w:tblPr>
  </w:style>
  <w:style w:type="paragraph" w:customStyle="1" w:styleId="112">
    <w:name w:val="标题 11"/>
    <w:basedOn w:val="a1"/>
    <w:uiPriority w:val="1"/>
    <w:rsid w:val="00AE7E11"/>
    <w:pPr>
      <w:widowControl/>
      <w:snapToGrid w:val="0"/>
      <w:spacing w:line="590" w:lineRule="exact"/>
      <w:ind w:left="3" w:firstLineChars="0" w:firstLine="0"/>
      <w:outlineLvl w:val="1"/>
    </w:pPr>
    <w:rPr>
      <w:rFonts w:ascii="Microsoft JhengHei" w:eastAsia="Microsoft JhengHei" w:hAnsi="Microsoft JhengHei" w:cs="Microsoft JhengHei"/>
      <w:b/>
      <w:bCs/>
      <w:kern w:val="0"/>
      <w:sz w:val="44"/>
      <w:szCs w:val="44"/>
      <w:lang w:eastAsia="en-US"/>
    </w:rPr>
  </w:style>
  <w:style w:type="paragraph" w:customStyle="1" w:styleId="17">
    <w:name w:val="列出段落1"/>
    <w:basedOn w:val="a1"/>
    <w:rsid w:val="00AE7E11"/>
    <w:pPr>
      <w:widowControl/>
      <w:snapToGrid w:val="0"/>
      <w:spacing w:line="324" w:lineRule="auto"/>
      <w:ind w:firstLine="420"/>
    </w:pPr>
    <w:rPr>
      <w:rFonts w:ascii="宋体" w:hAnsi="宋体" w:cs="宋体"/>
      <w:kern w:val="0"/>
      <w:sz w:val="22"/>
      <w:szCs w:val="20"/>
      <w:lang w:eastAsia="en-US"/>
    </w:rPr>
  </w:style>
  <w:style w:type="paragraph" w:customStyle="1" w:styleId="2b">
    <w:name w:val="样式 首行缩进:  2 字符"/>
    <w:basedOn w:val="a1"/>
    <w:rsid w:val="00AE7E11"/>
    <w:pPr>
      <w:widowControl/>
      <w:snapToGrid w:val="0"/>
      <w:spacing w:line="360" w:lineRule="auto"/>
    </w:pPr>
    <w:rPr>
      <w:rFonts w:ascii="宋体" w:hAnsi="宋体" w:cs="宋体"/>
      <w:kern w:val="0"/>
      <w:szCs w:val="24"/>
      <w:lang w:eastAsia="en-US"/>
    </w:rPr>
  </w:style>
  <w:style w:type="paragraph" w:customStyle="1" w:styleId="p16">
    <w:name w:val="p16"/>
    <w:basedOn w:val="a1"/>
    <w:rsid w:val="00AE7E11"/>
    <w:pPr>
      <w:widowControl/>
      <w:spacing w:before="100" w:beforeAutospacing="1" w:after="100" w:afterAutospacing="1" w:line="240" w:lineRule="auto"/>
      <w:ind w:firstLineChars="0" w:firstLine="0"/>
    </w:pPr>
    <w:rPr>
      <w:rFonts w:eastAsia="等线" w:cs="Times New Roman"/>
      <w:kern w:val="0"/>
      <w:szCs w:val="24"/>
    </w:rPr>
  </w:style>
  <w:style w:type="paragraph" w:customStyle="1" w:styleId="18">
    <w:name w:val="普通(网站)1"/>
    <w:basedOn w:val="a1"/>
    <w:next w:val="ac"/>
    <w:uiPriority w:val="99"/>
    <w:unhideWhenUsed/>
    <w:rsid w:val="00AE7E11"/>
    <w:pPr>
      <w:widowControl/>
      <w:spacing w:before="100" w:beforeAutospacing="1" w:after="100" w:afterAutospacing="1" w:line="240" w:lineRule="auto"/>
      <w:ind w:firstLineChars="0" w:firstLine="0"/>
    </w:pPr>
    <w:rPr>
      <w:rFonts w:eastAsia="等线" w:cs="Times New Roman"/>
      <w:kern w:val="0"/>
      <w:szCs w:val="24"/>
    </w:rPr>
  </w:style>
  <w:style w:type="paragraph" w:styleId="affd">
    <w:name w:val="No Spacing"/>
    <w:link w:val="affe"/>
    <w:uiPriority w:val="1"/>
    <w:rsid w:val="00AE7E11"/>
    <w:rPr>
      <w:rFonts w:eastAsia="Microsoft YaHei UI"/>
      <w:sz w:val="22"/>
      <w:szCs w:val="22"/>
    </w:rPr>
  </w:style>
  <w:style w:type="character" w:customStyle="1" w:styleId="affe">
    <w:name w:val="无间隔 字符"/>
    <w:basedOn w:val="a2"/>
    <w:link w:val="affd"/>
    <w:uiPriority w:val="1"/>
    <w:rsid w:val="00AE7E11"/>
    <w:rPr>
      <w:rFonts w:eastAsia="Microsoft YaHei UI"/>
      <w:sz w:val="22"/>
      <w:szCs w:val="22"/>
    </w:rPr>
  </w:style>
  <w:style w:type="character" w:customStyle="1" w:styleId="31CharChar">
    <w:name w:val="标题 3.1 Char Char"/>
    <w:link w:val="31"/>
    <w:rsid w:val="00AE7E11"/>
    <w:rPr>
      <w:rFonts w:ascii="宋体" w:eastAsia="宋体" w:hAnsi="宋体" w:cs="宋体"/>
      <w:b/>
      <w:bCs/>
      <w:sz w:val="24"/>
      <w:szCs w:val="28"/>
    </w:rPr>
  </w:style>
  <w:style w:type="paragraph" w:customStyle="1" w:styleId="42">
    <w:name w:val="正文缩进4格"/>
    <w:basedOn w:val="a1"/>
    <w:rsid w:val="00AE7E11"/>
    <w:pPr>
      <w:widowControl/>
      <w:spacing w:line="340" w:lineRule="exact"/>
      <w:ind w:firstLineChars="0" w:firstLine="315"/>
    </w:pPr>
    <w:rPr>
      <w:rFonts w:ascii="宋体" w:cs="Times New Roman"/>
      <w:kern w:val="0"/>
      <w:szCs w:val="24"/>
    </w:rPr>
  </w:style>
  <w:style w:type="paragraph" w:styleId="34">
    <w:name w:val="List 3"/>
    <w:basedOn w:val="a1"/>
    <w:semiHidden/>
    <w:rsid w:val="00AE7E11"/>
    <w:pPr>
      <w:widowControl/>
      <w:spacing w:line="240" w:lineRule="auto"/>
      <w:ind w:left="1260" w:firstLineChars="0" w:hanging="420"/>
    </w:pPr>
    <w:rPr>
      <w:rFonts w:cs="Times New Roman"/>
      <w:kern w:val="0"/>
      <w:sz w:val="21"/>
      <w:szCs w:val="24"/>
    </w:rPr>
  </w:style>
  <w:style w:type="paragraph" w:customStyle="1" w:styleId="p0">
    <w:name w:val="p0"/>
    <w:basedOn w:val="a1"/>
    <w:qFormat/>
    <w:rsid w:val="00AE7E11"/>
    <w:pPr>
      <w:widowControl/>
      <w:spacing w:line="240" w:lineRule="auto"/>
      <w:ind w:firstLineChars="0" w:firstLine="0"/>
    </w:pPr>
    <w:rPr>
      <w:rFonts w:cs="Times New Roman"/>
      <w:kern w:val="0"/>
      <w:sz w:val="21"/>
      <w:szCs w:val="21"/>
    </w:rPr>
  </w:style>
  <w:style w:type="paragraph" w:styleId="afff">
    <w:name w:val="Revision"/>
    <w:hidden/>
    <w:uiPriority w:val="99"/>
    <w:semiHidden/>
    <w:rsid w:val="00AE7E11"/>
    <w:rPr>
      <w:rFonts w:ascii="Times New Roman" w:eastAsia="宋体" w:hAnsi="Times New Roman"/>
      <w:kern w:val="2"/>
      <w:sz w:val="28"/>
      <w:szCs w:val="22"/>
    </w:rPr>
  </w:style>
  <w:style w:type="paragraph" w:customStyle="1" w:styleId="19">
    <w:name w:val="样式1"/>
    <w:basedOn w:val="a1"/>
    <w:rsid w:val="00AE7E11"/>
    <w:pPr>
      <w:widowControl/>
      <w:tabs>
        <w:tab w:val="left" w:pos="420"/>
        <w:tab w:val="left" w:pos="709"/>
      </w:tabs>
      <w:adjustRightInd w:val="0"/>
      <w:spacing w:line="240" w:lineRule="auto"/>
      <w:ind w:left="420" w:firstLineChars="0" w:hanging="420"/>
      <w:textAlignment w:val="baseline"/>
    </w:pPr>
    <w:rPr>
      <w:rFonts w:ascii="宋体" w:hAnsi="宋体" w:cs="Times New Roman"/>
      <w:kern w:val="0"/>
      <w:sz w:val="21"/>
      <w:szCs w:val="21"/>
    </w:rPr>
  </w:style>
  <w:style w:type="character" w:styleId="afff0">
    <w:name w:val="Unresolved Mention"/>
    <w:basedOn w:val="a2"/>
    <w:uiPriority w:val="99"/>
    <w:unhideWhenUsed/>
    <w:rsid w:val="00AE7E11"/>
    <w:rPr>
      <w:color w:val="605E5C"/>
      <w:shd w:val="clear" w:color="auto" w:fill="E1DFDD"/>
    </w:rPr>
  </w:style>
  <w:style w:type="paragraph" w:customStyle="1" w:styleId="Default">
    <w:name w:val="Default"/>
    <w:rsid w:val="00AE7E11"/>
    <w:pPr>
      <w:widowControl w:val="0"/>
      <w:autoSpaceDE w:val="0"/>
      <w:autoSpaceDN w:val="0"/>
      <w:adjustRightInd w:val="0"/>
    </w:pPr>
    <w:rPr>
      <w:rFonts w:ascii="Arial" w:eastAsia="宋体" w:hAnsi="Arial" w:cs="Arial"/>
      <w:color w:val="000000"/>
      <w:sz w:val="24"/>
      <w:szCs w:val="24"/>
    </w:rPr>
  </w:style>
  <w:style w:type="paragraph" w:styleId="afff1">
    <w:name w:val="Note Heading"/>
    <w:basedOn w:val="a1"/>
    <w:next w:val="a1"/>
    <w:link w:val="afff2"/>
    <w:semiHidden/>
    <w:rsid w:val="00AE7E11"/>
    <w:pPr>
      <w:widowControl/>
      <w:spacing w:line="240" w:lineRule="auto"/>
      <w:ind w:firstLineChars="0" w:firstLine="0"/>
      <w:jc w:val="center"/>
    </w:pPr>
    <w:rPr>
      <w:rFonts w:cs="Times New Roman"/>
      <w:kern w:val="0"/>
      <w:sz w:val="21"/>
      <w:szCs w:val="24"/>
    </w:rPr>
  </w:style>
  <w:style w:type="character" w:customStyle="1" w:styleId="afff2">
    <w:name w:val="注释标题 字符"/>
    <w:basedOn w:val="a2"/>
    <w:link w:val="afff1"/>
    <w:semiHidden/>
    <w:rsid w:val="00AE7E11"/>
    <w:rPr>
      <w:rFonts w:ascii="Times New Roman" w:eastAsia="宋体" w:hAnsi="Times New Roman" w:cs="Times New Roman"/>
      <w:sz w:val="21"/>
      <w:szCs w:val="24"/>
    </w:rPr>
  </w:style>
  <w:style w:type="paragraph" w:styleId="afff3">
    <w:name w:val="E-mail Signature"/>
    <w:basedOn w:val="a1"/>
    <w:link w:val="afff4"/>
    <w:semiHidden/>
    <w:rsid w:val="00AE7E11"/>
    <w:pPr>
      <w:widowControl/>
      <w:spacing w:line="240" w:lineRule="auto"/>
      <w:ind w:firstLineChars="0" w:firstLine="0"/>
    </w:pPr>
    <w:rPr>
      <w:rFonts w:cs="Times New Roman"/>
      <w:kern w:val="0"/>
      <w:sz w:val="21"/>
      <w:szCs w:val="24"/>
    </w:rPr>
  </w:style>
  <w:style w:type="character" w:customStyle="1" w:styleId="afff4">
    <w:name w:val="电子邮件签名 字符"/>
    <w:basedOn w:val="a2"/>
    <w:link w:val="afff3"/>
    <w:semiHidden/>
    <w:rsid w:val="00AE7E11"/>
    <w:rPr>
      <w:rFonts w:ascii="Times New Roman" w:eastAsia="宋体" w:hAnsi="Times New Roman" w:cs="Times New Roman"/>
      <w:sz w:val="21"/>
      <w:szCs w:val="24"/>
    </w:rPr>
  </w:style>
  <w:style w:type="character" w:customStyle="1" w:styleId="1a">
    <w:name w:val="访问过的超链接1"/>
    <w:basedOn w:val="a2"/>
    <w:uiPriority w:val="99"/>
    <w:semiHidden/>
    <w:unhideWhenUsed/>
    <w:rsid w:val="00AE7E11"/>
    <w:rPr>
      <w:color w:val="954F72"/>
      <w:u w:val="single"/>
    </w:rPr>
  </w:style>
  <w:style w:type="character" w:customStyle="1" w:styleId="61">
    <w:name w:val="标题 6 字符1"/>
    <w:basedOn w:val="a2"/>
    <w:uiPriority w:val="9"/>
    <w:semiHidden/>
    <w:rsid w:val="00AE7E11"/>
    <w:rPr>
      <w:rFonts w:ascii="等线 Light" w:eastAsia="等线 Light" w:hAnsi="等线 Light" w:cs="Times New Roman"/>
      <w:b/>
      <w:bCs/>
      <w:sz w:val="24"/>
      <w:szCs w:val="24"/>
    </w:rPr>
  </w:style>
  <w:style w:type="character" w:customStyle="1" w:styleId="2c">
    <w:name w:val="访问过的超链接2"/>
    <w:basedOn w:val="a2"/>
    <w:uiPriority w:val="99"/>
    <w:semiHidden/>
    <w:unhideWhenUsed/>
    <w:rsid w:val="00AE7E11"/>
    <w:rPr>
      <w:color w:val="954F72"/>
      <w:u w:val="single"/>
    </w:rPr>
  </w:style>
  <w:style w:type="paragraph" w:customStyle="1" w:styleId="a">
    <w:name w:val="标题一"/>
    <w:basedOn w:val="1"/>
    <w:link w:val="afff5"/>
    <w:qFormat/>
    <w:rsid w:val="00AE7E11"/>
    <w:pPr>
      <w:pageBreakBefore/>
      <w:widowControl/>
      <w:numPr>
        <w:numId w:val="6"/>
      </w:numPr>
      <w:tabs>
        <w:tab w:val="left" w:pos="0"/>
      </w:tabs>
      <w:spacing w:beforeLines="0" w:before="340" w:afterLines="0" w:after="330" w:line="578" w:lineRule="atLeast"/>
      <w:ind w:firstLineChars="200" w:firstLine="200"/>
      <w:jc w:val="center"/>
    </w:pPr>
    <w:rPr>
      <w:rFonts w:cs="宋体"/>
      <w:color w:val="000000"/>
    </w:rPr>
  </w:style>
  <w:style w:type="paragraph" w:customStyle="1" w:styleId="a0">
    <w:name w:val="标题二"/>
    <w:basedOn w:val="2"/>
    <w:link w:val="afff6"/>
    <w:qFormat/>
    <w:rsid w:val="00AE7E11"/>
    <w:pPr>
      <w:keepNext w:val="0"/>
      <w:keepLines w:val="0"/>
      <w:widowControl/>
      <w:numPr>
        <w:numId w:val="7"/>
      </w:numPr>
      <w:tabs>
        <w:tab w:val="left" w:pos="0"/>
        <w:tab w:val="num" w:pos="360"/>
      </w:tabs>
      <w:spacing w:beforeLines="50" w:before="50" w:line="360" w:lineRule="auto"/>
      <w:ind w:firstLine="0"/>
      <w:jc w:val="center"/>
    </w:pPr>
    <w:rPr>
      <w:rFonts w:ascii="宋体" w:hAnsi="宋体" w:cs="宋体"/>
      <w:bCs w:val="0"/>
      <w:color w:val="000000"/>
      <w:szCs w:val="28"/>
    </w:rPr>
  </w:style>
  <w:style w:type="character" w:customStyle="1" w:styleId="afff5">
    <w:name w:val="标题一 字符"/>
    <w:basedOn w:val="20"/>
    <w:link w:val="a"/>
    <w:rsid w:val="00AE7E11"/>
    <w:rPr>
      <w:rFonts w:ascii="Times New Roman" w:eastAsia="宋体" w:hAnsi="Times New Roman" w:cs="宋体"/>
      <w:b/>
      <w:bCs/>
      <w:color w:val="000000"/>
      <w:kern w:val="44"/>
      <w:sz w:val="28"/>
      <w:szCs w:val="44"/>
    </w:rPr>
  </w:style>
  <w:style w:type="paragraph" w:customStyle="1" w:styleId="afff7">
    <w:name w:val="标题三"/>
    <w:basedOn w:val="3"/>
    <w:link w:val="afff8"/>
    <w:qFormat/>
    <w:rsid w:val="00AE7E11"/>
    <w:pPr>
      <w:keepNext w:val="0"/>
      <w:keepLines w:val="0"/>
      <w:widowControl/>
      <w:tabs>
        <w:tab w:val="left" w:pos="420"/>
      </w:tabs>
      <w:spacing w:line="360" w:lineRule="auto"/>
      <w:ind w:firstLineChars="0" w:firstLine="0"/>
    </w:pPr>
    <w:rPr>
      <w:rFonts w:cs="新宋体"/>
      <w:bCs w:val="0"/>
      <w:szCs w:val="24"/>
    </w:rPr>
  </w:style>
  <w:style w:type="character" w:customStyle="1" w:styleId="afff6">
    <w:name w:val="标题二 字符"/>
    <w:basedOn w:val="30"/>
    <w:link w:val="a0"/>
    <w:rsid w:val="00AE7E11"/>
    <w:rPr>
      <w:rFonts w:ascii="宋体" w:eastAsia="宋体" w:hAnsi="宋体" w:cs="宋体"/>
      <w:b/>
      <w:bCs w:val="0"/>
      <w:color w:val="000000"/>
      <w:kern w:val="2"/>
      <w:sz w:val="24"/>
      <w:szCs w:val="28"/>
    </w:rPr>
  </w:style>
  <w:style w:type="paragraph" w:customStyle="1" w:styleId="afff9">
    <w:name w:val="标题四"/>
    <w:basedOn w:val="4"/>
    <w:link w:val="afffa"/>
    <w:qFormat/>
    <w:rsid w:val="00AE7E11"/>
    <w:pPr>
      <w:keepNext w:val="0"/>
      <w:keepLines w:val="0"/>
      <w:tabs>
        <w:tab w:val="left" w:pos="420"/>
      </w:tabs>
      <w:jc w:val="both"/>
    </w:pPr>
    <w:rPr>
      <w:rFonts w:eastAsia="宋体" w:cs="新宋体"/>
      <w:sz w:val="24"/>
      <w:szCs w:val="24"/>
    </w:rPr>
  </w:style>
  <w:style w:type="character" w:customStyle="1" w:styleId="afff8">
    <w:name w:val="标题三 字符"/>
    <w:basedOn w:val="30"/>
    <w:link w:val="afff7"/>
    <w:rsid w:val="00AE7E11"/>
    <w:rPr>
      <w:rFonts w:ascii="Times New Roman" w:eastAsia="宋体" w:hAnsi="Times New Roman" w:cs="新宋体"/>
      <w:b/>
      <w:bCs w:val="0"/>
      <w:kern w:val="2"/>
      <w:sz w:val="24"/>
      <w:szCs w:val="24"/>
    </w:rPr>
  </w:style>
  <w:style w:type="paragraph" w:styleId="afffb">
    <w:name w:val="Date"/>
    <w:basedOn w:val="a1"/>
    <w:next w:val="a1"/>
    <w:link w:val="afffc"/>
    <w:uiPriority w:val="99"/>
    <w:semiHidden/>
    <w:unhideWhenUsed/>
    <w:rsid w:val="00AE7E11"/>
    <w:pPr>
      <w:widowControl/>
      <w:spacing w:line="360" w:lineRule="auto"/>
      <w:ind w:leftChars="2500" w:left="100"/>
    </w:pPr>
    <w:rPr>
      <w:rFonts w:cs="新宋体"/>
      <w:kern w:val="0"/>
      <w:szCs w:val="24"/>
    </w:rPr>
  </w:style>
  <w:style w:type="character" w:customStyle="1" w:styleId="afffc">
    <w:name w:val="日期 字符"/>
    <w:basedOn w:val="a2"/>
    <w:link w:val="afffb"/>
    <w:uiPriority w:val="99"/>
    <w:semiHidden/>
    <w:rsid w:val="00AE7E11"/>
    <w:rPr>
      <w:rFonts w:ascii="Times New Roman" w:eastAsia="宋体" w:hAnsi="Times New Roman" w:cs="新宋体"/>
      <w:sz w:val="24"/>
      <w:szCs w:val="24"/>
    </w:rPr>
  </w:style>
  <w:style w:type="character" w:customStyle="1" w:styleId="afffa">
    <w:name w:val="标题四 字符"/>
    <w:basedOn w:val="40"/>
    <w:link w:val="afff9"/>
    <w:rsid w:val="00AE7E11"/>
    <w:rPr>
      <w:rFonts w:ascii="Times New Roman" w:eastAsia="宋体" w:hAnsi="Times New Roman" w:cs="新宋体"/>
      <w:b/>
      <w:bCs/>
      <w:sz w:val="24"/>
      <w:szCs w:val="24"/>
    </w:rPr>
  </w:style>
  <w:style w:type="paragraph" w:styleId="TOC2">
    <w:name w:val="toc 2"/>
    <w:basedOn w:val="a1"/>
    <w:next w:val="a1"/>
    <w:autoRedefine/>
    <w:uiPriority w:val="39"/>
    <w:unhideWhenUsed/>
    <w:rsid w:val="00AE7E11"/>
    <w:pPr>
      <w:widowControl/>
      <w:spacing w:line="360" w:lineRule="auto"/>
      <w:ind w:leftChars="150" w:left="150"/>
    </w:pPr>
    <w:rPr>
      <w:rFonts w:cs="宋体"/>
      <w:b/>
      <w:bCs/>
      <w:smallCaps/>
      <w:kern w:val="0"/>
      <w:sz w:val="21"/>
    </w:rPr>
  </w:style>
  <w:style w:type="paragraph" w:styleId="TOC10">
    <w:name w:val="toc 1"/>
    <w:basedOn w:val="a1"/>
    <w:next w:val="a1"/>
    <w:autoRedefine/>
    <w:uiPriority w:val="39"/>
    <w:unhideWhenUsed/>
    <w:rsid w:val="00AE7E11"/>
    <w:pPr>
      <w:widowControl/>
      <w:tabs>
        <w:tab w:val="right" w:leader="dot" w:pos="8296"/>
      </w:tabs>
      <w:spacing w:line="240" w:lineRule="auto"/>
      <w:ind w:leftChars="100" w:left="100" w:rightChars="100" w:right="100" w:firstLineChars="0" w:firstLine="0"/>
    </w:pPr>
    <w:rPr>
      <w:rFonts w:cs="宋体"/>
      <w:b/>
      <w:bCs/>
      <w:caps/>
      <w:kern w:val="0"/>
      <w:sz w:val="28"/>
    </w:rPr>
  </w:style>
  <w:style w:type="paragraph" w:styleId="TOC3">
    <w:name w:val="toc 3"/>
    <w:basedOn w:val="a1"/>
    <w:next w:val="a1"/>
    <w:autoRedefine/>
    <w:uiPriority w:val="39"/>
    <w:unhideWhenUsed/>
    <w:rsid w:val="00AE7E11"/>
    <w:pPr>
      <w:widowControl/>
      <w:spacing w:line="360" w:lineRule="auto"/>
      <w:ind w:leftChars="200" w:left="200"/>
    </w:pPr>
    <w:rPr>
      <w:rFonts w:cs="宋体"/>
      <w:smallCaps/>
      <w:kern w:val="0"/>
      <w:sz w:val="21"/>
    </w:rPr>
  </w:style>
  <w:style w:type="paragraph" w:customStyle="1" w:styleId="TOC42">
    <w:name w:val="TOC 4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52">
    <w:name w:val="TOC 5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62">
    <w:name w:val="TOC 6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72">
    <w:name w:val="TOC 7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82">
    <w:name w:val="TOC 8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92">
    <w:name w:val="TOC 9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afffd">
    <w:name w:val="正文内容"/>
    <w:basedOn w:val="a1"/>
    <w:uiPriority w:val="99"/>
    <w:rsid w:val="00AE7E11"/>
    <w:pPr>
      <w:widowControl/>
      <w:spacing w:line="360" w:lineRule="auto"/>
      <w:ind w:firstLine="400"/>
    </w:pPr>
    <w:rPr>
      <w:rFonts w:cs="Times New Roman"/>
      <w:kern w:val="0"/>
      <w:szCs w:val="24"/>
    </w:rPr>
  </w:style>
  <w:style w:type="paragraph" w:customStyle="1" w:styleId="afffe">
    <w:name w:val="节"/>
    <w:basedOn w:val="a1"/>
    <w:link w:val="Char"/>
    <w:uiPriority w:val="99"/>
    <w:rsid w:val="00AE7E11"/>
    <w:pPr>
      <w:widowControl/>
      <w:spacing w:before="360" w:after="360" w:line="400" w:lineRule="atLeast"/>
      <w:ind w:firstLineChars="0" w:firstLine="0"/>
    </w:pPr>
    <w:rPr>
      <w:rFonts w:cs="黑体"/>
      <w:kern w:val="0"/>
      <w:szCs w:val="28"/>
    </w:rPr>
  </w:style>
  <w:style w:type="character" w:customStyle="1" w:styleId="Char">
    <w:name w:val="节 Char"/>
    <w:link w:val="afffe"/>
    <w:uiPriority w:val="99"/>
    <w:locked/>
    <w:rsid w:val="00AE7E11"/>
    <w:rPr>
      <w:rFonts w:ascii="Times New Roman" w:eastAsia="宋体" w:hAnsi="Times New Roman" w:cs="黑体"/>
      <w:sz w:val="24"/>
      <w:szCs w:val="28"/>
    </w:rPr>
  </w:style>
  <w:style w:type="character" w:customStyle="1" w:styleId="font21">
    <w:name w:val="font21"/>
    <w:basedOn w:val="a2"/>
    <w:qFormat/>
    <w:rsid w:val="00AE7E11"/>
    <w:rPr>
      <w:rFonts w:ascii="仿宋" w:eastAsia="仿宋" w:hAnsi="仿宋" w:cs="仿宋" w:hint="eastAsia"/>
      <w:color w:val="000000"/>
      <w:sz w:val="24"/>
      <w:szCs w:val="24"/>
      <w:u w:val="none"/>
      <w:vertAlign w:val="subscript"/>
    </w:rPr>
  </w:style>
  <w:style w:type="character" w:customStyle="1" w:styleId="font11">
    <w:name w:val="font11"/>
    <w:basedOn w:val="a2"/>
    <w:qFormat/>
    <w:rsid w:val="00AE7E11"/>
    <w:rPr>
      <w:rFonts w:ascii="仿宋" w:eastAsia="仿宋" w:hAnsi="仿宋" w:cs="仿宋" w:hint="eastAsia"/>
      <w:color w:val="000000"/>
      <w:sz w:val="24"/>
      <w:szCs w:val="24"/>
      <w:u w:val="none"/>
    </w:rPr>
  </w:style>
  <w:style w:type="numbering" w:customStyle="1" w:styleId="2d">
    <w:name w:val="无列表2"/>
    <w:next w:val="a4"/>
    <w:uiPriority w:val="99"/>
    <w:semiHidden/>
    <w:unhideWhenUsed/>
    <w:rsid w:val="00AE7E11"/>
  </w:style>
  <w:style w:type="table" w:customStyle="1" w:styleId="210">
    <w:name w:val="网格型21"/>
    <w:basedOn w:val="a3"/>
    <w:next w:val="af"/>
    <w:uiPriority w:val="39"/>
    <w:qFormat/>
    <w:rsid w:val="00AE7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
    <w:name w:val="FollowedHyperlink"/>
    <w:basedOn w:val="a2"/>
    <w:uiPriority w:val="99"/>
    <w:semiHidden/>
    <w:unhideWhenUsed/>
    <w:rsid w:val="00AE7E11"/>
    <w:rPr>
      <w:color w:val="954F72" w:themeColor="followedHyperlink"/>
      <w:u w:val="single"/>
    </w:rPr>
  </w:style>
  <w:style w:type="paragraph" w:customStyle="1" w:styleId="affff0">
    <w:name w:val="图注"/>
    <w:basedOn w:val="affff1"/>
    <w:qFormat/>
    <w:rsid w:val="00EA58ED"/>
    <w:rPr>
      <w:sz w:val="21"/>
      <w:szCs w:val="21"/>
    </w:rPr>
  </w:style>
  <w:style w:type="paragraph" w:customStyle="1" w:styleId="affff1">
    <w:name w:val="图"/>
    <w:basedOn w:val="a1"/>
    <w:link w:val="affff2"/>
    <w:qFormat/>
    <w:rsid w:val="00EA58ED"/>
    <w:pPr>
      <w:spacing w:line="400" w:lineRule="atLeast"/>
      <w:ind w:firstLineChars="0" w:firstLine="0"/>
      <w:jc w:val="center"/>
    </w:pPr>
    <w:rPr>
      <w:rFonts w:cs="Times New Roman"/>
      <w:szCs w:val="24"/>
    </w:rPr>
  </w:style>
  <w:style w:type="character" w:customStyle="1" w:styleId="affff2">
    <w:name w:val="图 字符"/>
    <w:link w:val="affff1"/>
    <w:rsid w:val="00EA58E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9963">
      <w:bodyDiv w:val="1"/>
      <w:marLeft w:val="0"/>
      <w:marRight w:val="0"/>
      <w:marTop w:val="0"/>
      <w:marBottom w:val="0"/>
      <w:divBdr>
        <w:top w:val="none" w:sz="0" w:space="0" w:color="auto"/>
        <w:left w:val="none" w:sz="0" w:space="0" w:color="auto"/>
        <w:bottom w:val="none" w:sz="0" w:space="0" w:color="auto"/>
        <w:right w:val="none" w:sz="0" w:space="0" w:color="auto"/>
      </w:divBdr>
      <w:divsChild>
        <w:div w:id="134446346">
          <w:marLeft w:val="0"/>
          <w:marRight w:val="0"/>
          <w:marTop w:val="0"/>
          <w:marBottom w:val="0"/>
          <w:divBdr>
            <w:top w:val="none" w:sz="0" w:space="0" w:color="auto"/>
            <w:left w:val="none" w:sz="0" w:space="0" w:color="auto"/>
            <w:bottom w:val="none" w:sz="0" w:space="0" w:color="auto"/>
            <w:right w:val="none" w:sz="0" w:space="0" w:color="auto"/>
          </w:divBdr>
        </w:div>
        <w:div w:id="1143429857">
          <w:marLeft w:val="0"/>
          <w:marRight w:val="0"/>
          <w:marTop w:val="0"/>
          <w:marBottom w:val="0"/>
          <w:divBdr>
            <w:top w:val="none" w:sz="0" w:space="0" w:color="auto"/>
            <w:left w:val="none" w:sz="0" w:space="0" w:color="auto"/>
            <w:bottom w:val="none" w:sz="0" w:space="0" w:color="auto"/>
            <w:right w:val="none" w:sz="0" w:space="0" w:color="auto"/>
          </w:divBdr>
        </w:div>
      </w:divsChild>
    </w:div>
    <w:div w:id="57359770">
      <w:bodyDiv w:val="1"/>
      <w:marLeft w:val="0"/>
      <w:marRight w:val="0"/>
      <w:marTop w:val="0"/>
      <w:marBottom w:val="0"/>
      <w:divBdr>
        <w:top w:val="none" w:sz="0" w:space="0" w:color="auto"/>
        <w:left w:val="none" w:sz="0" w:space="0" w:color="auto"/>
        <w:bottom w:val="none" w:sz="0" w:space="0" w:color="auto"/>
        <w:right w:val="none" w:sz="0" w:space="0" w:color="auto"/>
      </w:divBdr>
      <w:divsChild>
        <w:div w:id="125586713">
          <w:marLeft w:val="0"/>
          <w:marRight w:val="0"/>
          <w:marTop w:val="0"/>
          <w:marBottom w:val="0"/>
          <w:divBdr>
            <w:top w:val="none" w:sz="0" w:space="0" w:color="auto"/>
            <w:left w:val="none" w:sz="0" w:space="0" w:color="auto"/>
            <w:bottom w:val="none" w:sz="0" w:space="0" w:color="auto"/>
            <w:right w:val="none" w:sz="0" w:space="0" w:color="auto"/>
          </w:divBdr>
        </w:div>
        <w:div w:id="1574271588">
          <w:marLeft w:val="0"/>
          <w:marRight w:val="0"/>
          <w:marTop w:val="0"/>
          <w:marBottom w:val="0"/>
          <w:divBdr>
            <w:top w:val="none" w:sz="0" w:space="0" w:color="auto"/>
            <w:left w:val="none" w:sz="0" w:space="0" w:color="auto"/>
            <w:bottom w:val="none" w:sz="0" w:space="0" w:color="auto"/>
            <w:right w:val="none" w:sz="0" w:space="0" w:color="auto"/>
          </w:divBdr>
        </w:div>
      </w:divsChild>
    </w:div>
    <w:div w:id="105545436">
      <w:bodyDiv w:val="1"/>
      <w:marLeft w:val="0"/>
      <w:marRight w:val="0"/>
      <w:marTop w:val="0"/>
      <w:marBottom w:val="0"/>
      <w:divBdr>
        <w:top w:val="none" w:sz="0" w:space="0" w:color="auto"/>
        <w:left w:val="none" w:sz="0" w:space="0" w:color="auto"/>
        <w:bottom w:val="none" w:sz="0" w:space="0" w:color="auto"/>
        <w:right w:val="none" w:sz="0" w:space="0" w:color="auto"/>
      </w:divBdr>
    </w:div>
    <w:div w:id="175115396">
      <w:bodyDiv w:val="1"/>
      <w:marLeft w:val="0"/>
      <w:marRight w:val="0"/>
      <w:marTop w:val="0"/>
      <w:marBottom w:val="0"/>
      <w:divBdr>
        <w:top w:val="none" w:sz="0" w:space="0" w:color="auto"/>
        <w:left w:val="none" w:sz="0" w:space="0" w:color="auto"/>
        <w:bottom w:val="none" w:sz="0" w:space="0" w:color="auto"/>
        <w:right w:val="none" w:sz="0" w:space="0" w:color="auto"/>
      </w:divBdr>
      <w:divsChild>
        <w:div w:id="712731664">
          <w:marLeft w:val="0"/>
          <w:marRight w:val="0"/>
          <w:marTop w:val="0"/>
          <w:marBottom w:val="0"/>
          <w:divBdr>
            <w:top w:val="none" w:sz="0" w:space="0" w:color="auto"/>
            <w:left w:val="none" w:sz="0" w:space="0" w:color="auto"/>
            <w:bottom w:val="none" w:sz="0" w:space="0" w:color="auto"/>
            <w:right w:val="none" w:sz="0" w:space="0" w:color="auto"/>
          </w:divBdr>
        </w:div>
        <w:div w:id="1373380569">
          <w:marLeft w:val="0"/>
          <w:marRight w:val="0"/>
          <w:marTop w:val="0"/>
          <w:marBottom w:val="0"/>
          <w:divBdr>
            <w:top w:val="none" w:sz="0" w:space="0" w:color="auto"/>
            <w:left w:val="none" w:sz="0" w:space="0" w:color="auto"/>
            <w:bottom w:val="none" w:sz="0" w:space="0" w:color="auto"/>
            <w:right w:val="none" w:sz="0" w:space="0" w:color="auto"/>
          </w:divBdr>
        </w:div>
        <w:div w:id="1710107251">
          <w:marLeft w:val="0"/>
          <w:marRight w:val="0"/>
          <w:marTop w:val="0"/>
          <w:marBottom w:val="0"/>
          <w:divBdr>
            <w:top w:val="none" w:sz="0" w:space="0" w:color="auto"/>
            <w:left w:val="none" w:sz="0" w:space="0" w:color="auto"/>
            <w:bottom w:val="none" w:sz="0" w:space="0" w:color="auto"/>
            <w:right w:val="none" w:sz="0" w:space="0" w:color="auto"/>
          </w:divBdr>
        </w:div>
      </w:divsChild>
    </w:div>
    <w:div w:id="447315914">
      <w:bodyDiv w:val="1"/>
      <w:marLeft w:val="0"/>
      <w:marRight w:val="0"/>
      <w:marTop w:val="0"/>
      <w:marBottom w:val="0"/>
      <w:divBdr>
        <w:top w:val="none" w:sz="0" w:space="0" w:color="auto"/>
        <w:left w:val="none" w:sz="0" w:space="0" w:color="auto"/>
        <w:bottom w:val="none" w:sz="0" w:space="0" w:color="auto"/>
        <w:right w:val="none" w:sz="0" w:space="0" w:color="auto"/>
      </w:divBdr>
      <w:divsChild>
        <w:div w:id="468204202">
          <w:marLeft w:val="0"/>
          <w:marRight w:val="0"/>
          <w:marTop w:val="0"/>
          <w:marBottom w:val="0"/>
          <w:divBdr>
            <w:top w:val="none" w:sz="0" w:space="0" w:color="auto"/>
            <w:left w:val="none" w:sz="0" w:space="0" w:color="auto"/>
            <w:bottom w:val="none" w:sz="0" w:space="0" w:color="auto"/>
            <w:right w:val="none" w:sz="0" w:space="0" w:color="auto"/>
          </w:divBdr>
        </w:div>
        <w:div w:id="2015909691">
          <w:marLeft w:val="0"/>
          <w:marRight w:val="0"/>
          <w:marTop w:val="0"/>
          <w:marBottom w:val="0"/>
          <w:divBdr>
            <w:top w:val="none" w:sz="0" w:space="0" w:color="auto"/>
            <w:left w:val="none" w:sz="0" w:space="0" w:color="auto"/>
            <w:bottom w:val="none" w:sz="0" w:space="0" w:color="auto"/>
            <w:right w:val="none" w:sz="0" w:space="0" w:color="auto"/>
          </w:divBdr>
        </w:div>
      </w:divsChild>
    </w:div>
    <w:div w:id="627593329">
      <w:bodyDiv w:val="1"/>
      <w:marLeft w:val="0"/>
      <w:marRight w:val="0"/>
      <w:marTop w:val="0"/>
      <w:marBottom w:val="0"/>
      <w:divBdr>
        <w:top w:val="none" w:sz="0" w:space="0" w:color="auto"/>
        <w:left w:val="none" w:sz="0" w:space="0" w:color="auto"/>
        <w:bottom w:val="none" w:sz="0" w:space="0" w:color="auto"/>
        <w:right w:val="none" w:sz="0" w:space="0" w:color="auto"/>
      </w:divBdr>
      <w:divsChild>
        <w:div w:id="617688932">
          <w:marLeft w:val="0"/>
          <w:marRight w:val="0"/>
          <w:marTop w:val="0"/>
          <w:marBottom w:val="0"/>
          <w:divBdr>
            <w:top w:val="none" w:sz="0" w:space="0" w:color="auto"/>
            <w:left w:val="none" w:sz="0" w:space="0" w:color="auto"/>
            <w:bottom w:val="none" w:sz="0" w:space="0" w:color="auto"/>
            <w:right w:val="none" w:sz="0" w:space="0" w:color="auto"/>
          </w:divBdr>
        </w:div>
        <w:div w:id="696349111">
          <w:marLeft w:val="0"/>
          <w:marRight w:val="0"/>
          <w:marTop w:val="0"/>
          <w:marBottom w:val="0"/>
          <w:divBdr>
            <w:top w:val="none" w:sz="0" w:space="0" w:color="auto"/>
            <w:left w:val="none" w:sz="0" w:space="0" w:color="auto"/>
            <w:bottom w:val="none" w:sz="0" w:space="0" w:color="auto"/>
            <w:right w:val="none" w:sz="0" w:space="0" w:color="auto"/>
          </w:divBdr>
        </w:div>
      </w:divsChild>
    </w:div>
    <w:div w:id="674235852">
      <w:bodyDiv w:val="1"/>
      <w:marLeft w:val="0"/>
      <w:marRight w:val="0"/>
      <w:marTop w:val="0"/>
      <w:marBottom w:val="0"/>
      <w:divBdr>
        <w:top w:val="none" w:sz="0" w:space="0" w:color="auto"/>
        <w:left w:val="none" w:sz="0" w:space="0" w:color="auto"/>
        <w:bottom w:val="none" w:sz="0" w:space="0" w:color="auto"/>
        <w:right w:val="none" w:sz="0" w:space="0" w:color="auto"/>
      </w:divBdr>
    </w:div>
    <w:div w:id="692270719">
      <w:bodyDiv w:val="1"/>
      <w:marLeft w:val="0"/>
      <w:marRight w:val="0"/>
      <w:marTop w:val="0"/>
      <w:marBottom w:val="0"/>
      <w:divBdr>
        <w:top w:val="none" w:sz="0" w:space="0" w:color="auto"/>
        <w:left w:val="none" w:sz="0" w:space="0" w:color="auto"/>
        <w:bottom w:val="none" w:sz="0" w:space="0" w:color="auto"/>
        <w:right w:val="none" w:sz="0" w:space="0" w:color="auto"/>
      </w:divBdr>
      <w:divsChild>
        <w:div w:id="677729842">
          <w:marLeft w:val="0"/>
          <w:marRight w:val="0"/>
          <w:marTop w:val="0"/>
          <w:marBottom w:val="0"/>
          <w:divBdr>
            <w:top w:val="none" w:sz="0" w:space="0" w:color="auto"/>
            <w:left w:val="none" w:sz="0" w:space="0" w:color="auto"/>
            <w:bottom w:val="none" w:sz="0" w:space="0" w:color="auto"/>
            <w:right w:val="none" w:sz="0" w:space="0" w:color="auto"/>
          </w:divBdr>
        </w:div>
        <w:div w:id="1687251366">
          <w:marLeft w:val="0"/>
          <w:marRight w:val="0"/>
          <w:marTop w:val="0"/>
          <w:marBottom w:val="0"/>
          <w:divBdr>
            <w:top w:val="none" w:sz="0" w:space="0" w:color="auto"/>
            <w:left w:val="none" w:sz="0" w:space="0" w:color="auto"/>
            <w:bottom w:val="none" w:sz="0" w:space="0" w:color="auto"/>
            <w:right w:val="none" w:sz="0" w:space="0" w:color="auto"/>
          </w:divBdr>
        </w:div>
        <w:div w:id="1875117683">
          <w:marLeft w:val="0"/>
          <w:marRight w:val="0"/>
          <w:marTop w:val="0"/>
          <w:marBottom w:val="0"/>
          <w:divBdr>
            <w:top w:val="none" w:sz="0" w:space="0" w:color="auto"/>
            <w:left w:val="none" w:sz="0" w:space="0" w:color="auto"/>
            <w:bottom w:val="none" w:sz="0" w:space="0" w:color="auto"/>
            <w:right w:val="none" w:sz="0" w:space="0" w:color="auto"/>
          </w:divBdr>
        </w:div>
      </w:divsChild>
    </w:div>
    <w:div w:id="707218570">
      <w:bodyDiv w:val="1"/>
      <w:marLeft w:val="0"/>
      <w:marRight w:val="0"/>
      <w:marTop w:val="0"/>
      <w:marBottom w:val="0"/>
      <w:divBdr>
        <w:top w:val="none" w:sz="0" w:space="0" w:color="auto"/>
        <w:left w:val="none" w:sz="0" w:space="0" w:color="auto"/>
        <w:bottom w:val="none" w:sz="0" w:space="0" w:color="auto"/>
        <w:right w:val="none" w:sz="0" w:space="0" w:color="auto"/>
      </w:divBdr>
    </w:div>
    <w:div w:id="765924414">
      <w:bodyDiv w:val="1"/>
      <w:marLeft w:val="0"/>
      <w:marRight w:val="0"/>
      <w:marTop w:val="0"/>
      <w:marBottom w:val="0"/>
      <w:divBdr>
        <w:top w:val="none" w:sz="0" w:space="0" w:color="auto"/>
        <w:left w:val="none" w:sz="0" w:space="0" w:color="auto"/>
        <w:bottom w:val="none" w:sz="0" w:space="0" w:color="auto"/>
        <w:right w:val="none" w:sz="0" w:space="0" w:color="auto"/>
      </w:divBdr>
      <w:divsChild>
        <w:div w:id="550844630">
          <w:marLeft w:val="0"/>
          <w:marRight w:val="0"/>
          <w:marTop w:val="0"/>
          <w:marBottom w:val="0"/>
          <w:divBdr>
            <w:top w:val="none" w:sz="0" w:space="0" w:color="auto"/>
            <w:left w:val="none" w:sz="0" w:space="0" w:color="auto"/>
            <w:bottom w:val="none" w:sz="0" w:space="0" w:color="auto"/>
            <w:right w:val="none" w:sz="0" w:space="0" w:color="auto"/>
          </w:divBdr>
        </w:div>
        <w:div w:id="841434548">
          <w:marLeft w:val="0"/>
          <w:marRight w:val="0"/>
          <w:marTop w:val="0"/>
          <w:marBottom w:val="0"/>
          <w:divBdr>
            <w:top w:val="none" w:sz="0" w:space="0" w:color="auto"/>
            <w:left w:val="none" w:sz="0" w:space="0" w:color="auto"/>
            <w:bottom w:val="none" w:sz="0" w:space="0" w:color="auto"/>
            <w:right w:val="none" w:sz="0" w:space="0" w:color="auto"/>
          </w:divBdr>
        </w:div>
        <w:div w:id="1879853199">
          <w:marLeft w:val="0"/>
          <w:marRight w:val="0"/>
          <w:marTop w:val="0"/>
          <w:marBottom w:val="0"/>
          <w:divBdr>
            <w:top w:val="none" w:sz="0" w:space="0" w:color="auto"/>
            <w:left w:val="none" w:sz="0" w:space="0" w:color="auto"/>
            <w:bottom w:val="none" w:sz="0" w:space="0" w:color="auto"/>
            <w:right w:val="none" w:sz="0" w:space="0" w:color="auto"/>
          </w:divBdr>
        </w:div>
      </w:divsChild>
    </w:div>
    <w:div w:id="815804155">
      <w:bodyDiv w:val="1"/>
      <w:marLeft w:val="0"/>
      <w:marRight w:val="0"/>
      <w:marTop w:val="0"/>
      <w:marBottom w:val="0"/>
      <w:divBdr>
        <w:top w:val="none" w:sz="0" w:space="0" w:color="auto"/>
        <w:left w:val="none" w:sz="0" w:space="0" w:color="auto"/>
        <w:bottom w:val="none" w:sz="0" w:space="0" w:color="auto"/>
        <w:right w:val="none" w:sz="0" w:space="0" w:color="auto"/>
      </w:divBdr>
    </w:div>
    <w:div w:id="1094404169">
      <w:bodyDiv w:val="1"/>
      <w:marLeft w:val="0"/>
      <w:marRight w:val="0"/>
      <w:marTop w:val="0"/>
      <w:marBottom w:val="0"/>
      <w:divBdr>
        <w:top w:val="none" w:sz="0" w:space="0" w:color="auto"/>
        <w:left w:val="none" w:sz="0" w:space="0" w:color="auto"/>
        <w:bottom w:val="none" w:sz="0" w:space="0" w:color="auto"/>
        <w:right w:val="none" w:sz="0" w:space="0" w:color="auto"/>
      </w:divBdr>
    </w:div>
    <w:div w:id="1230733014">
      <w:bodyDiv w:val="1"/>
      <w:marLeft w:val="0"/>
      <w:marRight w:val="0"/>
      <w:marTop w:val="0"/>
      <w:marBottom w:val="0"/>
      <w:divBdr>
        <w:top w:val="none" w:sz="0" w:space="0" w:color="auto"/>
        <w:left w:val="none" w:sz="0" w:space="0" w:color="auto"/>
        <w:bottom w:val="none" w:sz="0" w:space="0" w:color="auto"/>
        <w:right w:val="none" w:sz="0" w:space="0" w:color="auto"/>
      </w:divBdr>
    </w:div>
    <w:div w:id="1470053502">
      <w:bodyDiv w:val="1"/>
      <w:marLeft w:val="0"/>
      <w:marRight w:val="0"/>
      <w:marTop w:val="0"/>
      <w:marBottom w:val="0"/>
      <w:divBdr>
        <w:top w:val="none" w:sz="0" w:space="0" w:color="auto"/>
        <w:left w:val="none" w:sz="0" w:space="0" w:color="auto"/>
        <w:bottom w:val="none" w:sz="0" w:space="0" w:color="auto"/>
        <w:right w:val="none" w:sz="0" w:space="0" w:color="auto"/>
      </w:divBdr>
      <w:divsChild>
        <w:div w:id="139880931">
          <w:marLeft w:val="0"/>
          <w:marRight w:val="0"/>
          <w:marTop w:val="0"/>
          <w:marBottom w:val="0"/>
          <w:divBdr>
            <w:top w:val="none" w:sz="0" w:space="0" w:color="auto"/>
            <w:left w:val="none" w:sz="0" w:space="0" w:color="auto"/>
            <w:bottom w:val="none" w:sz="0" w:space="0" w:color="auto"/>
            <w:right w:val="none" w:sz="0" w:space="0" w:color="auto"/>
          </w:divBdr>
        </w:div>
        <w:div w:id="236743993">
          <w:marLeft w:val="0"/>
          <w:marRight w:val="0"/>
          <w:marTop w:val="0"/>
          <w:marBottom w:val="0"/>
          <w:divBdr>
            <w:top w:val="none" w:sz="0" w:space="0" w:color="auto"/>
            <w:left w:val="none" w:sz="0" w:space="0" w:color="auto"/>
            <w:bottom w:val="none" w:sz="0" w:space="0" w:color="auto"/>
            <w:right w:val="none" w:sz="0" w:space="0" w:color="auto"/>
          </w:divBdr>
        </w:div>
        <w:div w:id="1254051325">
          <w:marLeft w:val="0"/>
          <w:marRight w:val="0"/>
          <w:marTop w:val="0"/>
          <w:marBottom w:val="0"/>
          <w:divBdr>
            <w:top w:val="none" w:sz="0" w:space="0" w:color="auto"/>
            <w:left w:val="none" w:sz="0" w:space="0" w:color="auto"/>
            <w:bottom w:val="none" w:sz="0" w:space="0" w:color="auto"/>
            <w:right w:val="none" w:sz="0" w:space="0" w:color="auto"/>
          </w:divBdr>
        </w:div>
      </w:divsChild>
    </w:div>
    <w:div w:id="1495223091">
      <w:bodyDiv w:val="1"/>
      <w:marLeft w:val="0"/>
      <w:marRight w:val="0"/>
      <w:marTop w:val="0"/>
      <w:marBottom w:val="0"/>
      <w:divBdr>
        <w:top w:val="none" w:sz="0" w:space="0" w:color="auto"/>
        <w:left w:val="none" w:sz="0" w:space="0" w:color="auto"/>
        <w:bottom w:val="none" w:sz="0" w:space="0" w:color="auto"/>
        <w:right w:val="none" w:sz="0" w:space="0" w:color="auto"/>
      </w:divBdr>
      <w:divsChild>
        <w:div w:id="935753995">
          <w:marLeft w:val="0"/>
          <w:marRight w:val="0"/>
          <w:marTop w:val="0"/>
          <w:marBottom w:val="0"/>
          <w:divBdr>
            <w:top w:val="none" w:sz="0" w:space="0" w:color="auto"/>
            <w:left w:val="none" w:sz="0" w:space="0" w:color="auto"/>
            <w:bottom w:val="none" w:sz="0" w:space="0" w:color="auto"/>
            <w:right w:val="none" w:sz="0" w:space="0" w:color="auto"/>
          </w:divBdr>
        </w:div>
        <w:div w:id="1492017285">
          <w:marLeft w:val="0"/>
          <w:marRight w:val="0"/>
          <w:marTop w:val="0"/>
          <w:marBottom w:val="0"/>
          <w:divBdr>
            <w:top w:val="none" w:sz="0" w:space="0" w:color="auto"/>
            <w:left w:val="none" w:sz="0" w:space="0" w:color="auto"/>
            <w:bottom w:val="none" w:sz="0" w:space="0" w:color="auto"/>
            <w:right w:val="none" w:sz="0" w:space="0" w:color="auto"/>
          </w:divBdr>
        </w:div>
        <w:div w:id="1624995786">
          <w:marLeft w:val="0"/>
          <w:marRight w:val="0"/>
          <w:marTop w:val="0"/>
          <w:marBottom w:val="0"/>
          <w:divBdr>
            <w:top w:val="none" w:sz="0" w:space="0" w:color="auto"/>
            <w:left w:val="none" w:sz="0" w:space="0" w:color="auto"/>
            <w:bottom w:val="none" w:sz="0" w:space="0" w:color="auto"/>
            <w:right w:val="none" w:sz="0" w:space="0" w:color="auto"/>
          </w:divBdr>
        </w:div>
      </w:divsChild>
    </w:div>
    <w:div w:id="1617560815">
      <w:bodyDiv w:val="1"/>
      <w:marLeft w:val="0"/>
      <w:marRight w:val="0"/>
      <w:marTop w:val="0"/>
      <w:marBottom w:val="0"/>
      <w:divBdr>
        <w:top w:val="none" w:sz="0" w:space="0" w:color="auto"/>
        <w:left w:val="none" w:sz="0" w:space="0" w:color="auto"/>
        <w:bottom w:val="none" w:sz="0" w:space="0" w:color="auto"/>
        <w:right w:val="none" w:sz="0" w:space="0" w:color="auto"/>
      </w:divBdr>
    </w:div>
    <w:div w:id="1911041030">
      <w:bodyDiv w:val="1"/>
      <w:marLeft w:val="0"/>
      <w:marRight w:val="0"/>
      <w:marTop w:val="0"/>
      <w:marBottom w:val="0"/>
      <w:divBdr>
        <w:top w:val="none" w:sz="0" w:space="0" w:color="auto"/>
        <w:left w:val="none" w:sz="0" w:space="0" w:color="auto"/>
        <w:bottom w:val="none" w:sz="0" w:space="0" w:color="auto"/>
        <w:right w:val="none" w:sz="0" w:space="0" w:color="auto"/>
      </w:divBdr>
      <w:divsChild>
        <w:div w:id="501511039">
          <w:marLeft w:val="0"/>
          <w:marRight w:val="0"/>
          <w:marTop w:val="0"/>
          <w:marBottom w:val="0"/>
          <w:divBdr>
            <w:top w:val="none" w:sz="0" w:space="0" w:color="auto"/>
            <w:left w:val="none" w:sz="0" w:space="0" w:color="auto"/>
            <w:bottom w:val="none" w:sz="0" w:space="0" w:color="auto"/>
            <w:right w:val="none" w:sz="0" w:space="0" w:color="auto"/>
          </w:divBdr>
        </w:div>
        <w:div w:id="1270746721">
          <w:marLeft w:val="0"/>
          <w:marRight w:val="0"/>
          <w:marTop w:val="0"/>
          <w:marBottom w:val="0"/>
          <w:divBdr>
            <w:top w:val="none" w:sz="0" w:space="0" w:color="auto"/>
            <w:left w:val="none" w:sz="0" w:space="0" w:color="auto"/>
            <w:bottom w:val="none" w:sz="0" w:space="0" w:color="auto"/>
            <w:right w:val="none" w:sz="0" w:space="0" w:color="auto"/>
          </w:divBdr>
        </w:div>
        <w:div w:id="1475105810">
          <w:marLeft w:val="0"/>
          <w:marRight w:val="0"/>
          <w:marTop w:val="0"/>
          <w:marBottom w:val="0"/>
          <w:divBdr>
            <w:top w:val="none" w:sz="0" w:space="0" w:color="auto"/>
            <w:left w:val="none" w:sz="0" w:space="0" w:color="auto"/>
            <w:bottom w:val="none" w:sz="0" w:space="0" w:color="auto"/>
            <w:right w:val="none" w:sz="0" w:space="0" w:color="auto"/>
          </w:divBdr>
        </w:div>
      </w:divsChild>
    </w:div>
    <w:div w:id="1981617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endnotes" Target="endnotes.xml" /><ns0:Relationship Id="rId13" Type="http://schemas.openxmlformats.org/officeDocument/2006/relationships/footer" Target="footer2.xml" /><ns0:Relationship Id="rId3" Type="http://schemas.openxmlformats.org/officeDocument/2006/relationships/numbering" Target="numbering.xml" /><ns0:Relationship Id="rId7" Type="http://schemas.openxmlformats.org/officeDocument/2006/relationships/footnotes" Target="footnotes.xml" /><ns0:Relationship Id="rId12" Type="http://schemas.openxmlformats.org/officeDocument/2006/relationships/footer" Target="footer1.xml" /><ns0:Relationship Id="rId17" Type="http://schemas.openxmlformats.org/officeDocument/2006/relationships/theme" Target="theme/theme1.xml" /><ns0:Relationship Id="rId2" Type="http://schemas.openxmlformats.org/officeDocument/2006/relationships/customXml" Target="../customXml/item2.xml" /><ns0:Relationship Id="rId16" Type="http://schemas.openxmlformats.org/officeDocument/2006/relationships/fontTable" Target="fontTable.xml" /><ns0:Relationship Id="rId1" Type="http://schemas.openxmlformats.org/officeDocument/2006/relationships/customXml" Target="../customXml/item1.xml" /><ns0:Relationship Id="rId6" Type="http://schemas.openxmlformats.org/officeDocument/2006/relationships/webSettings" Target="webSettings.xml" /><ns0:Relationship Id="rId11" Type="http://schemas.openxmlformats.org/officeDocument/2006/relationships/header" Target="header2.xml" /><ns0:Relationship Id="rId5" Type="http://schemas.openxmlformats.org/officeDocument/2006/relationships/settings" Target="settings.xml" /><ns0:Relationship Id="rId15" Type="http://schemas.openxmlformats.org/officeDocument/2006/relationships/footer" Target="footer3.xml" /><ns0:Relationship Id="rId10" Type="http://schemas.openxmlformats.org/officeDocument/2006/relationships/header" Target="header1.xml" /><ns0:Relationship Id="rId4" Type="http://schemas.openxmlformats.org/officeDocument/2006/relationships/styles" Target="styles.xml" /><ns0:Relationship Id="rId9" Type="http://schemas.openxmlformats.org/officeDocument/2006/relationships/image" Target="media/image1.png" /><ns0:Relationship Id="rId14" Type="http://schemas.openxmlformats.org/officeDocument/2006/relationships/header" Target="header3.xml" /><ns0:Relationship Id="rId900" Type="http://schemas.openxmlformats.org/officeDocument/2006/relationships/image" Target="media/codex_001_&#22270;1_&#24180;&#24230;&#36816;&#34892;&#36127;&#33655;&#27169;&#22411;&#26500;&#24314;&#19982;&#25509;&#20837;&#31995;&#32479;&#26550;&#26500;.png" /><ns0:Relationship Id="rId901" Type="http://schemas.openxmlformats.org/officeDocument/2006/relationships/image" Target="media/codex_002_formula_01_daily_vector.png" /><ns0:Relationship Id="rId902" Type="http://schemas.openxmlformats.org/officeDocument/2006/relationships/image" Target="media/codex_003_formula_02_daily_energy.png" /><ns0:Relationship Id="rId903" Type="http://schemas.openxmlformats.org/officeDocument/2006/relationships/image" Target="media/codex_004_formula_03_shape_vector.png" /><ns0:Relationship Id="rId904" Type="http://schemas.openxmlformats.org/officeDocument/2006/relationships/image" Target="media/codex_005_formula_04_feature_tensor.png" /><ns0:Relationship Id="rId905" Type="http://schemas.openxmlformats.org/officeDocument/2006/relationships/image" Target="media/codex_006_formula_05_model_assignment.png" /><ns0:Relationship Id="rId906" Type="http://schemas.openxmlformats.org/officeDocument/2006/relationships/image" Target="media/codex_007_formula_06_year_map.png" /><ns0:Relationship Id="rId907" Type="http://schemas.openxmlformats.org/officeDocument/2006/relationships/image" Target="media/codex_008_formula_07_library.png" /><ns0:Relationship Id="rId908" Type="http://schemas.openxmlformats.org/officeDocument/2006/relationships/image" Target="media/codex_009_&#22270;2_&#24180;&#24230;&#26144;&#23556;&#34920;&#19982;&#20856;&#22411;&#26085;&#27169;&#22411;&#24211;&#37325;&#24314;365x24&#30697;&#38453;.png" /><ns0:Relationship Id="rId909" Type="http://schemas.openxmlformats.org/officeDocument/2006/relationships/image" Target="media/codex_010_formula_08_reconstruction.png" /><ns0:Relationship Id="rId910" Type="http://schemas.openxmlformats.org/officeDocument/2006/relationships/image" Target="media/codex_011_formula_09_residual.png" /><ns0:Relationship Id="rId911" Type="http://schemas.openxmlformats.org/officeDocument/2006/relationships/image" Target="media/codex_012_formula_10_annual_matrix.png" /><ns0:Relationship Id="rId912" Type="http://schemas.openxmlformats.org/officeDocument/2006/relationships/image" Target="media/codex_013_formula_11_validity.png" /><ns0:Relationship Id="rId913" Type="http://schemas.openxmlformats.org/officeDocument/2006/relationships/image" Target="media/codex_014_formula_12_reactive.png" /><ns0:Relationship Id="rId914" Type="http://schemas.openxmlformats.org/officeDocument/2006/relationships/image" Target="media/codex_015_formula_13_net_load.png" /><ns0:Relationship Id="rId915" Type="http://schemas.openxmlformats.org/officeDocument/2006/relationships/image" Target="media/codex_016_formula_14_transformer_limit.png" /><ns0:Relationship Id="rId916" Type="http://schemas.openxmlformats.org/officeDocument/2006/relationships/image" Target="media/codex_017_formula_15_storage_balance.png" /><ns0:Relationship Id="rId917" Type="http://schemas.openxmlformats.org/officeDocument/2006/relationships/image" Target="media/codex_018_formula_16_signature.png" /><ns0:Relationship Id="rId918" Type="http://schemas.openxmlformats.org/officeDocument/2006/relationships/image" Target="media/codex_019_formula_17_group_weight.png" /><ns0:Relationship Id="rId919" Type="http://schemas.openxmlformats.org/officeDocument/2006/relationships/image" Target="media/codex_020_formula_18_year_objective.png" /><ns0:Relationship Id="rId920" Type="http://schemas.openxmlformats.org/officeDocument/2006/relationships/image" Target="media/codex_021_formula_19_compression.png" /><ns0:Relationship Id="rId921" Type="http://schemas.openxmlformats.org/officeDocument/2006/relationships/image" Target="media/codex_022_formula_20_error.png" /><ns0:Relationship Id="rId922" Type="http://schemas.openxmlformats.org/officeDocument/2006/relationships/image" Target="media/codex_023_&#22270;3_&#21407;&#22987;8760&#22238;&#25918;&#19982;&#24180;&#24230;&#36127;&#33655;&#27169;&#22411;&#25509;&#20837;&#25928;&#26524;&#23545;&#27604;.png"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9333560-26AE-47AE-ACAA-88C11D06F21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2</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Grin_ting</dc:creator>
  <cp:keywords/>
  <dc:description/>
  <cp:lastModifiedBy>铭 陈</cp:lastModifiedBy>
  <cp:revision>13</cp:revision>
  <cp:lastPrinted>2024-07-20T13:40:00Z</cp:lastPrinted>
  <dcterms:created xsi:type="dcterms:W3CDTF">2026-03-10T14:28:00Z</dcterms:created>
  <dcterms:modified xsi:type="dcterms:W3CDTF">2026-05-07T11:54:00Z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Roman,BI_x000d_
MTExtra=MT Extra_x000d_
TextFE=</vt:lpwstr>
  </property>
  <property fmtid="{D5CDD505-2E9C-101B-9397-08002B2CF9AE}" pid="3" name="MTPreferences 1">
    <vt:lpwstr>宋体_x000d_
_x000d_
[Sizes]_x000d_
Full=12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vt:lpwstr>
  </property>
  <property fmtid="{D5CDD505-2E9C-101B-9397-08002B2CF9AE}" pid="4" name="MTPreferences 2">
    <vt:lpwstr>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vt:lpwstr>
  </property>
  <property fmtid="{D5CDD505-2E9C-101B-9397-08002B2CF9AE}" pid="5" name="MTPreferences 3">
    <vt:lpwstr>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13w.eqp</vt:lpwstr>
  </property>
  <property fmtid="{D5CDD505-2E9C-101B-9397-08002B2CF9AE}" pid="7" name="MTWinEqns">
    <vt:bool>true</vt:bool>
  </property>
  <property fmtid="{D5CDD505-2E9C-101B-9397-08002B2CF9AE}" pid="8" name="KSOProductBuildVer">
    <vt:lpwstr>2052-11.8.2.12085</vt:lpwstr>
  </property>
  <property fmtid="{D5CDD505-2E9C-101B-9397-08002B2CF9AE}" pid="9" name="ICV">
    <vt:lpwstr>96CBA78DCDA9441D9960F5C99B55E7FF_12</vt:lpwstr>
  </property>
  <property fmtid="{D5CDD505-2E9C-101B-9397-08002B2CF9AE}" pid="10" name="MTEquationSection">
    <vt:lpwstr>1</vt:lpwstr>
  </property>
  <property fmtid="{D5CDD505-2E9C-101B-9397-08002B2CF9AE}" pid="11" name="MTEquationNumber2">
    <vt:lpwstr>(#E1)</vt:lpwstr>
  </property>
</Properties>
</file>