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eastAsia="黑体" w:hint="eastAsia"/>
        </w:rPr>
        <w:jc w:val="right"/>
      </w:pPr>
      <w:r>
        <w:rPr>
          <w:rFonts w:hint="eastAsia" w:eastAsia="黑体"/>
          <w:sz w:val="28"/>
          <w:szCs w:val="28"/>
        </w:rPr>
        <w:t>学 号：待填写</w:t>
      </w:r>
    </w:p>
    <w:p>
      <w:pPr>
        <w:pStyle w:val="BodyText"/>
        <w:rPr>
          <w:rFonts w:ascii="华文新魏" w:hAnsi="华文新魏" w:eastAsia="宋体" w:hint="eastAsia"/>
          <w:sz w:val="84"/>
          <w:szCs w:val="84"/>
        </w:rPr>
      </w:pPr>
      <w:r>
        <w:rPr/>
        <w:br/>
      </w:r>
      <w:r>
        <w:rPr>
          <w:rFonts w:eastAsia="宋体" w:hint="eastAsia" w:ascii="华文新魏" w:hAnsi="华文新魏"/>
          <w:sz w:val="84"/>
          <w:szCs w:val="84"/>
        </w:rPr>
        <w:drawing>
          <wp:inline distT="0" distB="0" distL="0" distR="0">
            <wp:extent cx="2366645" cy="1061085"/>
            <wp:effectExtent l="0" t="0" r="0" b="0"/>
            <wp:docPr id="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pic:cNvPicPr>
                      <a:picLocks noChangeAspect="1" noChangeArrowheads="1"/>
                    </pic:cNvPicPr>
                  </pic:nvPicPr>
                  <pic:blipFill>
                    <a:blip r:embed="rId2"/>
                    <a:srcRect l="32268" t="8388" r="2027" b="55324"/>
                    <a:stretch>
                      <a:fillRect/>
                    </a:stretch>
                  </pic:blipFill>
                  <pic:spPr bwMode="auto">
                    <a:xfrm>
                      <a:off x="0" y="0"/>
                      <a:ext cx="2366645" cy="1061085"/>
                    </a:xfrm>
                    <a:prstGeom prst="rect">
                      <a:avLst/>
                    </a:prstGeom>
                    <a:noFill/>
                  </pic:spPr>
                </pic:pic>
              </a:graphicData>
            </a:graphic>
          </wp:inline>
        </w:drawing>
      </w:r>
    </w:p>
    <w:p>
      <w:pPr>
        <w:pStyle w:val="Title"/>
        <w:rPr>
          <w:rFonts w:ascii="黑体" w:hAnsi="黑体" w:eastAsia="黑体" w:hint="eastAsia"/>
          <w:sz w:val="44"/>
          <w:szCs w:val="44"/>
        </w:rPr>
      </w:pPr>
      <w:r>
        <w:rPr>
          <w:rFonts w:ascii="黑体" w:hAnsi="黑体" w:hint="eastAsia" w:eastAsia="黑体"/>
          <w:sz w:val="44"/>
          <w:szCs w:val="44"/>
        </w:rPr>
        <w:t>硕士学位论文或实践成果开题报告</w:t>
      </w:r>
    </w:p>
    <w:p>
      <w:pPr>
        <w:pStyle w:val="Normal"/>
        <w:keepNext w:val="false"/>
        <w:keepLines w:val="false"/>
        <w:pageBreakBefore w:val="false"/>
        <w:widowControl w:val="false"/>
        <w:tabs>
          <w:tab w:val="clear" w:pos="420"/>
          <w:tab w:val="left" w:pos="2340" w:leader="none"/>
          <w:tab w:val="left" w:pos="5940" w:leader="none"/>
        </w:tabs>
        <w:kinsoku w:val="true"/>
        <w:overflowPunct w:val="true"/>
        <w:autoSpaceDE w:val="true"/>
        <w:bidi w:val="0"/>
        <w:snapToGrid w:val="false"/>
        <w:spacing w:lineRule="exact" w:line="760"/>
        <w:ind w:firstLineChars="500" w:startChars="0" w:start="0" w:endChars="0" w:end="0"/>
        <w:jc w:val="start"/>
        <w:textAlignment w:val="auto"/>
        <w:rPr>
          <w:rFonts w:ascii="仿宋_GB2312" w:hAnsi="仿宋_GB2312" w:eastAsia="仿宋_GB2312" w:cs="仿宋_GB2312" w:hint="eastAsia"/>
          <w:b/>
          <w:sz w:val="32"/>
          <w:szCs w:val="32"/>
        </w:rPr>
      </w:pPr>
      <w:r>
        <w:rPr>
          <w:rFonts w:ascii="仿宋_GB2312" w:hAnsi="仿宋_GB2312" w:cs="仿宋_GB2312" w:hint="eastAsia" w:eastAsia="仿宋_GB2312"/>
          <w:b/>
          <w:sz w:val="32"/>
          <w:szCs w:val="32"/>
        </w:rPr>
        <w:t>论文或实践成果题目：</w:t>
      </w:r>
      <w:r>
        <w:rPr>
          <w:rFonts w:ascii="仿宋_GB2312" w:hAnsi="仿宋_GB2312" w:cs="仿宋_GB2312" w:hint="eastAsia" w:eastAsia="仿宋_GB2312"/>
          <w:b/>
          <w:sz w:val="32"/>
          <w:szCs w:val="32"/>
          <w:u w:val="single"/>
        </w:rPr>
        <w:t xml:space="preserve">面向实验室操作的视觉语言动作模型多模态条件控制与场景适应方法研究</w:t>
      </w:r>
    </w:p>
    <w:p>
      <w:pPr>
        <w:pStyle w:val="Normal"/>
        <w:keepNext w:val="false"/>
        <w:keepLines w:val="false"/>
        <w:pageBreakBefore w:val="false"/>
        <w:widowControl w:val="false"/>
        <w:tabs>
          <w:tab w:val="clear" w:pos="420"/>
          <w:tab w:val="left" w:pos="2340" w:leader="none"/>
          <w:tab w:val="left" w:pos="5940" w:leader="none"/>
        </w:tabs>
        <w:kinsoku w:val="true"/>
        <w:overflowPunct w:val="true"/>
        <w:autoSpaceDE w:val="true"/>
        <w:bidi w:val="0"/>
        <w:snapToGrid w:val="false"/>
        <w:spacing w:lineRule="exact" w:line="760"/>
        <w:ind w:firstLineChars="500" w:startChars="0" w:start="0" w:endChars="0" w:end="0"/>
        <w:jc w:val="start"/>
        <w:textAlignment w:val="auto"/>
        <w:rPr>
          <w:rFonts w:ascii="仿宋_GB2312" w:hAnsi="仿宋_GB2312" w:eastAsia="仿宋_GB2312" w:cs="仿宋_GB2312" w:hint="eastAsia"/>
          <w:b/>
          <w:sz w:val="32"/>
          <w:u w:val="single"/>
        </w:rPr>
      </w:pPr>
      <w:r>
        <w:rPr>
          <w:rFonts w:ascii="仿宋_GB2312" w:hAnsi="仿宋_GB2312" w:cs="仿宋_GB2312" w:hint="eastAsia" w:eastAsia="仿宋_GB2312"/>
          <w:b/>
          <w:sz w:val="32"/>
        </w:rPr>
        <w:t>学 生 姓 名：</w:t>
      </w:r>
      <w:r>
        <w:rPr>
          <w:rFonts w:ascii="仿宋_GB2312" w:hAnsi="仿宋_GB2312" w:cs="仿宋_GB2312" w:hint="eastAsia" w:eastAsia="仿宋_GB2312"/>
          <w:b/>
          <w:sz w:val="32"/>
          <w:u w:val="single"/>
        </w:rPr>
        <w:t xml:space="preserve">待填写</w:t>
      </w:r>
    </w:p>
    <w:p>
      <w:pPr>
        <w:pStyle w:val="Normal"/>
        <w:keepNext w:val="false"/>
        <w:keepLines w:val="false"/>
        <w:pageBreakBefore w:val="false"/>
        <w:widowControl w:val="false"/>
        <w:tabs>
          <w:tab w:val="clear" w:pos="420"/>
          <w:tab w:val="left" w:pos="2340" w:leader="none"/>
          <w:tab w:val="left" w:pos="5940" w:leader="none"/>
        </w:tabs>
        <w:kinsoku w:val="true"/>
        <w:overflowPunct w:val="true"/>
        <w:autoSpaceDE w:val="true"/>
        <w:bidi w:val="0"/>
        <w:snapToGrid w:val="false"/>
        <w:spacing w:lineRule="exact" w:line="760"/>
        <w:ind w:firstLineChars="0" w:firstLine="0" w:startChars="760" w:endChars="0" w:end="0"/>
        <w:jc w:val="start"/>
        <w:textAlignment w:val="auto"/>
        <w:rPr>
          <w:rFonts w:ascii="仿宋_GB2312" w:hAnsi="仿宋_GB2312" w:eastAsia="仿宋_GB2312" w:cs="仿宋_GB2312"/>
          <w:b/>
          <w:sz w:val="32"/>
          <w:u w:val="none"/>
        </w:rPr>
      </w:pPr>
      <w:r>
        <w:rPr>
          <w:rFonts w:ascii="仿宋_GB2312" w:hAnsi="仿宋_GB2312" w:cs="仿宋_GB2312" w:hint="eastAsia" w:eastAsia="仿宋_GB2312"/>
          <w:b/>
          <w:sz w:val="32"/>
          <w:u w:val="none"/>
        </w:rPr>
        <w:t>导 师 姓 名：</w:t>
      </w:r>
      <w:r>
        <w:rPr>
          <w:rFonts w:ascii="仿宋_GB2312" w:hAnsi="仿宋_GB2312" w:cs="仿宋_GB2312" w:hint="eastAsia" w:eastAsia="仿宋_GB2312"/>
          <w:b/>
          <w:sz w:val="32"/>
          <w:u w:val="single"/>
        </w:rPr>
        <w:t xml:space="preserve">待填写</w:t>
      </w:r>
      <w:r>
        <w:rPr>
          <w:rFonts w:eastAsia="仿宋_GB2312" w:cs="仿宋_GB2312" w:hint="eastAsia" w:ascii="仿宋_GB2312" w:hAnsi="仿宋_GB2312"/>
          <w:b/>
          <w:sz w:val="32"/>
          <w:u w:val="single"/>
        </w:rPr>
        <w:br/>
      </w:r>
      <w:r>
        <w:rPr>
          <w:rFonts w:ascii="仿宋_GB2312" w:hAnsi="仿宋_GB2312" w:cs="仿宋_GB2312" w:hint="eastAsia" w:eastAsia="仿宋_GB2312"/>
          <w:b/>
          <w:sz w:val="32"/>
          <w:u w:val="none"/>
        </w:rPr>
        <w:t>副导师姓名：</w:t>
      </w:r>
      <w:r>
        <w:rPr>
          <w:rFonts w:ascii="仿宋_GB2312" w:hAnsi="仿宋_GB2312" w:cs="仿宋_GB2312" w:hint="eastAsia" w:eastAsia="仿宋_GB2312"/>
          <w:b/>
          <w:sz w:val="32"/>
          <w:u w:val="single"/>
        </w:rPr>
        <w:t xml:space="preserve">待填写</w:t>
      </w:r>
    </w:p>
    <w:p>
      <w:pPr>
        <w:pStyle w:val="Normal"/>
        <w:keepNext w:val="false"/>
        <w:keepLines w:val="false"/>
        <w:pageBreakBefore w:val="false"/>
        <w:widowControl w:val="false"/>
        <w:tabs>
          <w:tab w:val="clear" w:pos="420"/>
          <w:tab w:val="left" w:pos="2340" w:leader="none"/>
          <w:tab w:val="left" w:pos="5940" w:leader="none"/>
        </w:tabs>
        <w:kinsoku w:val="true"/>
        <w:overflowPunct w:val="true"/>
        <w:autoSpaceDE w:val="true"/>
        <w:bidi w:val="0"/>
        <w:snapToGrid w:val="false"/>
        <w:spacing w:lineRule="exact" w:line="760"/>
        <w:ind w:firstLineChars="500" w:startChars="0" w:start="0" w:endChars="0" w:end="0"/>
        <w:jc w:val="start"/>
        <w:textAlignment w:val="auto"/>
        <w:rPr>
          <w:rFonts w:ascii="仿宋_GB2312" w:hAnsi="仿宋_GB2312" w:eastAsia="仿宋_GB2312" w:cs="仿宋_GB2312" w:hint="eastAsia"/>
          <w:b/>
          <w:sz w:val="32"/>
        </w:rPr>
      </w:pPr>
      <w:r>
        <w:rPr>
          <w:rFonts w:ascii="仿宋_GB2312" w:hAnsi="仿宋_GB2312" w:cs="仿宋_GB2312" w:hint="eastAsia" w:eastAsia="仿宋_GB2312"/>
          <w:b/>
          <w:sz w:val="32"/>
        </w:rPr>
        <w:t>所属学科</w:t>
      </w:r>
      <w:r>
        <w:rPr>
          <w:rFonts w:eastAsia="仿宋_GB2312" w:cs="仿宋_GB2312" w:hint="eastAsia" w:ascii="仿宋_GB2312" w:hAnsi="仿宋_GB2312"/>
          <w:b/>
          <w:sz w:val="32"/>
        </w:rPr>
        <w:t>/</w:t>
      </w:r>
      <w:r>
        <w:rPr>
          <w:rFonts w:ascii="仿宋_GB2312" w:hAnsi="仿宋_GB2312" w:cs="仿宋_GB2312" w:hint="eastAsia" w:eastAsia="仿宋_GB2312"/>
          <w:b/>
          <w:sz w:val="32"/>
        </w:rPr>
        <w:t>类别名称：</w:t>
      </w:r>
      <w:r>
        <w:rPr>
          <w:rFonts w:ascii="仿宋_GB2312" w:hAnsi="仿宋_GB2312" w:cs="仿宋_GB2312" w:hint="eastAsia" w:eastAsia="仿宋_GB2312"/>
          <w:b/>
          <w:sz w:val="32"/>
          <w:u w:val="single"/>
        </w:rPr>
        <w:t xml:space="preserve">待填写</w:t>
      </w:r>
    </w:p>
    <w:p>
      <w:pPr>
        <w:pStyle w:val="Normal"/>
        <w:keepNext w:val="false"/>
        <w:keepLines w:val="false"/>
        <w:pageBreakBefore w:val="false"/>
        <w:widowControl w:val="false"/>
        <w:tabs>
          <w:tab w:val="clear" w:pos="420"/>
          <w:tab w:val="left" w:pos="2340" w:leader="none"/>
          <w:tab w:val="left" w:pos="5940" w:leader="none"/>
        </w:tabs>
        <w:kinsoku w:val="true"/>
        <w:overflowPunct w:val="true"/>
        <w:autoSpaceDE w:val="true"/>
        <w:bidi w:val="0"/>
        <w:snapToGrid w:val="false"/>
        <w:spacing w:lineRule="exact" w:line="760"/>
        <w:ind w:firstLineChars="500" w:startChars="0" w:start="0" w:endChars="0" w:end="0"/>
        <w:jc w:val="start"/>
        <w:textAlignment w:val="auto"/>
        <w:rPr>
          <w:rFonts w:ascii="仿宋_GB2312" w:hAnsi="仿宋_GB2312" w:eastAsia="仿宋_GB2312" w:cs="仿宋_GB2312" w:hint="eastAsia"/>
          <w:b/>
          <w:sz w:val="32"/>
        </w:rPr>
      </w:pPr>
      <w:r>
        <w:rPr>
          <w:rFonts w:ascii="仿宋_GB2312" w:hAnsi="仿宋_GB2312" w:cs="仿宋_GB2312" w:hint="eastAsia" w:eastAsia="仿宋_GB2312"/>
          <w:b/>
          <w:sz w:val="32"/>
        </w:rPr>
        <w:t>所 属 学 院：</w:t>
      </w:r>
      <w:r>
        <w:rPr>
          <w:rFonts w:ascii="仿宋_GB2312" w:hAnsi="仿宋_GB2312" w:cs="仿宋_GB2312" w:hint="eastAsia" w:eastAsia="仿宋_GB2312"/>
          <w:b/>
          <w:sz w:val="32"/>
          <w:u w:val="single"/>
        </w:rPr>
        <w:t xml:space="preserve">待填写</w:t>
      </w:r>
    </w:p>
    <w:p>
      <w:pPr>
        <w:pStyle w:val="Normal"/>
        <w:keepNext w:val="false"/>
        <w:keepLines w:val="false"/>
        <w:pageBreakBefore w:val="false"/>
        <w:widowControl w:val="false"/>
        <w:tabs>
          <w:tab w:val="clear" w:pos="420"/>
          <w:tab w:val="left" w:pos="2340" w:leader="none"/>
          <w:tab w:val="left" w:pos="5940" w:leader="none"/>
        </w:tabs>
        <w:kinsoku w:val="true"/>
        <w:overflowPunct w:val="true"/>
        <w:autoSpaceDE w:val="true"/>
        <w:bidi w:val="0"/>
        <w:snapToGrid w:val="false"/>
        <w:spacing w:lineRule="exact" w:line="760"/>
        <w:ind w:firstLineChars="500" w:startChars="0" w:start="0" w:endChars="0" w:end="0"/>
        <w:jc w:val="start"/>
        <w:textAlignment w:val="auto"/>
        <w:rPr>
          <w:rFonts w:ascii="仿宋_GB2312" w:hAnsi="仿宋_GB2312" w:eastAsia="仿宋_GB2312" w:cs="仿宋_GB2312" w:hint="eastAsia"/>
          <w:b/>
          <w:sz w:val="32"/>
          <w:u w:val="single"/>
        </w:rPr>
      </w:pPr>
      <w:r>
        <w:rPr>
          <w:rFonts w:ascii="仿宋_GB2312" w:hAnsi="仿宋_GB2312" w:cs="仿宋_GB2312" w:hint="eastAsia" w:eastAsia="仿宋_GB2312"/>
          <w:b/>
          <w:sz w:val="32"/>
        </w:rPr>
        <w:t>联 系 电 话：</w:t>
      </w:r>
      <w:r>
        <w:rPr>
          <w:rFonts w:ascii="仿宋_GB2312" w:hAnsi="仿宋_GB2312" w:cs="仿宋_GB2312" w:hint="eastAsia" w:eastAsia="仿宋_GB2312"/>
          <w:b/>
          <w:sz w:val="32"/>
          <w:u w:val="single"/>
        </w:rPr>
        <w:t xml:space="preserve">待填写</w:t>
      </w:r>
    </w:p>
    <w:p>
      <w:pPr>
        <w:pStyle w:val="Normal"/>
        <w:keepNext w:val="false"/>
        <w:keepLines w:val="false"/>
        <w:pageBreakBefore w:val="false"/>
        <w:widowControl w:val="false"/>
        <w:tabs>
          <w:tab w:val="clear" w:pos="420"/>
          <w:tab w:val="left" w:pos="2340" w:leader="none"/>
          <w:tab w:val="left" w:pos="5940" w:leader="none"/>
        </w:tabs>
        <w:kinsoku w:val="true"/>
        <w:overflowPunct w:val="true"/>
        <w:autoSpaceDE w:val="true"/>
        <w:bidi w:val="0"/>
        <w:snapToGrid w:val="false"/>
        <w:spacing w:lineRule="exact" w:line="760"/>
        <w:ind w:firstLineChars="500" w:startChars="0" w:start="0" w:endChars="0" w:end="0"/>
        <w:jc w:val="start"/>
        <w:textAlignment w:val="auto"/>
        <w:rPr>
          <w:rFonts w:ascii="仿宋_GB2312" w:hAnsi="仿宋_GB2312" w:eastAsia="仿宋_GB2312" w:cs="仿宋_GB2312" w:hint="eastAsia"/>
          <w:b/>
          <w:sz w:val="32"/>
          <w:u w:val="single"/>
        </w:rPr>
      </w:pPr>
      <w:r>
        <w:rPr>
          <w:rFonts w:ascii="仿宋_GB2312" w:hAnsi="仿宋_GB2312" w:cs="仿宋_GB2312" w:hint="eastAsia" w:eastAsia="仿宋_GB2312"/>
          <w:b/>
          <w:sz w:val="32"/>
        </w:rPr>
        <w:t>开 题 时 间：</w:t>
      </w:r>
      <w:r>
        <w:rPr>
          <w:rFonts w:ascii="仿宋_GB2312" w:hAnsi="仿宋_GB2312" w:cs="仿宋_GB2312" w:hint="eastAsia" w:eastAsia="仿宋_GB2312"/>
          <w:b/>
          <w:sz w:val="32"/>
          <w:u w:val="single"/>
        </w:rPr>
        <w:t xml:space="preserve">待填写</w:t>
      </w:r>
    </w:p>
    <w:p>
      <w:pPr>
        <w:pStyle w:val="Normal"/>
        <w:tabs>
          <w:tab w:val="clear" w:pos="420"/>
          <w:tab w:val="left" w:pos="2700" w:leader="none"/>
        </w:tabs>
        <w:jc w:val="center"/>
        <w:rPr>
          <w:rFonts w:ascii="仿宋_GB2312" w:hAnsi="仿宋_GB2312" w:eastAsia="仿宋_GB2312" w:cs="仿宋_GB2312" w:hint="eastAsia"/>
          <w:b w:val="false"/>
          <w:bCs/>
          <w:sz w:val="32"/>
        </w:rPr>
      </w:pPr>
      <w:r>
        <w:rPr>
          <w:rFonts w:ascii="仿宋_GB2312" w:hAnsi="仿宋_GB2312" w:cs="仿宋_GB2312" w:hint="eastAsia" w:eastAsia="仿宋_GB2312"/>
          <w:b w:val="false"/>
          <w:bCs/>
          <w:sz w:val="32"/>
        </w:rPr>
        <w:t>东北大学研究生院</w:t>
      </w:r>
    </w:p>
    <w:p>
      <w:pPr>
        <w:pStyle w:val="Normal"/>
        <w:tabs>
          <w:tab w:val="clear" w:pos="420"/>
          <w:tab w:val="left" w:pos="2700" w:leader="none"/>
        </w:tabs>
        <w:jc w:val="center"/>
        <w:rPr>
          <w:rFonts w:ascii="仿宋_GB2312" w:hAnsi="仿宋_GB2312" w:eastAsia="仿宋_GB2312" w:cs="仿宋_GB2312" w:hint="eastAsia"/>
          <w:b w:val="false"/>
          <w:bCs/>
          <w:sz w:val="32"/>
        </w:rPr>
        <w:sectPr>
          <w:footerReference w:type="default" r:id="rId3"/>
          <w:footerReference w:type="first" r:id="rId4"/>
          <w:type w:val="nextPage"/>
          <w:pgSz w:w="11906" w:h="16838"/>
          <w:pgMar w:left="1134" w:right="1134" w:gutter="0" w:header="0" w:top="1418" w:footer="992" w:bottom="1191"/>
          <w:pgNumType w:start="0" w:fmt="decimal"/>
          <w:formProt w:val="false"/>
          <w:titlePg/>
          <w:textDirection w:val="lrTb"/>
          <w:docGrid w:type="lines" w:linePitch="312" w:charSpace="0"/>
        </w:sectPr>
      </w:pPr>
      <w:r>
        <w:rPr>
          <w:rFonts w:ascii="仿宋_GB2312" w:hAnsi="仿宋_GB2312" w:cs="仿宋_GB2312" w:hint="eastAsia" w:eastAsia="仿宋_GB2312"/>
          <w:b w:val="false"/>
          <w:bCs/>
          <w:sz w:val="32"/>
        </w:rPr>
        <w:t>年   月   日</w:t>
      </w:r>
    </w:p>
    <w:p>
      <w:pPr>
        <w:pStyle w:val="Normal"/>
        <w:jc w:val="center"/>
        <w:rPr>
          <w:rFonts w:ascii="仿宋_GB2312" w:hAnsi="仿宋_GB2312" w:eastAsia="仿宋_GB2312" w:cs="仿宋_GB2312" w:hint="eastAsia"/>
          <w:b/>
          <w:bCs/>
          <w:sz w:val="44"/>
          <w:szCs w:val="44"/>
        </w:rPr>
      </w:pPr>
      <w:r>
        <w:rPr>
          <w:rFonts w:ascii="仿宋_GB2312" w:hAnsi="仿宋_GB2312" w:cs="仿宋_GB2312" w:hint="eastAsia" w:eastAsia="仿宋_GB2312"/>
          <w:b/>
          <w:bCs/>
          <w:sz w:val="44"/>
          <w:szCs w:val="44"/>
        </w:rPr>
        <w:t>填表说明</w:t>
      </w:r>
    </w:p>
    <w:p>
      <w:pPr>
        <w:pStyle w:val="Normal"/>
        <w:ind w:firstLineChars="200" w:startChars="0" w:start="0" w:endChars="0" w:end="0"/>
        <w:rPr>
          <w:rFonts w:ascii="仿宋_GB2312" w:hAnsi="仿宋_GB2312" w:eastAsia="仿宋_GB2312" w:cs="仿宋_GB2312" w:hint="eastAsia"/>
          <w:sz w:val="32"/>
          <w:szCs w:val="32"/>
        </w:rPr>
      </w:pPr>
      <w:r>
        <w:rPr>
          <w:rFonts w:eastAsia="仿宋_GB2312" w:cs="仿宋_GB2312" w:hint="eastAsia" w:ascii="仿宋_GB2312" w:hAnsi="仿宋_GB2312"/>
          <w:sz w:val="32"/>
          <w:szCs w:val="32"/>
        </w:rPr>
        <w:t>1</w:t>
      </w:r>
      <w:r>
        <w:rPr>
          <w:rFonts w:ascii="仿宋_GB2312" w:hAnsi="仿宋_GB2312" w:cs="仿宋_GB2312" w:hint="eastAsia" w:eastAsia="仿宋_GB2312"/>
          <w:sz w:val="32"/>
          <w:szCs w:val="32"/>
        </w:rPr>
        <w:t>、本表一、二、三、四、五项在导师指导下准确、完整填写。</w:t>
      </w:r>
    </w:p>
    <w:p>
      <w:pPr>
        <w:pStyle w:val="Normal"/>
        <w:ind w:firstLineChars="200" w:startChars="0" w:start="0" w:endChars="0" w:end="0"/>
        <w:rPr>
          <w:rFonts w:ascii="仿宋_GB2312" w:hAnsi="仿宋_GB2312" w:eastAsia="仿宋_GB2312" w:cs="仿宋_GB2312" w:hint="eastAsia"/>
          <w:sz w:val="32"/>
          <w:szCs w:val="32"/>
        </w:rPr>
      </w:pPr>
      <w:r>
        <w:rPr>
          <w:rFonts w:eastAsia="仿宋_GB2312" w:cs="仿宋_GB2312" w:hint="eastAsia" w:ascii="仿宋_GB2312" w:hAnsi="仿宋_GB2312"/>
          <w:sz w:val="32"/>
          <w:szCs w:val="32"/>
        </w:rPr>
        <w:t>2</w:t>
      </w:r>
      <w:r>
        <w:rPr>
          <w:rFonts w:ascii="仿宋_GB2312" w:hAnsi="仿宋_GB2312" w:cs="仿宋_GB2312" w:hint="eastAsia" w:eastAsia="仿宋_GB2312"/>
          <w:sz w:val="32"/>
          <w:szCs w:val="32"/>
        </w:rPr>
        <w:t>、学生在通过开题后一周内将该材料交到所在学院（部），并将电子版上传至研究生管理信息系统。</w:t>
      </w:r>
    </w:p>
    <w:p>
      <w:pPr>
        <w:pStyle w:val="Normal"/>
        <w:ind w:firstLineChars="200" w:startChars="0" w:start="0" w:endChars="0" w:end="0"/>
        <w:rPr>
          <w:rFonts w:ascii="仿宋_GB2312" w:hAnsi="仿宋_GB2312" w:eastAsia="仿宋_GB2312" w:cs="仿宋_GB2312" w:hint="eastAsia"/>
          <w:sz w:val="32"/>
          <w:szCs w:val="32"/>
        </w:rPr>
      </w:pPr>
      <w:r>
        <w:rPr>
          <w:rFonts w:eastAsia="仿宋_GB2312" w:cs="仿宋_GB2312" w:hint="eastAsia" w:ascii="仿宋_GB2312" w:hAnsi="仿宋_GB2312"/>
          <w:sz w:val="32"/>
          <w:szCs w:val="32"/>
        </w:rPr>
        <w:t>3</w:t>
      </w:r>
      <w:r>
        <w:rPr>
          <w:rFonts w:ascii="仿宋_GB2312" w:hAnsi="仿宋_GB2312" w:cs="仿宋_GB2312" w:hint="eastAsia" w:eastAsia="仿宋_GB2312"/>
          <w:sz w:val="32"/>
          <w:szCs w:val="32"/>
        </w:rPr>
        <w:t>、学生入学后</w:t>
      </w:r>
      <w:r>
        <w:rPr>
          <w:rFonts w:eastAsia="仿宋_GB2312" w:cs="仿宋_GB2312" w:hint="eastAsia" w:ascii="仿宋_GB2312" w:hAnsi="仿宋_GB2312"/>
          <w:sz w:val="32"/>
          <w:szCs w:val="32"/>
        </w:rPr>
        <w:t>2</w:t>
      </w:r>
      <w:r>
        <w:rPr>
          <w:rFonts w:ascii="仿宋_GB2312" w:hAnsi="仿宋_GB2312" w:cs="仿宋_GB2312" w:hint="eastAsia" w:eastAsia="仿宋_GB2312"/>
          <w:sz w:val="32"/>
          <w:szCs w:val="32"/>
        </w:rPr>
        <w:t>年内应完成论文或实践成果开题报告。按有关规定，没有通过的，不能进入中期考核。</w:t>
      </w:r>
    </w:p>
    <w:p>
      <w:pPr>
        <w:pStyle w:val="Normal"/>
        <w:rPr>
          <w:rFonts w:hint="eastAsia"/>
        </w:rPr>
      </w:pPr>
      <w:r>
        <w:rPr>
          <w:rFonts w:hint="eastAsia"/>
        </w:rPr>
      </w:r>
      <w:r>
        <w:br w:type="page"/>
      </w:r>
    </w:p>
    <w:p>
      <w:pPr>
        <w:pStyle w:val="Normal"/>
        <w:rPr>
          <w:rFonts w:eastAsia="黑体" w:hint="eastAsia"/>
          <w:sz w:val="24"/>
        </w:rPr>
      </w:pPr>
      <w:r>
        <w:rPr>
          <w:rFonts w:hint="eastAsia" w:eastAsia="黑体"/>
          <w:sz w:val="24"/>
        </w:rPr>
        <w:t>一、立论依据</w:t>
      </w:r>
    </w:p>
    <w:tbl>
      <w:tblPr>
        <w:tblW w:w="9845" w:type="dxa"/>
        <w:jc w:val="center"/>
        <w:tblInd w:w="0" w:type="dxa"/>
        <w:tblLayout w:type="fixed"/>
        <w:tblCellMar>
          <w:top w:w="0" w:type="dxa"/>
          <w:start w:w="108" w:type="dxa"/>
          <w:bottom w:w="0" w:type="dxa"/>
          <w:end w:w="108" w:type="dxa"/>
        </w:tblCellMar>
      </w:tblPr>
      <w:tblGrid>
        <w:gridCol w:w="9845"/>
      </w:tblGrid>
      <w:tr>
        <w:trPr/>
        <w:tc>
          <w:tcPr>
            <w:tcW w:w="9845" w:type="dxa"/>
            <w:tcBorders>
              <w:top w:val="single" w:sz="12" w:space="0" w:color="000000"/>
              <w:start w:val="single" w:sz="12" w:space="0" w:color="000000"/>
              <w:bottom w:val="single" w:sz="12" w:space="0" w:color="000000"/>
              <w:end w:val="single" w:sz="12" w:space="0" w:color="000000"/>
            </w:tcBorders>
          </w:tcPr>
          <w:p>
            <w:pPr>
              <w:pStyle w:val="Normal"/>
              <w:spacing w:before="120" w:after="0"/>
              <w:rPr>
                <w:rFonts w:eastAsia="黑体" w:hint="eastAsia"/>
                <w:sz w:val="24"/>
              </w:rPr>
            </w:pPr>
            <w:r>
              <w:rPr>
                <w:rFonts w:hint="eastAsia" w:eastAsia="黑体"/>
                <w:sz w:val="24"/>
              </w:rPr>
              <w:t>课题来源、选题依据和背景情况、课题研究目的、理论意义和实际应用价值</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1. 课题来源与研究背景</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本课题结合已有MICA-VLA实验室器皿语义控制研究，以及π0.5在RealMan双臂灵巧手本体上的监督微调与RoboTwin交互训练基础开展。正式科研项目名称、项目编号及课题来源类别待导师确认。</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实验室样品操作包含选择、取送、核验和归位等步骤。机器人需要理解对象与顺序，也需判断哪个已处理、动作是否完成。样品归位后，画面可能与处理前近似；抓取滑落或物体移动又可能使持物、位置记录失效。仅依赖当前图像和固定流程，容易遗漏、重复或错误交接。</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视觉语言动作模型（VLA）通过视觉语言模型（VLM）和动作专家连接图像、语言与控制。π0和π0.5提供flow matching动作生成与知识迁移基础[1–2]，MEM通过视觉历史和语言记忆支持长程操作[5]。但一次失败究竟来自错误记忆、错误子任务还是运动失误，仍需区分。</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RECAP通过回报价值与优势条件化利用成功、失败和纠正数据[3]。本课题拟进一步让记忆读写与高层子任务文本生成接受任务后果评价，首轮仅覆盖经验证动作能力内的多步骤器皿流程，控制本体适配和复杂流程建模的工程量。</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2. 研究目的与问题范围</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本课题围绕多模态条件的行为有效性展开。前期研究任务要求怎样持续影响动作；后续研究执行历史怎样经过记忆选择和修正，影响子任务及动作，并接受物理回报评价。拟解决的核心问题是：在动作专家存在随机失败并持续学习的条件下，如何减少对记忆操作价值的错误判断，使有限交互更有效地改善整个流程。</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第一版复用同一π0.5 VLM承担记忆读写与子任务生成，再由动作专家执行。外部episode记忆库记录进度、持物、失败与待核实事实，episode结束清空。首轮仅覆盖已验证的2–3类动作能力，不设置固定子任务候选表，固定高层调用间隔，暂不学习技能终止或开放式工具使用。</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应用采用“干式样品核验与归位”代理流程，验证顺序、恢复和场景变化下的可靠性，不模拟反应或液体动力学。自由修改规程与开放世界持续学习不列为必成目标。</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3. 理论意义与应用价值</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监督学习能学习摘要与子任务映射，规划能组合已知状态和可靠技能；当状态不确定且动作会失败时，记忆操作的长期价值需闭环验证。RL的潜在作用是依据后续结果评价决策，不天然提供跨episode记忆或任意场景泛化。</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拟研究的信用分配问题具有具体物理来源：正确记录可能伴随抓取失败，错误记录也可能被后续动作偶然补救。简单终局回报并非错误目标，但可能对单次记忆操作形成高噪声监督。本课题拟以受控续跑比较减少此类混淆，并检验动作专家更新后旧评价是否需要刷新。</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应用层面，研究将形成可追溯的执行记忆、分阶段回报和器皿流程评测协议。监督学习、规则记忆和普通回报条件化均作为强基线；若它们以相同成本已解决问题，应据结果收缩方法主张，不预设RL必然更优。</w:t>
            </w:r>
          </w:p>
          <w:p xmlns:wpc="http://schemas.microsoft.com/office/word/2010/wordprocessingCanvas" xmlns:mo="http://schemas.microsoft.com/office/mac/office/2008/main" xmlns:mv="urn:schemas-microsoft-com:mac:vml" xmlns:m="http://schemas.openxmlformats.org/officeDocument/2006/math" xmlns:wpi="http://schemas.microsoft.com/office/word/2010/wordprocessingInk" xmlns:wne="http://schemas.microsoft.com/office/word/2006/wordml">
            <w:pPr>
              <w:jc w:val="center"/>
              <w:keepNext w:val="1"/>
              <w:keepLines w:val="1"/>
              <w:spacing w:before="80" w:after="40"/>
            </w:pPr>
            <w:r>
              <w:drawing>
                <wp:inline xmlns:a="http://schemas.openxmlformats.org/drawingml/2006/main">
                  <wp:extent cx="5687568" cy="3554730"/>
                  <wp:docPr id="101" name="图1-任务现象与记忆需求" descr="图1 干式样品任务的历史混淆与错误交接。并列情形说明相近画面可能对应不同进度，非时间轨迹。左侧含MICA稿SO-100／LACE实拍、RM65-B既有仿真及AI概念场景；均不表示本课题长程实验已完成。"/>
                  <wp:cNvGraphicFramePr>
                    <a:graphicFrameLocks noChangeAspect="1"/>
                  </wp:cNvGraphicFramePr>
                  <a:graphic>
                    <a:graphicData uri="http://schemas.openxmlformats.org/drawingml/2006/picture">
                      <pic:pic>
                        <pic:nvPicPr>
                          <pic:cNvPr id="0" name="图1-任务现象与记忆需求.png"/>
                          <pic:cNvPicPr/>
                        </pic:nvPicPr>
                        <pic:blipFill>
                          <a:blip r:embed="rIdProposalFigure1"/>
                          <a:stretch>
                            <a:fillRect/>
                          </a:stretch>
                        </pic:blipFill>
                        <pic:spPr>
                          <a:xfrm>
                            <a:off x="0" y="0"/>
                            <a:ext cx="5687568" cy="3554730"/>
                          </a:xfrm>
                          <a:prstGeom prst="rect"/>
                        </pic:spPr>
                      </pic:pic>
                    </a:graphicData>
                  </a:graphic>
                </wp:inline>
              </w:drawing>
            </w:r>
          </w:p>
          <w:p>
            <w:pPr>
              <w:pStyle w:val="Normal"/>
              <w:spacing w:before="0" w:after="20" w:line="336" w:lineRule="exact"/>
              <w:rPr>
                <w:rFonts w:eastAsia="黑体" w:hint="eastAsia"/>
                <w:sz w:val="24"/>
              </w:rPr>
              <w:ind w:firstLine="0" w:firstLineChars="0"/>
              <w:jc w:val="both"/>
              <w:keepNext w:val="0"/>
              <w:keepLines w:val="0"/>
              <w:widowControl w:val="1"/>
              <w:wordWrap w:val="0"/>
            </w:pPr>
            <w:r>
              <w:rPr>
                <w:rFonts w:ascii="Times New Roman" w:hAnsi="Times New Roman" w:eastAsia="仿宋_GB2312"/>
                <w:sz w:val="24"/>
                <w:szCs w:val="24"/>
                <w:color w:val="000000"/>
              </w:rPr>
              <w:t>图1 干式样品任务的历史混淆与错误交接。并列情形说明相近画面可能对应不同进度，非时间轨迹。左侧含MICA稿SO-100／LACE实拍、RM65-B既有仿真及AI概念场景；均不表示本课题长程实验已完成。</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4. 需要检验的具体失败链</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以“先核验A再核验B”为例，机器人从A抓取失败后仍将进度写成已完成，会导致后续选择B。即使B的取送很准确，整程任务仍遗漏A。这类失败需要纠正完成判断及其后续决策。另一种情况是进度记录正确、目标也选对，但抓取滑落导致最终超时。如果把该episode中所有读写一律当作低质量样本，就可能降低正确记录的概率。两种案例的当前失败回报相同，应该保留或修改的记忆却不同，构成候选信用机制的具体动机。</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场景变化还会检验事实的有效期。已经核验的A被挪动后，“A已核验”仍然有效，“A在原位置”则需要更新；手部滑落后，处理进度可能不变而“当前持有A”失效。本课题拟分开表示这些事实，评价学习系统能否保留有效历史、撤销过时状态，而不是遇到变化就清空全部记忆。该表示只是让问题可测，并不预设手工结构本身优于一般带历史网络。</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由此形成两项层次不同的研究问题。第一，共享模型是否能够利用有限历史，在相近画面下选择正确下一步；这是记忆通道和训练数据问题。第二，当记忆和运动共同决定结果时，怎样用有限交互更可靠地评价读写；这是拟研究的信用问题。报告分别设置对应基线，使第二项收益不能由第一项新增输入自动解释。</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5. 强化学习的适用条件与课题边界</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强化学习优化的是策略诱导的轨迹分布及长期回报[17]。动作会改变未来可见状态，当前决策的好坏因此不能总由单步示范误差衡量。在本任务中，记录一次未完成操作可能改变后续选物、恢复和时间消耗，实际后果可为记忆决策提供监督之外的信号。其价值取决于回报是否可靠、探索是否能够产生有效差异，以及新增交互是否比直接纠正标注更便宜。</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监督学习与规划同时构成必要对照。DAgger表明，收集策略自身访问状态的专家标签能够缓解分布偏移[18]，失败状态不一定必须由RL处理。如果可靠验收器和固定规则已经提供充分状态，规划也可能以更低成本完成流程。本课题不将“使用大模型”“长程任务”作为RL必要性证明，而通过同信息、同技能和同成本比较寻找其实际优势区间。</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拟研究的算法不承担化学反应推演、未知工具发明或无限长记忆。真机验证只检验选定空器皿流程中的条件使用与恢复，复杂湿化学操作需要另外的工具、传感与过程模型。这样可将硕士阶段的主要投入集中在有明确比较条件的物理记忆信用，而不是搭建通用实验室智能体。</w:t>
            </w:r>
          </w:p>
        </w:tc>
      </w:tr>
    </w:tbl>
    <w:p>
      <w:pPr>
        <w:pStyle w:val="Normal"/>
        <w:rPr>
          <w:rFonts w:eastAsia="黑体" w:hint="eastAsia"/>
          <w:sz w:val="24"/>
        </w:rPr>
      </w:pPr>
      <w:r>
        <w:rPr>
          <w:rFonts w:hint="eastAsia" w:eastAsia="黑体"/>
          <w:sz w:val="24"/>
        </w:rPr>
        <w:t>二、文献综述</w:t>
      </w:r>
    </w:p>
    <w:tbl>
      <w:tblPr>
        <w:tblW w:w="9836" w:type="dxa"/>
        <w:jc w:val="start"/>
        <w:tblInd w:w="0" w:type="dxa"/>
        <w:tblLayout w:type="fixed"/>
        <w:tblCellMar>
          <w:top w:w="0" w:type="dxa"/>
          <w:start w:w="108" w:type="dxa"/>
          <w:bottom w:w="0" w:type="dxa"/>
          <w:end w:w="108" w:type="dxa"/>
        </w:tblCellMar>
      </w:tblPr>
      <w:tblGrid>
        <w:gridCol w:w="9836"/>
      </w:tblGrid>
      <w:tr>
        <w:trPr>
          <w:trHeight w:val="13532" w:hRule="atLeast"/>
        </w:trPr>
        <w:tc>
          <w:tcPr>
            <w:tcW w:w="9836" w:type="dxa"/>
            <w:tcBorders>
              <w:top w:val="single" w:sz="12" w:space="0" w:color="000000"/>
              <w:start w:val="single" w:sz="12" w:space="0" w:color="000000"/>
              <w:bottom w:val="nil" w:sz="12" w:space="0" w:color="000000"/>
              <w:end w:val="single" w:sz="12" w:space="0" w:color="000000"/>
            </w:tcBorders>
          </w:tcPr>
          <w:p>
            <w:pPr>
              <w:pStyle w:val="Normal"/>
              <w:spacing w:before="120" w:after="0"/>
              <w:rPr>
                <w:rFonts w:eastAsia="黑体" w:hint="eastAsia"/>
                <w:sz w:val="24"/>
              </w:rPr>
            </w:pPr>
            <w:r>
              <w:rPr>
                <w:rFonts w:hint="eastAsia" w:eastAsia="黑体"/>
                <w:sz w:val="24"/>
              </w:rPr>
              <w:t>国内外研究现状、发展动态；所阅文献的查阅范围及手段</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1. 从动作生成接口理解VLA的能力与限制</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VLA的输入输出不能仅概括为“图片和语言输入、动作输出”。当前观测提供物体外观和几何关系，语言给出目标及约束，本体状态提供当前构型；这些信息在视觉语言主干中融合，再由动作分支生成一段控制序列[1—2]。动作chunk减少逐控制步调用大型模型的开销，也使训练目标能够描述一段相互关联的运动。然而，预测区间和实际执行区间可能不同，机器人执行前缀后仍需重新观测。若一次chunk内部已发生滑落或目标移动，模型必须在后续调用中识别变化，不能将离线动作拟合准确率直接等同于闭环可靠性。</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FAST离散动作与连续flow matching提供两种不同的学习接口[4]。前者将示范动作块编码成主干能够预测的token，使预训练语言模型接受动作相关监督；后者在连续空间去噪生成机器人控制量。两者都来源于实际记录动作，FAST不是高层子任务文本，也不要求部署时逐token解码后才能获得连续动作。知识隔离进一步限制连续专家损失经主干条件路径回传，保留主干利用文本及FAST学习的通道。因此，本课题应区分“增加了哪些可见信息”“哪些输出受到回报监督”和“哪些参数实际更新”，避免仅凭共享模型结构推断记忆已被优化。</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2. RECAP将交互结果转化为条件策略学习</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RECAP的关键不只是增加一个价值模型，而是构造了从物理经验到可监督策略提取的链条[3]。策略执行产生成功、失败和人工纠正轨迹；独立价值模型学习实际回报；多步优势将记录动作划分为相对更优或更差的条件；策略利用相应条件重新拟合动作。这样既保留了大规模行为数据，也能用失败状态中的有效片段进行训练。其价值训练采用回报分箱交叉熵，和依赖TD误差的Q学习在目标定义上不同，不能统一写为“critic反传优化actor”。</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这一方法对本课题有两点启发。其一，离散文本决策不一定必须使用PPO逐token更新，也可在交互回报产生质量标签后采用条件似然训练。其二，条件的位置决定直接优化范围：原RECAP的改善条件位于子任务之后，动作质量得到直接区分，而更早的子任务文本没有因此自动获得同样的质量条件。将条件前移到记忆操作之前，是构建联合基线所需的接口改变，但它本身尚未解决某次失败应该归因于读写、子任务还是运动执行的问题。这个区分决定了本课题不能把框架拼接直接命名为算法创新。</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3. MEM说明记忆表示与记忆训练必须共同设计</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MEM针对两类历史信息采用不同压缩方式[5]。近期接触变化、遮挡前位置和刚发生的抓取失败需要较细的视觉及本体信息；数分钟前哪些物体已经处理，则适合压缩为语言进度。其视频编码在帧内空间混合之外引入跨时间因果注意力，上层只保留融合历史的当前帧表示，控制进入主干的视觉token规模。长期摘要由高层递归更新，并与下一子任务同时产生，减少完整动作日志反复堆叠造成的冗长与分布偏移。</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这种分工不是模块接好后自然形成的。MEM使用摘要转换标签、历史条件动作学习以及包含失败和纠正的训练上下文，使模型接触“失败不等于完成、重复尝试不应重复推进进度”等关系。它提供了监督方法能够学会执行记忆的正面证据，也提示当前研究不能以“SFT无法使用记忆”为前提。真正需要进一步测试的是：当少量示范难以覆盖新的失败组合时，后续物理结果能否提供比继续收集摘要标注更经济的改进信号。短期视频编码和长期进度读写也应分别消融，避免把历史输入变丰富的收益误归因于RL。</w:t>
            </w:r>
          </w:p>
          <w:p xmlns:wpc="http://schemas.microsoft.com/office/word/2010/wordprocessingCanvas" xmlns:mo="http://schemas.microsoft.com/office/mac/office/2008/main" xmlns:mv="urn:schemas-microsoft-com:mac:vml" xmlns:m="http://schemas.openxmlformats.org/officeDocument/2006/math" xmlns:wpi="http://schemas.microsoft.com/office/word/2010/wordprocessingInk" xmlns:wne="http://schemas.microsoft.com/office/word/2006/wordml">
            <w:pPr>
              <w:jc w:val="center"/>
              <w:keepNext w:val="1"/>
              <w:keepLines w:val="1"/>
              <w:spacing w:before="80" w:after="40"/>
            </w:pPr>
            <w:r>
              <w:drawing>
                <wp:inline xmlns:a="http://schemas.openxmlformats.org/drawingml/2006/main">
                  <wp:extent cx="5687568" cy="3436239"/>
                  <wp:docPr id="102" name="图2-相关路线与研究定位" descr="图2-相关路线与研究定位，自绘研究示意"/>
                  <wp:cNvGraphicFramePr>
                    <a:graphicFrameLocks noChangeAspect="1"/>
                  </wp:cNvGraphicFramePr>
                  <a:graphic>
                    <a:graphicData uri="http://schemas.openxmlformats.org/drawingml/2006/picture">
                      <pic:pic>
                        <pic:nvPicPr>
                          <pic:cNvPr id="0" name="图2-相关路线与研究定位.png"/>
                          <pic:cNvPicPr/>
                        </pic:nvPicPr>
                        <pic:blipFill>
                          <a:blip r:embed="rIdProposalFigure2"/>
                          <a:stretch>
                            <a:fillRect/>
                          </a:stretch>
                        </pic:blipFill>
                        <pic:spPr>
                          <a:xfrm>
                            <a:off x="0" y="0"/>
                            <a:ext cx="5687568" cy="3436239"/>
                          </a:xfrm>
                          <a:prstGeom prst="rect"/>
                        </pic:spPr>
                      </pic:pic>
                    </a:graphicData>
                  </a:graphic>
                </wp:inline>
              </w:drawing>
            </w:r>
          </w:p>
          <w:p>
            <w:pPr>
              <w:pStyle w:val="Normal"/>
              <w:spacing w:before="0" w:after="20" w:line="336" w:lineRule="exact"/>
              <w:rPr>
                <w:rFonts w:eastAsia="黑体" w:hint="eastAsia"/>
                <w:sz w:val="24"/>
              </w:rPr>
              <w:ind w:firstLine="0" w:firstLineChars="0"/>
              <w:jc w:val="both"/>
              <w:keepNext w:val="0"/>
              <w:keepLines w:val="0"/>
              <w:widowControl w:val="1"/>
              <w:wordWrap w:val="0"/>
            </w:pPr>
            <w:r>
              <w:rPr>
                <w:rFonts w:ascii="Times New Roman" w:hAnsi="Times New Roman" w:eastAsia="仿宋_GB2312"/>
                <w:sz w:val="24"/>
                <w:szCs w:val="24"/>
                <w:color w:val="000000"/>
              </w:rPr>
              <w:t>图2 相关路线与本研究定位。依据文献[3–8]的方法机制自绘整理，比较信息通道、回报作用范围与显式读写的差别；不表示性能排名或完整复现。联合框架作为基线，物理信用作为候选增量接受验证。</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4. 从VaM、AD-Memo与GMP界定记忆优化的近邻</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VaM将近期价值预测与本体历史编码成缓存条件，送入π0.5动作专家，并结合价值分布学习及优势条件化flow matching进行后训练[6]。这条路线说明，价值不仅可以作为训练目标，还能成为执行时反映近期进展的输入。但其缓存规则与本课题拟学习的显式检索、纠正、撤销不同：前者学习缓存内容及其动作利用，后者还需要决定哪些事实应该进入或退出当前决策。论文中相对无缓存消融的提升不能改写成相对SFT的提升，更不能直接证明所有显式记忆设计都优于固定缓存。</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AD-Memo已经为记忆文本与驾驶输出设置不同时间范围的信用[7]，因此“给记忆长期奖励、给动作短期奖励”不构成足够的新颖性。其后续驾驶画面来自数据replay，预测动作不改变画面；而机械臂动作会改变位置、遮挡和接触，后续输入本身随决策变化。GMP则用历史能否降低动作误差产生门控监督[8]，表明按需读取并非RL专有能力。三类近邻共同将本课题的问题限定到物理闭环：面对执行随机性，如何评价一条记忆操作对可完成性的贡献，而不是再证明系统可以拥有记忆。</w:t>
            </w:r>
          </w:p>
          <w:p>
            <w:pPr>
              <w:pStyle w:val="Normal"/>
              <w:spacing w:before="2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5. 信用评价同时受到延迟后果与策略变化影响</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机器人任务中的记忆价值通常通过后续行为才显现。例如，“A已核验”使机器人下一步选择B；这个选择又改变之后的抓取和放置。因此比较两条记忆时若强制两侧执行同一未来动作序列，就切断了记忆影响任务的主要途径。反事实信用已有COMA等研究基础[9]，本课题可借鉴比较思想，但顺序决策中的中介行为、物理状态恢复与采样预算需要重新界定，不能照搬同时行动的多智能体推导。</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此外，同一失败记录对不同能力的动作专家可能有不同价值。旧专家需要避开曾失败的抓取方位，新专家可能已经掌握该方位；旧偏好继续训练会形成过时约束。HIRO揭示的层级非平稳性为此提供相关理论背景[11]，但记忆读写不是可以任意重标的几何子目标，不能直接套用其校正。DPO式目标可以拟合可信偏好[10]，却不会自动保证偏好本身正确。本课题拟重点检验信用数据的构造、可靠度及刷新收益，而不宣称提出新的DPO损失、无偏策略梯度或收敛定理。</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6. 监督学习、规划与RL的分工及必要性边界</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在完成状态可准确观测、技能后果稳定且任务规则已知的条件下，规则记忆与规划已可能完成流程，继续引入RL未必合算。监督学习也能从失败纠正示范中学习恢复行为[5]。因此，不能仅以任务步骤多、存在历史或语言描述复杂来证明RL必要。需要先展示具体缺口：相同当前观测对应不同处理历史；动作失误使完成记录不可靠；某种记忆操作的作用只有在后续多个物理步骤后才能判断；逐状态标注这些后果的成本高于实际闭环试验。</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RL在这里的潜在优势是从可观测后果评估未被逐步标注的序贯决策，而非替代所有状态管理。规则提供操作合法性，监督学习提供可用技能和读写暖启动，规划提供可执行任务范围，回报学习再评价这些决策的后果。等成本比较必须包含额外教师标签、分支重放、刷新和普通rollout；如果同预算纠正SFT或联合RECAP已获得相同效果，就应接受其更简单，而不是通过弱化基线来维持RL收益。</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7. 实验室定位与可检验的研究缺口</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RoboChemist已将长程规划、监测和VLA执行用于化学实验[14]，本课题不以“机器人完成多步实验”为独立创新。初始任务选择干式样品核验与归位，是为了使进度信息、物理失败和任务后果能够独立测量。完成核验后瓶子回到近似初始位置，当前画面不再充分说明处理历史；抓取滑落则要求保留已完成事实，同时纠正持物或位置记录。两类变化可检验模型是否把进度与瞬时物理状态混为一谈。</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RoboTwin与RLinf分别提供双臂物理交互和训练组织基础[12—13]，但平台接通不等于获得完整的高层RECAP或可靠中途状态恢复。研究应先验收技能、奖励、时间尺度和信息边界，再比较记忆信用方法。拟形成的贡献是一个有明确拒绝条件的问题与协议：在同信息、同技能和同交互预算下，物理后果校准是否减少错误信用，且这种收益能否在执行策略更新后保留。正面或负面结果均需报告适用条件，避免将受控干式代理任务外推为自主化学实验能力。</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8. 理论基础与待验证假设</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部分可观测决策可利用历史信念支持决策[15]。语言记忆只是近似，可能遗漏接触、遮挡及不确定信息。除SR外，拟测量错误完成记录与事实撤销，检验有效历史使用。</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时间抽象允许高层动作持续多个控制步[16]。本课题按实际时长累计回报，初期固定调用节奏，将信用与终止条件学习分开，后者暂不实现。</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拟检验历史通道、受控续跑信用和策略变化后有限刷新三个假设。对应比较见实验方案；任何一项不成立，都应报告其适用边界，不通过增加模块预设原结论。</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9. 文献查阅范围与版本管理</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本次材料以作者原论文、正式论文集和官方项目资料为主要来源，围绕VLA、执行记忆、回报条件策略、反事实信用及层级非平稳进行定向查阅。文献表保留14条直接相关来源，并补充4条部分可观测、时间抽象、强化学习和在线模仿学习基础来源。当前检索不是穷尽的新颖性证明，不把预印本状态写成正式顶会发表。</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方法比较区分原文机制与本地近似对照。若仅实现MEM式监督摘要、VaM式value缓存或GMP式门控的部分思想，实验中明确称机制对照，并保持输入预算相同；不能声称完成原工作复现或直接击败其论文数字。研究期间新增相关工作时，优先更新近邻矩阵和比较设置，而不是仅增加引用条数。</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主要参考文献</w:t>
            </w:r>
          </w:p>
        </w:tc>
      </w:tr>
      <w:tr>
        <w:trPr>
          <w:cantSplit/>
        </w:trPr>
        <w:tc>
          <w:tcPr>
            <w:tcW w:w="9836" w:type="dxa"/>
            <w:tcBorders>
              <w:top w:val="nil" w:sz="12" w:space="0" w:color="000000"/>
              <w:start w:val="single" w:sz="12" w:space="0" w:color="000000"/>
              <w:bottom w:val="nil" w:sz="12" w:space="0" w:color="000000"/>
              <w:end w:val="single" w:sz="12" w:space="0" w:color="000000"/>
            </w:tcBorders>
          </w:tcPr>
          <w:p>
            <w:pPr>
              <w:pStyle w:val="Normal"/>
              <w:spacing w:before="0" w:after="20" w:line="315" w:lineRule="exact"/>
              <w:rPr>
                <w:rFonts w:eastAsia="黑体" w:hint="eastAsia"/>
                <w:sz w:val="24"/>
              </w:rPr>
              <w:ind w:firstLine="0" w:firstLineChars="0"/>
              <w:jc w:val="left"/>
              <w:keepNext w:val="0"/>
              <w:keepLines w:val="1"/>
              <w:widowControl w:val="1"/>
              <w:wordWrap w:val="0"/>
            </w:pPr>
            <w:r>
              <w:rPr>
                <w:rFonts w:ascii="Times New Roman" w:hAnsi="Times New Roman" w:eastAsia="仿宋_GB2312"/>
                <w:sz w:val="21"/>
                <w:szCs w:val="21"/>
                <w:color w:val="000000"/>
              </w:rPr>
              <w:t>[1] BLACK K, BROWN N, DRIESS D, et al. π₀: A Vision-Language-Action Flow Model for General Robot Control[C]//Proceedings of Robotics: Science and Systems. 2025.</w:t>
            </w:r>
            <w:r>
              <w:br/>
            </w:r>
            <w:r>
              <w:rPr>
                <w:rFonts w:ascii="Times New Roman" w:hAnsi="Times New Roman" w:eastAsia="仿宋_GB2312"/>
                <w:sz w:val="21"/>
                <w:szCs w:val="21"/>
                <w:color w:val="000000"/>
              </w:rPr>
              <w:t>https://www.roboticsproceedings.org/rss21/p010.html</w:t>
            </w:r>
          </w:p>
        </w:tc>
      </w:tr>
      <w:tr>
        <w:trPr>
          <w:cantSplit/>
        </w:trPr>
        <w:tc>
          <w:tcPr>
            <w:tcW w:w="9836" w:type="dxa"/>
            <w:tcBorders>
              <w:top w:val="nil" w:sz="12" w:space="0" w:color="000000"/>
              <w:start w:val="single" w:sz="12" w:space="0" w:color="000000"/>
              <w:bottom w:val="nil" w:sz="12" w:space="0" w:color="000000"/>
              <w:end w:val="single" w:sz="12" w:space="0" w:color="000000"/>
            </w:tcBorders>
          </w:tcPr>
          <w:p>
            <w:pPr>
              <w:pStyle w:val="Normal"/>
              <w:spacing w:before="0" w:after="20" w:line="315" w:lineRule="exact"/>
              <w:rPr>
                <w:rFonts w:eastAsia="黑体" w:hint="eastAsia"/>
                <w:sz w:val="24"/>
              </w:rPr>
              <w:ind w:firstLine="0" w:firstLineChars="0"/>
              <w:jc w:val="left"/>
              <w:keepNext w:val="0"/>
              <w:keepLines w:val="1"/>
              <w:widowControl w:val="1"/>
              <w:wordWrap w:val="0"/>
            </w:pPr>
            <w:r>
              <w:rPr>
                <w:rFonts w:ascii="Times New Roman" w:hAnsi="Times New Roman" w:eastAsia="仿宋_GB2312"/>
                <w:sz w:val="21"/>
                <w:szCs w:val="21"/>
                <w:color w:val="000000"/>
              </w:rPr>
              <w:t>[2] PHYSICAL INTELLIGENCE, BLACK K, BROWN N, et al. π₀.₅: a Vision-Language-Action Model with Open-World Generalization[EB/OL]. 2025[2026-10-17]. arXiv:2504.16054v1.</w:t>
            </w:r>
            <w:r>
              <w:br/>
            </w:r>
            <w:r>
              <w:rPr>
                <w:rFonts w:ascii="Times New Roman" w:hAnsi="Times New Roman" w:eastAsia="仿宋_GB2312"/>
                <w:sz w:val="21"/>
                <w:szCs w:val="21"/>
                <w:color w:val="000000"/>
              </w:rPr>
              <w:t>https://arxiv.org/abs/2504.16054v1</w:t>
            </w:r>
          </w:p>
        </w:tc>
      </w:tr>
      <w:tr>
        <w:trPr>
          <w:cantSplit/>
        </w:trPr>
        <w:tc>
          <w:tcPr>
            <w:tcW w:w="9836" w:type="dxa"/>
            <w:tcBorders>
              <w:top w:val="nil" w:sz="12" w:space="0" w:color="000000"/>
              <w:start w:val="single" w:sz="12" w:space="0" w:color="000000"/>
              <w:bottom w:val="nil" w:sz="12" w:space="0" w:color="000000"/>
              <w:end w:val="single" w:sz="12" w:space="0" w:color="000000"/>
            </w:tcBorders>
          </w:tcPr>
          <w:p>
            <w:pPr>
              <w:pStyle w:val="Normal"/>
              <w:spacing w:before="0" w:after="20" w:line="315" w:lineRule="exact"/>
              <w:rPr>
                <w:rFonts w:eastAsia="黑体" w:hint="eastAsia"/>
                <w:sz w:val="24"/>
              </w:rPr>
              <w:ind w:firstLine="0" w:firstLineChars="0"/>
              <w:jc w:val="left"/>
              <w:keepNext w:val="0"/>
              <w:keepLines w:val="1"/>
              <w:widowControl w:val="1"/>
              <w:wordWrap w:val="0"/>
            </w:pPr>
            <w:r>
              <w:rPr>
                <w:rFonts w:ascii="Times New Roman" w:hAnsi="Times New Roman" w:eastAsia="仿宋_GB2312"/>
                <w:sz w:val="21"/>
                <w:szCs w:val="21"/>
                <w:color w:val="000000"/>
              </w:rPr>
              <w:t>[3] PHYSICAL INTELLIGENCE, AMIN A, ANICETO R, et al. π*₀.₆: a VLA That Learns From Experience[EB/OL]. 2025[2026-10-17]. arXiv:2511.14759v2.</w:t>
            </w:r>
            <w:r>
              <w:br/>
            </w:r>
            <w:r>
              <w:rPr>
                <w:rFonts w:ascii="Times New Roman" w:hAnsi="Times New Roman" w:eastAsia="仿宋_GB2312"/>
                <w:sz w:val="21"/>
                <w:szCs w:val="21"/>
                <w:color w:val="000000"/>
              </w:rPr>
              <w:t>https://arxiv.org/abs/2511.14759v2</w:t>
            </w:r>
          </w:p>
        </w:tc>
      </w:tr>
      <w:tr>
        <w:trPr>
          <w:cantSplit/>
        </w:trPr>
        <w:tc>
          <w:tcPr>
            <w:tcW w:w="9836" w:type="dxa"/>
            <w:tcBorders>
              <w:top w:val="nil" w:sz="12" w:space="0" w:color="000000"/>
              <w:start w:val="single" w:sz="12" w:space="0" w:color="000000"/>
              <w:bottom w:val="nil" w:sz="12" w:space="0" w:color="000000"/>
              <w:end w:val="single" w:sz="12" w:space="0" w:color="000000"/>
            </w:tcBorders>
          </w:tcPr>
          <w:p>
            <w:pPr>
              <w:pStyle w:val="Normal"/>
              <w:spacing w:before="0" w:after="20" w:line="315" w:lineRule="exact"/>
              <w:rPr>
                <w:rFonts w:eastAsia="黑体" w:hint="eastAsia"/>
                <w:sz w:val="24"/>
              </w:rPr>
              <w:ind w:firstLine="0" w:firstLineChars="0"/>
              <w:jc w:val="left"/>
              <w:keepNext w:val="0"/>
              <w:keepLines w:val="1"/>
              <w:widowControl w:val="1"/>
              <w:wordWrap w:val="0"/>
            </w:pPr>
            <w:r>
              <w:rPr>
                <w:rFonts w:ascii="Times New Roman" w:hAnsi="Times New Roman" w:eastAsia="仿宋_GB2312"/>
                <w:sz w:val="21"/>
                <w:szCs w:val="21"/>
                <w:color w:val="000000"/>
              </w:rPr>
              <w:t>[4] DRIESS D, SPRINGENBERG J T, ICHTER B, et al. Knowledge Insulating Vision-Language-Action Models: Train Fast, Run Fast, Generalize Better[EB/OL]. 2025[2026-10-17]. arXiv:2505.23705.</w:t>
            </w:r>
            <w:r>
              <w:br/>
            </w:r>
            <w:r>
              <w:rPr>
                <w:rFonts w:ascii="Times New Roman" w:hAnsi="Times New Roman" w:eastAsia="仿宋_GB2312"/>
                <w:sz w:val="21"/>
                <w:szCs w:val="21"/>
                <w:color w:val="000000"/>
              </w:rPr>
              <w:t>https://arxiv.org/abs/2505.23705</w:t>
            </w:r>
          </w:p>
        </w:tc>
      </w:tr>
      <w:tr>
        <w:trPr>
          <w:cantSplit/>
        </w:trPr>
        <w:tc>
          <w:tcPr>
            <w:tcW w:w="9836" w:type="dxa"/>
            <w:tcBorders>
              <w:top w:val="nil" w:sz="12" w:space="0" w:color="000000"/>
              <w:start w:val="single" w:sz="12" w:space="0" w:color="000000"/>
              <w:bottom w:val="nil" w:sz="12" w:space="0" w:color="000000"/>
              <w:end w:val="single" w:sz="12" w:space="0" w:color="000000"/>
            </w:tcBorders>
          </w:tcPr>
          <w:p>
            <w:pPr>
              <w:pStyle w:val="Normal"/>
              <w:spacing w:before="0" w:after="20" w:line="315" w:lineRule="exact"/>
              <w:rPr>
                <w:rFonts w:eastAsia="黑体" w:hint="eastAsia"/>
                <w:sz w:val="24"/>
              </w:rPr>
              <w:ind w:firstLine="0" w:firstLineChars="0"/>
              <w:jc w:val="left"/>
              <w:keepNext w:val="0"/>
              <w:keepLines w:val="1"/>
              <w:widowControl w:val="1"/>
              <w:wordWrap w:val="0"/>
            </w:pPr>
            <w:r>
              <w:rPr>
                <w:rFonts w:ascii="Times New Roman" w:hAnsi="Times New Roman" w:eastAsia="仿宋_GB2312"/>
                <w:sz w:val="21"/>
                <w:szCs w:val="21"/>
                <w:color w:val="000000"/>
              </w:rPr>
              <w:t>[5] TORNE M, PERTSCH K, WALKE H, et al. MEM: Multi-Scale Embodied Memory for Vision Language Action Models[EB/OL]. 2026[2026-10-17]. arXiv:2603.03596v2.</w:t>
            </w:r>
            <w:r>
              <w:br/>
            </w:r>
            <w:r>
              <w:rPr>
                <w:rFonts w:ascii="Times New Roman" w:hAnsi="Times New Roman" w:eastAsia="仿宋_GB2312"/>
                <w:sz w:val="21"/>
                <w:szCs w:val="21"/>
                <w:color w:val="000000"/>
              </w:rPr>
              <w:t>https://arxiv.org/abs/2603.03596v2</w:t>
            </w:r>
          </w:p>
        </w:tc>
      </w:tr>
      <w:tr>
        <w:trPr>
          <w:cantSplit/>
        </w:trPr>
        <w:tc>
          <w:tcPr>
            <w:tcW w:w="9836" w:type="dxa"/>
            <w:tcBorders>
              <w:top w:val="nil" w:sz="12" w:space="0" w:color="000000"/>
              <w:start w:val="single" w:sz="12" w:space="0" w:color="000000"/>
              <w:bottom w:val="nil" w:sz="12" w:space="0" w:color="000000"/>
              <w:end w:val="single" w:sz="12" w:space="0" w:color="000000"/>
            </w:tcBorders>
          </w:tcPr>
          <w:p>
            <w:pPr>
              <w:pStyle w:val="Normal"/>
              <w:spacing w:before="0" w:after="20" w:line="315" w:lineRule="exact"/>
              <w:rPr>
                <w:rFonts w:eastAsia="黑体" w:hint="eastAsia"/>
                <w:sz w:val="24"/>
              </w:rPr>
              <w:ind w:firstLine="0" w:firstLineChars="0"/>
              <w:jc w:val="left"/>
              <w:keepNext w:val="0"/>
              <w:keepLines w:val="1"/>
              <w:widowControl w:val="1"/>
              <w:wordWrap w:val="0"/>
            </w:pPr>
            <w:r>
              <w:rPr>
                <w:rFonts w:ascii="Times New Roman" w:hAnsi="Times New Roman" w:eastAsia="仿宋_GB2312"/>
                <w:sz w:val="21"/>
                <w:szCs w:val="21"/>
                <w:color w:val="000000"/>
              </w:rPr>
              <w:t>[6] YU W, CHEN Y, XIONG K, et al. Value as Memory: Online Value-Guided Post-training for General Robot Policies[EB/OL]. 2026[2026-10-17]. arXiv:2610.22368v1.</w:t>
            </w:r>
            <w:r>
              <w:br/>
            </w:r>
            <w:r>
              <w:rPr>
                <w:rFonts w:ascii="Times New Roman" w:hAnsi="Times New Roman" w:eastAsia="仿宋_GB2312"/>
                <w:sz w:val="21"/>
                <w:szCs w:val="21"/>
                <w:color w:val="000000"/>
              </w:rPr>
              <w:t>https://arxiv.org/abs/2610.22368v1</w:t>
            </w:r>
          </w:p>
        </w:tc>
      </w:tr>
      <w:tr>
        <w:trPr>
          <w:cantSplit/>
        </w:trPr>
        <w:tc>
          <w:tcPr>
            <w:tcW w:w="9836" w:type="dxa"/>
            <w:tcBorders>
              <w:top w:val="nil" w:sz="12" w:space="0" w:color="000000"/>
              <w:start w:val="single" w:sz="12" w:space="0" w:color="000000"/>
              <w:bottom w:val="nil" w:sz="12" w:space="0" w:color="000000"/>
              <w:end w:val="single" w:sz="12" w:space="0" w:color="000000"/>
            </w:tcBorders>
          </w:tcPr>
          <w:p>
            <w:pPr>
              <w:pStyle w:val="Normal"/>
              <w:spacing w:before="0" w:after="20" w:line="315" w:lineRule="exact"/>
              <w:rPr>
                <w:rFonts w:eastAsia="黑体" w:hint="eastAsia"/>
                <w:sz w:val="24"/>
              </w:rPr>
              <w:ind w:firstLine="0" w:firstLineChars="0"/>
              <w:jc w:val="left"/>
              <w:keepNext w:val="0"/>
              <w:keepLines w:val="1"/>
              <w:widowControl w:val="1"/>
              <w:wordWrap w:val="0"/>
            </w:pPr>
            <w:r>
              <w:rPr>
                <w:rFonts w:ascii="Times New Roman" w:hAnsi="Times New Roman" w:eastAsia="仿宋_GB2312"/>
                <w:sz w:val="21"/>
                <w:szCs w:val="21"/>
                <w:color w:val="000000"/>
              </w:rPr>
              <w:t>[7] YAN K, CHEN X, CAO Y, et al. Vision-Language-Action Autonomous Driving Agent with Language-based Memory[EB/OL]. 2026[2026-10-17]. arXiv:2609.38641v1.</w:t>
            </w:r>
            <w:r>
              <w:br/>
            </w:r>
            <w:r>
              <w:rPr>
                <w:rFonts w:ascii="Times New Roman" w:hAnsi="Times New Roman" w:eastAsia="仿宋_GB2312"/>
                <w:sz w:val="21"/>
                <w:szCs w:val="21"/>
                <w:color w:val="000000"/>
              </w:rPr>
              <w:t>https://arxiv.org/abs/2609.38641v1</w:t>
            </w:r>
          </w:p>
        </w:tc>
      </w:tr>
      <w:tr>
        <w:trPr>
          <w:cantSplit/>
        </w:trPr>
        <w:tc>
          <w:tcPr>
            <w:tcW w:w="9836" w:type="dxa"/>
            <w:tcBorders>
              <w:top w:val="nil" w:sz="12" w:space="0" w:color="000000"/>
              <w:start w:val="single" w:sz="12" w:space="0" w:color="000000"/>
              <w:bottom w:val="nil" w:sz="12" w:space="0" w:color="000000"/>
              <w:end w:val="single" w:sz="12" w:space="0" w:color="000000"/>
            </w:tcBorders>
          </w:tcPr>
          <w:p>
            <w:pPr>
              <w:pStyle w:val="Normal"/>
              <w:spacing w:before="0" w:after="20" w:line="315" w:lineRule="exact"/>
              <w:rPr>
                <w:rFonts w:eastAsia="黑体" w:hint="eastAsia"/>
                <w:sz w:val="24"/>
              </w:rPr>
              <w:ind w:firstLine="0" w:firstLineChars="0"/>
              <w:jc w:val="left"/>
              <w:keepNext w:val="0"/>
              <w:keepLines w:val="1"/>
              <w:widowControl w:val="1"/>
              <w:wordWrap w:val="0"/>
            </w:pPr>
            <w:r>
              <w:rPr>
                <w:rFonts w:ascii="Times New Roman" w:hAnsi="Times New Roman" w:eastAsia="仿宋_GB2312"/>
                <w:sz w:val="21"/>
                <w:szCs w:val="21"/>
                <w:color w:val="000000"/>
              </w:rPr>
              <w:t>[8] GAO Y, LIU J J, LI S, SONG S. Gated Memory Policy: In-Context Memorization and Adaptation[EB/OL]. 2026[2026-10-17]. arXiv:2604.18933v2.</w:t>
            </w:r>
            <w:r>
              <w:br/>
            </w:r>
            <w:r>
              <w:rPr>
                <w:rFonts w:ascii="Times New Roman" w:hAnsi="Times New Roman" w:eastAsia="仿宋_GB2312"/>
                <w:sz w:val="21"/>
                <w:szCs w:val="21"/>
                <w:color w:val="000000"/>
              </w:rPr>
              <w:t>https://arxiv.org/abs/2604.18933v2</w:t>
            </w:r>
          </w:p>
        </w:tc>
      </w:tr>
      <w:tr>
        <w:trPr>
          <w:cantSplit/>
        </w:trPr>
        <w:tc>
          <w:tcPr>
            <w:tcW w:w="9836" w:type="dxa"/>
            <w:tcBorders>
              <w:top w:val="nil" w:sz="12" w:space="0" w:color="000000"/>
              <w:start w:val="single" w:sz="12" w:space="0" w:color="000000"/>
              <w:bottom w:val="nil" w:sz="12" w:space="0" w:color="000000"/>
              <w:end w:val="single" w:sz="12" w:space="0" w:color="000000"/>
            </w:tcBorders>
          </w:tcPr>
          <w:p>
            <w:pPr>
              <w:pStyle w:val="Normal"/>
              <w:spacing w:before="0" w:after="20" w:line="315" w:lineRule="exact"/>
              <w:rPr>
                <w:rFonts w:eastAsia="黑体" w:hint="eastAsia"/>
                <w:sz w:val="24"/>
              </w:rPr>
              <w:ind w:firstLine="0" w:firstLineChars="0"/>
              <w:jc w:val="left"/>
              <w:keepNext w:val="0"/>
              <w:keepLines w:val="1"/>
              <w:widowControl w:val="1"/>
              <w:wordWrap w:val="0"/>
            </w:pPr>
            <w:r>
              <w:rPr>
                <w:rFonts w:ascii="Times New Roman" w:hAnsi="Times New Roman" w:eastAsia="仿宋_GB2312"/>
                <w:sz w:val="21"/>
                <w:szCs w:val="21"/>
                <w:color w:val="000000"/>
              </w:rPr>
              <w:t>[9] FOERSTER J, FARQUHAR G, AFOURAS T, et al. Counterfactual Multi-Agent Policy Gradients[J]. Proceedings of the AAAI Conference on Artificial Intelligence, 2018, 32(1). DOI:10.1609/aaai.v32i1.11794.</w:t>
            </w:r>
            <w:r>
              <w:br/>
            </w:r>
            <w:r>
              <w:rPr>
                <w:rFonts w:ascii="Times New Roman" w:hAnsi="Times New Roman" w:eastAsia="仿宋_GB2312"/>
                <w:sz w:val="21"/>
                <w:szCs w:val="21"/>
                <w:color w:val="000000"/>
              </w:rPr>
              <w:t>https://ojs.aaai.org/index.php/AAAI/article/view/11794</w:t>
            </w:r>
          </w:p>
        </w:tc>
      </w:tr>
      <w:tr>
        <w:trPr>
          <w:cantSplit/>
        </w:trPr>
        <w:tc>
          <w:tcPr>
            <w:tcW w:w="9836" w:type="dxa"/>
            <w:tcBorders>
              <w:top w:val="nil" w:sz="12" w:space="0" w:color="000000"/>
              <w:start w:val="single" w:sz="12" w:space="0" w:color="000000"/>
              <w:bottom w:val="nil" w:sz="12" w:space="0" w:color="000000"/>
              <w:end w:val="single" w:sz="12" w:space="0" w:color="000000"/>
            </w:tcBorders>
          </w:tcPr>
          <w:p>
            <w:pPr>
              <w:pStyle w:val="Normal"/>
              <w:spacing w:before="0" w:after="20" w:line="315" w:lineRule="exact"/>
              <w:rPr>
                <w:rFonts w:eastAsia="黑体" w:hint="eastAsia"/>
                <w:sz w:val="24"/>
              </w:rPr>
              <w:ind w:firstLine="0" w:firstLineChars="0"/>
              <w:jc w:val="left"/>
              <w:keepNext w:val="0"/>
              <w:keepLines w:val="1"/>
              <w:widowControl w:val="1"/>
              <w:wordWrap w:val="0"/>
            </w:pPr>
            <w:r>
              <w:rPr>
                <w:rFonts w:ascii="Times New Roman" w:hAnsi="Times New Roman" w:eastAsia="仿宋_GB2312"/>
                <w:sz w:val="21"/>
                <w:szCs w:val="21"/>
                <w:color w:val="000000"/>
              </w:rPr>
              <w:t>[10] RAFAILOV R, SHARMA A, MITCHELL E, et al. Direct Preference Optimization: Your Language Model is Secretly a Reward Model[C]//Advances in Neural Information Processing Systems. 2023, 36.</w:t>
            </w:r>
            <w:r>
              <w:br/>
            </w:r>
            <w:r>
              <w:rPr>
                <w:rFonts w:ascii="Times New Roman" w:hAnsi="Times New Roman" w:eastAsia="仿宋_GB2312"/>
                <w:sz w:val="21"/>
                <w:szCs w:val="21"/>
                <w:color w:val="000000"/>
              </w:rPr>
              <w:t>https://proceedings.neurips.cc/paper_files/paper/2023/hash/a85b405ed65c6477a4fe8302b5e06ce7-Abstract.html</w:t>
            </w:r>
          </w:p>
        </w:tc>
      </w:tr>
      <w:tr>
        <w:trPr>
          <w:cantSplit/>
        </w:trPr>
        <w:tc>
          <w:tcPr>
            <w:tcW w:w="9836" w:type="dxa"/>
            <w:tcBorders>
              <w:top w:val="nil" w:sz="12" w:space="0" w:color="000000"/>
              <w:start w:val="single" w:sz="12" w:space="0" w:color="000000"/>
              <w:bottom w:val="nil" w:sz="12" w:space="0" w:color="000000"/>
              <w:end w:val="single" w:sz="12" w:space="0" w:color="000000"/>
            </w:tcBorders>
          </w:tcPr>
          <w:p>
            <w:pPr>
              <w:pStyle w:val="Normal"/>
              <w:spacing w:before="0" w:after="20" w:line="315" w:lineRule="exact"/>
              <w:rPr>
                <w:rFonts w:eastAsia="黑体" w:hint="eastAsia"/>
                <w:sz w:val="24"/>
              </w:rPr>
              <w:ind w:firstLine="0" w:firstLineChars="0"/>
              <w:jc w:val="left"/>
              <w:keepNext w:val="0"/>
              <w:keepLines w:val="1"/>
              <w:widowControl w:val="1"/>
              <w:wordWrap w:val="0"/>
            </w:pPr>
            <w:r>
              <w:rPr>
                <w:rFonts w:ascii="Times New Roman" w:hAnsi="Times New Roman" w:eastAsia="仿宋_GB2312"/>
                <w:sz w:val="21"/>
                <w:szCs w:val="21"/>
                <w:color w:val="000000"/>
              </w:rPr>
              <w:t>[11] NACHUM O, GU S, LEE H, LEVINE S. Data-Efficient Hierarchical Reinforcement Learning[C]//Advances in Neural Information Processing Systems. 2018, 31.</w:t>
            </w:r>
            <w:r>
              <w:br/>
            </w:r>
            <w:r>
              <w:rPr>
                <w:rFonts w:ascii="Times New Roman" w:hAnsi="Times New Roman" w:eastAsia="仿宋_GB2312"/>
                <w:sz w:val="21"/>
                <w:szCs w:val="21"/>
                <w:color w:val="000000"/>
              </w:rPr>
              <w:t>https://proceedings.neurips.cc/paper_files/paper/2018/hash/e6384711491713d29bc63fc5eeb5ba4f-Abstract.html</w:t>
            </w:r>
          </w:p>
        </w:tc>
      </w:tr>
      <w:tr>
        <w:trPr>
          <w:cantSplit/>
        </w:trPr>
        <w:tc>
          <w:tcPr>
            <w:tcW w:w="9836" w:type="dxa"/>
            <w:tcBorders>
              <w:top w:val="nil" w:sz="12" w:space="0" w:color="000000"/>
              <w:start w:val="single" w:sz="12" w:space="0" w:color="000000"/>
              <w:bottom w:val="nil" w:sz="12" w:space="0" w:color="000000"/>
              <w:end w:val="single" w:sz="12" w:space="0" w:color="000000"/>
            </w:tcBorders>
          </w:tcPr>
          <w:p>
            <w:pPr>
              <w:pStyle w:val="Normal"/>
              <w:spacing w:before="0" w:after="20" w:line="315" w:lineRule="exact"/>
              <w:rPr>
                <w:rFonts w:eastAsia="黑体" w:hint="eastAsia"/>
                <w:sz w:val="24"/>
              </w:rPr>
              <w:ind w:firstLine="0" w:firstLineChars="0"/>
              <w:jc w:val="left"/>
              <w:keepNext w:val="0"/>
              <w:keepLines w:val="1"/>
              <w:widowControl w:val="1"/>
              <w:wordWrap w:val="0"/>
            </w:pPr>
            <w:r>
              <w:rPr>
                <w:rFonts w:ascii="Times New Roman" w:hAnsi="Times New Roman" w:eastAsia="仿宋_GB2312"/>
                <w:sz w:val="21"/>
                <w:szCs w:val="21"/>
                <w:color w:val="000000"/>
              </w:rPr>
              <w:t>[12] CHEN T, CHEN Z, CHEN B, et al. RoboTwin 2.0: A Scalable Data Generator and Benchmark with Strong Domain Randomization for Robust Bimanual Robotic Manipulation[C]//Proceedings of the 43rd International Conference on Machine Learning. PMLR, 2026, 306:13673–13699.</w:t>
            </w:r>
            <w:r>
              <w:br/>
            </w:r>
            <w:r>
              <w:rPr>
                <w:rFonts w:ascii="Times New Roman" w:hAnsi="Times New Roman" w:eastAsia="仿宋_GB2312"/>
                <w:sz w:val="21"/>
                <w:szCs w:val="21"/>
                <w:color w:val="000000"/>
              </w:rPr>
              <w:t>https://proceedings.mlr.press/v306/chen26j.html</w:t>
            </w:r>
          </w:p>
        </w:tc>
      </w:tr>
      <w:tr>
        <w:trPr>
          <w:cantSplit/>
        </w:trPr>
        <w:tc>
          <w:tcPr>
            <w:tcW w:w="9836" w:type="dxa"/>
            <w:tcBorders>
              <w:top w:val="nil" w:sz="12" w:space="0" w:color="000000"/>
              <w:start w:val="single" w:sz="12" w:space="0" w:color="000000"/>
              <w:bottom w:val="nil" w:sz="12" w:space="0" w:color="000000"/>
              <w:end w:val="single" w:sz="12" w:space="0" w:color="000000"/>
            </w:tcBorders>
          </w:tcPr>
          <w:p>
            <w:pPr>
              <w:pStyle w:val="Normal"/>
              <w:spacing w:before="0" w:after="20" w:line="315" w:lineRule="exact"/>
              <w:rPr>
                <w:rFonts w:eastAsia="黑体" w:hint="eastAsia"/>
                <w:sz w:val="24"/>
              </w:rPr>
              <w:ind w:firstLine="0" w:firstLineChars="0"/>
              <w:jc w:val="left"/>
              <w:keepNext w:val="0"/>
              <w:keepLines w:val="1"/>
              <w:widowControl w:val="1"/>
              <w:wordWrap w:val="0"/>
            </w:pPr>
            <w:r>
              <w:rPr>
                <w:rFonts w:ascii="Times New Roman" w:hAnsi="Times New Roman" w:eastAsia="仿宋_GB2312"/>
                <w:sz w:val="21"/>
                <w:szCs w:val="21"/>
                <w:color w:val="000000"/>
              </w:rPr>
              <w:t>[13] ZANG H, WEI M, XU S, et al. RLinf-VLA: A Unified and Efficient Framework for Reinforcement Learning of Vision-Language-Action Models[EB/OL]. 2025[2026-10-17]. arXiv:2510.06710v3（2026-08-12修订）.</w:t>
            </w:r>
            <w:r>
              <w:br/>
            </w:r>
            <w:r>
              <w:rPr>
                <w:rFonts w:ascii="Times New Roman" w:hAnsi="Times New Roman" w:eastAsia="仿宋_GB2312"/>
                <w:sz w:val="21"/>
                <w:szCs w:val="21"/>
                <w:color w:val="000000"/>
              </w:rPr>
              <w:t>https://arxiv.org/abs/2510.06710v3</w:t>
            </w:r>
          </w:p>
        </w:tc>
      </w:tr>
      <w:tr>
        <w:trPr>
          <w:cantSplit/>
        </w:trPr>
        <w:tc>
          <w:tcPr>
            <w:tcW w:w="9836" w:type="dxa"/>
            <w:tcBorders>
              <w:top w:val="nil" w:sz="12" w:space="0" w:color="000000"/>
              <w:start w:val="single" w:sz="12" w:space="0" w:color="000000"/>
              <w:bottom w:val="nil" w:sz="12" w:space="0" w:color="000000"/>
              <w:end w:val="single" w:sz="12" w:space="0" w:color="000000"/>
            </w:tcBorders>
          </w:tcPr>
          <w:p>
            <w:pPr>
              <w:pStyle w:val="Normal"/>
              <w:spacing w:before="0" w:after="20" w:line="315" w:lineRule="exact"/>
              <w:rPr>
                <w:rFonts w:eastAsia="黑体" w:hint="eastAsia"/>
                <w:sz w:val="24"/>
              </w:rPr>
              <w:ind w:firstLine="0" w:firstLineChars="0"/>
              <w:jc w:val="left"/>
              <w:keepNext w:val="0"/>
              <w:keepLines w:val="1"/>
              <w:widowControl w:val="1"/>
              <w:wordWrap w:val="0"/>
            </w:pPr>
            <w:r>
              <w:rPr>
                <w:rFonts w:ascii="Times New Roman" w:hAnsi="Times New Roman" w:eastAsia="仿宋_GB2312"/>
                <w:sz w:val="21"/>
                <w:szCs w:val="21"/>
                <w:color w:val="000000"/>
              </w:rPr>
              <w:t>[14] ZHANG Z, YUE C, XU H, et al. RoboChemist: Long-Horizon and Safety-Compliant Robotic Chemical Experimentation[C]//Proceedings of the 9th Conference on Robot Learning. PMLR, 2025, 305:3537–3568.</w:t>
            </w:r>
            <w:r>
              <w:br/>
            </w:r>
            <w:r>
              <w:rPr>
                <w:rFonts w:ascii="Times New Roman" w:hAnsi="Times New Roman" w:eastAsia="仿宋_GB2312"/>
                <w:sz w:val="21"/>
                <w:szCs w:val="21"/>
                <w:color w:val="000000"/>
              </w:rPr>
              <w:t>https://proceedings.mlr.press/v305/zhang25i.html</w:t>
            </w:r>
          </w:p>
        </w:tc>
      </w:tr>
      <w:tr>
        <w:trPr>
          <w:cantSplit/>
        </w:trPr>
        <w:tc>
          <w:tcPr>
            <w:tcW w:w="9836" w:type="dxa"/>
            <w:tcBorders>
              <w:top w:val="nil" w:sz="12" w:space="0" w:color="000000"/>
              <w:start w:val="single" w:sz="12" w:space="0" w:color="000000"/>
              <w:bottom w:val="nil" w:sz="12" w:space="0" w:color="000000"/>
              <w:end w:val="single" w:sz="12" w:space="0" w:color="000000"/>
            </w:tcBorders>
          </w:tcPr>
          <w:p>
            <w:pPr>
              <w:pStyle w:val="Normal"/>
              <w:spacing w:before="0" w:after="20" w:line="315" w:lineRule="exact"/>
              <w:rPr>
                <w:rFonts w:eastAsia="黑体" w:hint="eastAsia"/>
                <w:sz w:val="24"/>
              </w:rPr>
              <w:ind w:firstLine="0" w:firstLineChars="0"/>
              <w:jc w:val="left"/>
              <w:keepNext w:val="0"/>
              <w:keepLines w:val="1"/>
              <w:widowControl w:val="1"/>
              <w:wordWrap w:val="0"/>
            </w:pPr>
            <w:r>
              <w:rPr>
                <w:rFonts w:ascii="Times New Roman" w:hAnsi="Times New Roman" w:eastAsia="仿宋_GB2312"/>
                <w:sz w:val="21"/>
                <w:szCs w:val="21"/>
                <w:color w:val="000000"/>
              </w:rPr>
              <w:t>[15] KAELBLING L P, LITTMAN M L, CASSANDRA A R. Planning and acting in partially observable stochastic domains[J]. Artificial Intelligence, 1998, 101(1–2):99–134. DOI:10.1016/S0004-3702(98)00023-X.</w:t>
            </w:r>
            <w:r>
              <w:br/>
            </w:r>
            <w:r>
              <w:rPr>
                <w:rFonts w:ascii="Times New Roman" w:hAnsi="Times New Roman" w:eastAsia="仿宋_GB2312"/>
                <w:sz w:val="21"/>
                <w:szCs w:val="21"/>
                <w:color w:val="000000"/>
              </w:rPr>
              <w:t>https://www.sciencedirect.com/science/article/pii/S000437029800023X</w:t>
            </w:r>
          </w:p>
        </w:tc>
      </w:tr>
      <w:tr>
        <w:trPr>
          <w:cantSplit/>
        </w:trPr>
        <w:tc>
          <w:tcPr>
            <w:tcW w:w="9836" w:type="dxa"/>
            <w:tcBorders>
              <w:top w:val="nil" w:sz="12" w:space="0" w:color="000000"/>
              <w:start w:val="single" w:sz="12" w:space="0" w:color="000000"/>
              <w:bottom w:val="nil" w:sz="12" w:space="0" w:color="000000"/>
              <w:end w:val="single" w:sz="12" w:space="0" w:color="000000"/>
            </w:tcBorders>
          </w:tcPr>
          <w:p>
            <w:pPr>
              <w:pStyle w:val="Normal"/>
              <w:spacing w:before="0" w:after="20" w:line="315" w:lineRule="exact"/>
              <w:rPr>
                <w:rFonts w:eastAsia="黑体" w:hint="eastAsia"/>
                <w:sz w:val="24"/>
              </w:rPr>
              <w:ind w:firstLine="0" w:firstLineChars="0"/>
              <w:jc w:val="left"/>
              <w:keepNext w:val="0"/>
              <w:keepLines w:val="1"/>
              <w:widowControl w:val="1"/>
              <w:wordWrap w:val="0"/>
            </w:pPr>
            <w:r>
              <w:rPr>
                <w:rFonts w:ascii="Times New Roman" w:hAnsi="Times New Roman" w:eastAsia="仿宋_GB2312"/>
                <w:sz w:val="21"/>
                <w:szCs w:val="21"/>
                <w:color w:val="000000"/>
              </w:rPr>
              <w:t>[16] SUTTON R S, PRECUP D, SINGH S. Between MDPs and semi-MDPs: A framework for temporal abstraction in reinforcement learning[J]. Artificial Intelligence, 1999, 112(1–2):181–211. DOI:10.1016/S0004-3702(99)00052-1.</w:t>
            </w:r>
            <w:r>
              <w:br/>
            </w:r>
            <w:r>
              <w:rPr>
                <w:rFonts w:ascii="Times New Roman" w:hAnsi="Times New Roman" w:eastAsia="仿宋_GB2312"/>
                <w:sz w:val="21"/>
                <w:szCs w:val="21"/>
                <w:color w:val="000000"/>
              </w:rPr>
              <w:t>https://www.sciencedirect.com/science/article/pii/S0004370299000521</w:t>
            </w:r>
          </w:p>
        </w:tc>
      </w:tr>
      <w:tr>
        <w:trPr>
          <w:cantSplit/>
        </w:trPr>
        <w:tc>
          <w:tcPr>
            <w:tcW w:w="9836" w:type="dxa"/>
            <w:tcBorders>
              <w:top w:val="nil" w:sz="12" w:space="0" w:color="000000"/>
              <w:start w:val="single" w:sz="12" w:space="0" w:color="000000"/>
              <w:bottom w:val="nil" w:sz="12" w:space="0" w:color="000000"/>
              <w:end w:val="single" w:sz="12" w:space="0" w:color="000000"/>
            </w:tcBorders>
          </w:tcPr>
          <w:p>
            <w:pPr>
              <w:pStyle w:val="Normal"/>
              <w:spacing w:before="0" w:after="20" w:line="315" w:lineRule="exact"/>
              <w:rPr>
                <w:rFonts w:eastAsia="黑体" w:hint="eastAsia"/>
                <w:sz w:val="24"/>
              </w:rPr>
              <w:ind w:firstLine="0" w:firstLineChars="0"/>
              <w:jc w:val="left"/>
              <w:keepNext w:val="0"/>
              <w:keepLines w:val="1"/>
              <w:widowControl w:val="1"/>
              <w:wordWrap w:val="0"/>
            </w:pPr>
            <w:r>
              <w:rPr>
                <w:rFonts w:ascii="Times New Roman" w:hAnsi="Times New Roman" w:eastAsia="仿宋_GB2312"/>
                <w:sz w:val="21"/>
                <w:szCs w:val="21"/>
                <w:color w:val="000000"/>
              </w:rPr>
              <w:t>[17] SUTTON R S, BARTO A G. Reinforcement Learning: An Introduction[M]. 2nd ed. Cambridge, MA: MIT Press, 2018.</w:t>
            </w:r>
            <w:r>
              <w:br/>
            </w:r>
            <w:r>
              <w:rPr>
                <w:rFonts w:ascii="Times New Roman" w:hAnsi="Times New Roman" w:eastAsia="仿宋_GB2312"/>
                <w:sz w:val="21"/>
                <w:szCs w:val="21"/>
                <w:color w:val="000000"/>
              </w:rPr>
              <w:t>https://mitpress.mit.edu/9780262352703/reinforcement-learning/</w:t>
            </w:r>
          </w:p>
        </w:tc>
      </w:tr>
      <w:tr>
        <w:trPr>
          <w:cantSplit/>
        </w:trPr>
        <w:tc>
          <w:tcPr>
            <w:tcW w:w="9836" w:type="dxa"/>
            <w:tcBorders>
              <w:top w:val="nil" w:sz="12" w:space="0" w:color="000000"/>
              <w:start w:val="single" w:sz="12" w:space="0" w:color="000000"/>
              <w:bottom w:val="nil" w:sz="12" w:space="0" w:color="000000"/>
              <w:end w:val="single" w:sz="12" w:space="0" w:color="000000"/>
            </w:tcBorders>
          </w:tcPr>
          <w:p>
            <w:pPr>
              <w:pStyle w:val="Normal"/>
              <w:spacing w:before="0" w:after="20" w:line="315" w:lineRule="exact"/>
              <w:rPr>
                <w:rFonts w:eastAsia="黑体" w:hint="eastAsia"/>
                <w:sz w:val="24"/>
              </w:rPr>
              <w:ind w:firstLine="0" w:firstLineChars="0"/>
              <w:jc w:val="left"/>
              <w:keepNext w:val="0"/>
              <w:keepLines w:val="1"/>
              <w:widowControl w:val="1"/>
              <w:wordWrap w:val="0"/>
            </w:pPr>
            <w:r>
              <w:rPr>
                <w:rFonts w:ascii="Times New Roman" w:hAnsi="Times New Roman" w:eastAsia="仿宋_GB2312"/>
                <w:sz w:val="21"/>
                <w:szCs w:val="21"/>
                <w:color w:val="000000"/>
              </w:rPr>
              <w:t>[18] ROSS S, GORDON G, BAGNELL D. A Reduction of Imitation Learning and Structured Prediction to No-Regret Online Learning[C]//Proceedings of the Fourteenth International Conference on Artificial Intelligence and Statistics. PMLR, 2011, 15:627–635.</w:t>
            </w:r>
            <w:r>
              <w:br/>
            </w:r>
            <w:r>
              <w:rPr>
                <w:rFonts w:ascii="Times New Roman" w:hAnsi="Times New Roman" w:eastAsia="仿宋_GB2312"/>
                <w:sz w:val="21"/>
                <w:szCs w:val="21"/>
                <w:color w:val="000000"/>
              </w:rPr>
              <w:t>https://proceedings.mlr.press/v15/ross11a.html</w:t>
            </w:r>
          </w:p>
        </w:tc>
      </w:tr>
    </w:tbl>
    <w:p>
      <w:pPr>
        <w:pStyle w:val="Normal"/>
        <w:rPr>
          <w:rFonts w:eastAsia="黑体" w:hint="eastAsia"/>
          <w:sz w:val="24"/>
        </w:rPr>
      </w:pPr>
      <w:r>
        <w:rPr>
          <w:rFonts w:hint="eastAsia" w:eastAsia="黑体"/>
          <w:sz w:val="24"/>
        </w:rPr>
        <w:t>三、研究内容</w:t>
      </w:r>
    </w:p>
    <w:tbl>
      <w:tblPr>
        <w:tblW w:w="9828" w:type="dxa"/>
        <w:jc w:val="start"/>
        <w:tblInd w:w="0" w:type="dxa"/>
        <w:tblLayout w:type="fixed"/>
        <w:tblCellMar>
          <w:top w:w="0" w:type="dxa"/>
          <w:start w:w="108" w:type="dxa"/>
          <w:bottom w:w="0" w:type="dxa"/>
          <w:end w:w="108" w:type="dxa"/>
        </w:tblCellMar>
      </w:tblPr>
      <w:tblGrid>
        <w:gridCol w:w="9828"/>
      </w:tblGrid>
      <w:tr>
        <w:trPr/>
        <w:tc>
          <w:tcPr>
            <w:tcW w:w="9828" w:type="dxa"/>
            <w:tcBorders>
              <w:top w:val="single" w:sz="12" w:space="0" w:color="000000"/>
              <w:start w:val="single" w:sz="12" w:space="0" w:color="000000"/>
              <w:bottom w:val="single" w:sz="12" w:space="0" w:color="000000"/>
              <w:end w:val="single" w:sz="12" w:space="0" w:color="000000"/>
            </w:tcBorders>
          </w:tcPr>
          <w:p>
            <w:pPr>
              <w:pStyle w:val="Normal"/>
              <w:spacing w:before="120" w:after="0"/>
              <w:rPr>
                <w:rFonts w:eastAsia="黑体" w:hint="eastAsia"/>
                <w:sz w:val="24"/>
              </w:rPr>
            </w:pPr>
            <w:r>
              <w:rPr>
                <w:rFonts w:eastAsia="黑体" w:hint="eastAsia"/>
                <w:sz w:val="24"/>
              </w:rPr>
              <w:t xml:space="preserve">1．研究构想与思路、主要研究内容及拟解决的关键技术</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1.1 总体构想</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本课题围绕任务条件和执行历史怎样有效控制动作。MICA-VLA研究任务要求的保持与动作侧条件化，后续π0.5研究执行记忆及其物理回报。两部分可使用不同基座与本体，保留各自实验范围，不以跨模型SR差异归因新机制。</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当前图像、状态和任务进入共享VLM；模型选择槽位，工具返回所选记忆；模型输出保留、写入、纠正或撤销操作，再由同一VLM自回归生成含操作、对象和目标位置的子任务文本，以相应隐藏条件驱动连续动作专家。仿真执行产生新观测和任务后果。</w:t>
            </w:r>
          </w:p>
          <w:p xmlns:wpc="http://schemas.microsoft.com/office/word/2010/wordprocessingCanvas" xmlns:mo="http://schemas.microsoft.com/office/mac/office/2008/main" xmlns:mv="urn:schemas-microsoft-com:mac:vml" xmlns:m="http://schemas.openxmlformats.org/officeDocument/2006/math" xmlns:wpi="http://schemas.microsoft.com/office/word/2010/wordprocessingInk" xmlns:wne="http://schemas.microsoft.com/office/word/2006/wordml">
            <w:pPr>
              <w:jc w:val="center"/>
              <w:keepNext w:val="1"/>
              <w:keepLines w:val="1"/>
              <w:spacing w:before="80" w:after="40"/>
            </w:pPr>
            <w:r>
              <w:drawing>
                <wp:inline xmlns:a="http://schemas.openxmlformats.org/drawingml/2006/main">
                  <wp:extent cx="5687568" cy="3910203"/>
                  <wp:docPr id="103" name="图3-自身VLM记忆与子任务生成" descr="图3 π0.5自身VLM的记忆与子任务生成框架。READ、WRITE及子任务文本自回归生成复用同一参数，不设固定子任务库或技能ID选择。生成子任务后的隐藏K/V条件化连续专家，首轮仅限已验收动作能力。左侧为既有RM65-B仿真，右侧为AI概念场景。"/>
                  <wp:cNvGraphicFramePr>
                    <a:graphicFrameLocks noChangeAspect="1"/>
                  </wp:cNvGraphicFramePr>
                  <a:graphic>
                    <a:graphicData uri="http://schemas.openxmlformats.org/drawingml/2006/picture">
                      <pic:pic>
                        <pic:nvPicPr>
                          <pic:cNvPr id="0" name="图3-共享VLM执行框架.png"/>
                          <pic:cNvPicPr/>
                        </pic:nvPicPr>
                        <pic:blipFill>
                          <a:blip r:embed="rIdProposalFigure3"/>
                          <a:stretch>
                            <a:fillRect/>
                          </a:stretch>
                        </pic:blipFill>
                        <pic:spPr>
                          <a:xfrm>
                            <a:off x="0" y="0"/>
                            <a:ext cx="5687568" cy="3910203"/>
                          </a:xfrm>
                          <a:prstGeom prst="rect"/>
                        </pic:spPr>
                      </pic:pic>
                    </a:graphicData>
                  </a:graphic>
                </wp:inline>
              </w:drawing>
            </w:r>
          </w:p>
          <w:p>
            <w:pPr>
              <w:pStyle w:val="Normal"/>
              <w:spacing w:before="0" w:after="20" w:line="336" w:lineRule="exact"/>
              <w:rPr>
                <w:rFonts w:eastAsia="黑体" w:hint="eastAsia"/>
                <w:sz w:val="24"/>
              </w:rPr>
              <w:ind w:firstLine="0" w:firstLineChars="0"/>
              <w:jc w:val="both"/>
              <w:keepNext w:val="0"/>
              <w:keepLines w:val="0"/>
              <w:widowControl w:val="1"/>
              <w:wordWrap w:val="0"/>
            </w:pPr>
            <w:r>
              <w:rPr>
                <w:rFonts w:ascii="Times New Roman" w:hAnsi="Times New Roman" w:eastAsia="仿宋_GB2312"/>
                <w:sz w:val="24"/>
                <w:szCs w:val="24"/>
                <w:color w:val="000000"/>
              </w:rPr>
              <w:t>图3 π0.5自身VLM的记忆与子任务生成框架。READ、WRITE及子任务文本自回归生成复用同一参数，不设固定子任务库或技能ID选择。生成子任务后的隐藏K/V条件化连续专家，首轮仅限已验收动作能力。左侧为既有RM65-B仿真，右侧为AI概念场景。</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1.2 主要研究内容</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研究内容一为任务要求驱动的条件控制。整理MICA-VLA的指令参考选择、动作侧语义条件化与组件实验，分析措辞、对象与角色的作用。PSM是指令语义锚，不等同episode进度记忆；LACE和LIBERO-Para结果按原本体、任务与投稿状态形成前期章节。</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研究内容二为共享VLM联合学习。构建受限记忆读写协议与生成式子任务接口，经监督暖启动输出合法操作和子任务文本。高层生成和FAST动作token以阶段回报条件化CE学习，连续专家以知识隔离下的FM学习，独立价值模型根据执行回报训练。该RECAP扩展先作为可运行基线验收。</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研究内容三为动作失误下的记忆信用校准。从少量可重建的交接状态，只改变读写操作，固定后续策略参数进行成对续跑，允许下游决策随记忆变化。以可信回报差构造偏好，检验其能否减少运动失误对记忆评价的污染，再检查专家更新后的偏好失效与有限刷新收益。</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1.3 拟解决的关键问题</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第一是信息边界。读取前仅展示固定槽位目录；高层和动作使用所选记录及本轮写入，不绕过检索看到全部正文。仿真真值仅用于回报、标签和验收，未来质量条件不存入长期记忆。</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第二是阶段回报与梯度。按实际持续时长计算高层和动作优势，区分终止与截断；文本及FAST更新VLM，FM更新专家并在主干K/V条件处停止梯度。分路学习不自动保证策略改善。</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第三是信用可辨识性。一次失败不能直接证明记忆错误。需验证起点重建、策略版本、候选支持及随机误差，区分相对效用差与无偏优势，控制不确定标签和采样成本。</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1.4 已有贡献与拟创新点</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已有贡献为MICA-VLA的任务条件控制。拟创新重点是物理后果记忆信用：在可比起点、相同后续参数下，以真实续跑评价读写对任务可完成性的作用。是否优于共享回报，由同数据、同成本实验决定。</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另一候选拓展是策略变化下的信用校准：统计专家更新后旧偏好的排序变化，比较固定与刷新标签，在核心机制成立后开展；版本记录不等于解决一般off-policy问题。</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评价协议区分记忆通道、监督、回报条件化及信用辅助的收益。共享VLM、RECAP、知识隔离、DPO与LoRA均为已有基础，不单列原创，目前不主张首创或收敛保证。</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1.5 研究假设与证据安排</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第一层证据回答记忆是否必要。应先构造当前观测近似一致、正确下一步不同的交接状态，对照当前帧、短窗口、规则历史与学习记忆。只有排除可见位置、目录和时间等进度捷径后，才能把后续提升解释为历史使用能力；这一步不能由任务名称中的“长程”代替。</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第二层证据回答信用是否更可靠。相同分支轨迹同时供给普通联合RECAP与信用辅助训练，比较读写偏好、整程SR及基础技能保持。若新增方法只因看到了更多失败和恢复样本而提高，则不能归因于信用目标。第三层证据回答旧评价是否过期，先确认执行能力有实际变化，再测偏好排序和刷新成本，不按训练轮数机械假定非平稳问题存在。</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拟形成的成果包括前期条件控制章节、共享VLM联合学习实现、受控干式流程与评测协议，以及至少一项有充分对照的信用机制结论。算法与协议能否达到论文级新颖性仍需持续近邻审查和实验，不能以开题时的框架图预先保证。</w:t>
            </w:r>
          </w:p>
        </w:tc>
      </w:tr>
    </w:tbl>
    <w:p>
      <w:pPr>
        <w:pStyle w:val="Normal"/>
        <w:spacing w:before="0" w:after="20" w:line="30" w:lineRule="exact"/>
        <w:rPr>
          <w:rFonts w:eastAsia="黑体" w:hint="eastAsia"/>
          <w:sz w:val="24"/>
        </w:rPr>
        <w:ind w:firstLine="0" w:firstLineChars="0"/>
        <w:jc w:val="left"/>
        <w:keepNext w:val="1"/>
        <w:keepLines w:val="0"/>
        <w:widowControl w:val="1"/>
        <w:wordWrap w:val="0"/>
      </w:pPr>
      <w:r>
        <w:rPr>
          <w:rFonts w:ascii="Times New Roman" w:hAnsi="Times New Roman" w:eastAsia="仿宋_GB2312"/>
          <w:sz w:val="2"/>
          <w:szCs w:val="2"/>
          <w:color w:val="000000"/>
        </w:rPr>
        <w:t/>
      </w:r>
    </w:p>
    <w:tbl>
      <w:tblPr>
        <w:tblW w:w="9828" w:type="dxa"/>
        <w:jc w:val="start"/>
        <w:tblInd w:w="0" w:type="dxa"/>
        <w:tblLayout w:type="fixed"/>
        <w:tblCellMar>
          <w:top w:w="0" w:type="dxa"/>
          <w:start w:w="108" w:type="dxa"/>
          <w:bottom w:w="0" w:type="dxa"/>
          <w:end w:w="108" w:type="dxa"/>
        </w:tblCellMar>
      </w:tblPr>
      <w:tblGrid>
        <w:gridCol w:w="9828"/>
      </w:tblGrid>
      <w:tr>
        <w:trPr/>
        <w:tc>
          <w:tcPr>
            <w:tcW w:w="9828" w:type="dxa"/>
            <w:tcBorders>
              <w:top w:val="single" w:sz="12" w:space="0" w:color="000000"/>
              <w:start w:val="single" w:sz="12" w:space="0" w:color="000000"/>
              <w:bottom w:val="single" w:sz="12" w:space="0" w:color="000000"/>
              <w:end w:val="single" w:sz="12" w:space="0" w:color="000000"/>
            </w:tcBorders>
          </w:tcPr>
          <w:p>
            <w:pPr>
              <w:pStyle w:val="Normal"/>
              <w:spacing w:before="120" w:after="0"/>
              <w:rPr>
                <w:rFonts w:eastAsia="黑体" w:hint="eastAsia"/>
                <w:sz w:val="24"/>
              </w:rPr>
            </w:pPr>
            <w:r>
              <w:rPr>
                <w:rFonts w:eastAsia="黑体" w:hint="eastAsia"/>
                <w:sz w:val="24"/>
              </w:rPr>
              <w:t xml:space="preserve">2．拟采取的研究方法、技术路线、实施方案及可行性分析</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2.1 面向部分可观测操作的分层问题建模</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本研究拟将实验室多步骤操作表述为具有显式内部记忆的部分可观测决策问题[15]。真实状态包括机器人关节与末端状态、器皿位姿和速度、接触关系以及样品处理进度；机器人只能通过三路RGB、本体状态和已有执行记录获得不完整观测。当前图像相近并不意味着任务状态相同。例如，样品核验后被放回原位，外观可能接近初始场景，但下一步应处理的样品已经改变。采用显式记忆的目的，是保存这些不能由当前图像可靠恢复的历史事实，而不是把所有历史帧无限拼接到输入。</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记物理控制时刻为</w:t>
            </w:r>
            <w:r>
              <w:rPr>
                <w:rFonts w:ascii="Times New Roman" w:hAnsi="Times New Roman" w:eastAsia="Times New Roman" w:cs="Times New Roman"/>
                <w:i w:val="1"/>
                <w:iCs w:val="1"/>
                <w:sz w:val="24"/>
                <w:szCs w:val="24"/>
              </w:rPr>
              <w:t>t</w:t>
            </w:r>
            <w:r>
              <w:rPr>
                <w:rFonts w:ascii="Times New Roman" w:hAnsi="Times New Roman" w:eastAsia="仿宋_GB2312"/>
                <w:sz w:val="24"/>
                <w:szCs w:val="24"/>
                <w:color w:val="000000"/>
              </w:rPr>
              <w:t>，高层决策边界为</w:t>
            </w:r>
            <w:r>
              <w:rPr>
                <w:rFonts w:ascii="Times New Roman" w:hAnsi="Times New Roman" w:eastAsia="Times New Roman" w:cs="Times New Roman"/>
                <w:i w:val="1"/>
                <w:iCs w:val="1"/>
                <w:sz w:val="24"/>
                <w:szCs w:val="24"/>
              </w:rPr>
              <w:t>t</w:t>
            </w:r>
            <w:r>
              <w:rPr>
                <w:rFonts w:ascii="Times New Roman" w:hAnsi="Times New Roman" w:eastAsia="Times New Roman" w:cs="Times New Roman"/>
                <w:i w:val="1"/>
                <w:iCs w:val="1"/>
                <w:sz w:val="24"/>
                <w:szCs w:val="24"/>
                <w:vertAlign w:val="subscript"/>
              </w:rPr>
              <w:t>k</w:t>
            </w:r>
            <w:r>
              <w:rPr>
                <w:rFonts w:ascii="Times New Roman" w:hAnsi="Times New Roman" w:eastAsia="仿宋_GB2312"/>
                <w:sz w:val="24"/>
                <w:szCs w:val="24"/>
                <w:color w:val="000000"/>
              </w:rPr>
              <w:t>，外部记忆库为</w:t>
            </w:r>
            <w:r>
              <w:rPr>
                <w:rFonts w:ascii="Times New Roman" w:hAnsi="Times New Roman" w:eastAsia="Times New Roman" w:cs="Times New Roman"/>
                <w:i w:val="1"/>
                <w:iCs w:val="1"/>
                <w:sz w:val="24"/>
                <w:szCs w:val="24"/>
              </w:rPr>
              <w:t>M</w:t>
            </w:r>
            <w:r>
              <w:rPr>
                <w:rFonts w:ascii="Times New Roman" w:hAnsi="Times New Roman" w:eastAsia="Times New Roman" w:cs="Times New Roman"/>
                <w:i w:val="1"/>
                <w:iCs w:val="1"/>
                <w:sz w:val="24"/>
                <w:szCs w:val="24"/>
                <w:vertAlign w:val="subscript"/>
              </w:rPr>
              <w:t>k</w:t>
            </w:r>
            <w:r>
              <w:rPr>
                <w:rFonts w:ascii="Times New Roman" w:hAnsi="Times New Roman" w:eastAsia="仿宋_GB2312"/>
                <w:sz w:val="24"/>
                <w:szCs w:val="24"/>
                <w:color w:val="000000"/>
              </w:rPr>
              <w:t>，有限可见历史、总任务与槽位目录构成</w:t>
            </w:r>
            <w:r>
              <w:rPr>
                <w:rFonts w:ascii="Times New Roman" w:hAnsi="Times New Roman" w:eastAsia="Times New Roman" w:cs="Times New Roman"/>
                <w:i w:val="1"/>
                <w:iCs w:val="1"/>
                <w:sz w:val="24"/>
                <w:szCs w:val="24"/>
              </w:rPr>
              <w:t>b</w:t>
            </w:r>
            <w:r>
              <w:rPr>
                <w:rFonts w:ascii="Times New Roman" w:hAnsi="Times New Roman" w:eastAsia="Times New Roman" w:cs="Times New Roman"/>
                <w:i w:val="1"/>
                <w:iCs w:val="1"/>
                <w:sz w:val="24"/>
                <w:szCs w:val="24"/>
                <w:vertAlign w:val="subscript"/>
              </w:rPr>
              <w:t>k</w:t>
            </w:r>
            <w:r>
              <w:rPr>
                <w:rFonts w:ascii="Times New Roman" w:hAnsi="Times New Roman" w:eastAsia="仿宋_GB2312"/>
                <w:sz w:val="24"/>
                <w:szCs w:val="24"/>
                <w:color w:val="000000"/>
              </w:rPr>
              <w:t>。高层输出读集合</w:t>
            </w:r>
            <w:r>
              <w:rPr>
                <w:rFonts w:ascii="Times New Roman" w:hAnsi="Times New Roman" w:eastAsia="Times New Roman" w:cs="Times New Roman"/>
                <w:i w:val="1"/>
                <w:iCs w:val="1"/>
                <w:sz w:val="24"/>
                <w:szCs w:val="24"/>
              </w:rPr>
              <w:t>R</w:t>
            </w:r>
            <w:r>
              <w:rPr>
                <w:rFonts w:ascii="Times New Roman" w:hAnsi="Times New Roman" w:eastAsia="Times New Roman" w:cs="Times New Roman"/>
                <w:i w:val="1"/>
                <w:iCs w:val="1"/>
                <w:sz w:val="24"/>
                <w:szCs w:val="24"/>
                <w:vertAlign w:val="subscript"/>
              </w:rPr>
              <w:t>k</w:t>
            </w:r>
            <w:r>
              <w:rPr>
                <w:rFonts w:ascii="Times New Roman" w:hAnsi="Times New Roman" w:eastAsia="仿宋_GB2312"/>
                <w:sz w:val="24"/>
                <w:szCs w:val="24"/>
                <w:color w:val="000000"/>
              </w:rPr>
              <w:t>、记忆操作</w:t>
            </w:r>
            <w:r>
              <w:rPr>
                <w:rFonts w:ascii="Times New Roman" w:hAnsi="Times New Roman" w:eastAsia="Times New Roman" w:cs="Times New Roman"/>
                <w:i w:val="1"/>
                <w:iCs w:val="1"/>
                <w:sz w:val="24"/>
                <w:szCs w:val="24"/>
              </w:rPr>
              <w:t>W</w:t>
            </w:r>
            <w:r>
              <w:rPr>
                <w:rFonts w:ascii="Times New Roman" w:hAnsi="Times New Roman" w:eastAsia="Times New Roman" w:cs="Times New Roman"/>
                <w:i w:val="1"/>
                <w:iCs w:val="1"/>
                <w:sz w:val="24"/>
                <w:szCs w:val="24"/>
                <w:vertAlign w:val="subscript"/>
              </w:rPr>
              <w:t>k</w:t>
            </w:r>
            <w:r>
              <w:rPr>
                <w:rFonts w:ascii="Times New Roman" w:hAnsi="Times New Roman" w:eastAsia="仿宋_GB2312"/>
                <w:sz w:val="24"/>
                <w:szCs w:val="24"/>
                <w:color w:val="000000"/>
              </w:rPr>
              <w:t>和下一子任务</w:t>
            </w:r>
            <w:r>
              <w:rPr>
                <w:rFonts w:ascii="Times New Roman" w:hAnsi="Times New Roman" w:eastAsia="Times New Roman" w:cs="Times New Roman"/>
                <w:i w:val="1"/>
                <w:iCs w:val="1"/>
                <w:sz w:val="24"/>
                <w:szCs w:val="24"/>
              </w:rPr>
              <w:t>ℓ</w:t>
            </w:r>
            <w:r>
              <w:rPr>
                <w:rFonts w:ascii="Times New Roman" w:hAnsi="Times New Roman" w:eastAsia="Times New Roman" w:cs="Times New Roman"/>
                <w:i w:val="1"/>
                <w:iCs w:val="1"/>
                <w:sz w:val="24"/>
                <w:szCs w:val="24"/>
                <w:vertAlign w:val="subscript"/>
              </w:rPr>
              <w:t>k</w:t>
            </w:r>
            <w:r>
              <w:rPr>
                <w:rFonts w:ascii="Times New Roman" w:hAnsi="Times New Roman" w:eastAsia="仿宋_GB2312"/>
                <w:sz w:val="24"/>
                <w:szCs w:val="24"/>
                <w:color w:val="000000"/>
              </w:rPr>
              <w:t>，合记为</w:t>
            </w:r>
            <w:r>
              <w:rPr>
                <w:rFonts w:ascii="Times New Roman" w:hAnsi="Times New Roman" w:eastAsia="Times New Roman" w:cs="Times New Roman"/>
                <w:i w:val="1"/>
                <w:iCs w:val="1"/>
                <w:sz w:val="24"/>
                <w:szCs w:val="24"/>
              </w:rPr>
              <w:t>U</w:t>
            </w:r>
            <w:r>
              <w:rPr>
                <w:rFonts w:ascii="Times New Roman" w:hAnsi="Times New Roman" w:eastAsia="Times New Roman" w:cs="Times New Roman"/>
                <w:i w:val="1"/>
                <w:iCs w:val="1"/>
                <w:sz w:val="24"/>
                <w:szCs w:val="24"/>
                <w:vertAlign w:val="subscript"/>
              </w:rPr>
              <w:t>k</w:t>
            </w:r>
            <w:r>
              <w:rPr>
                <w:rFonts w:ascii="Times New Roman" w:hAnsi="Times New Roman" w:eastAsia="Times New Roman" w:cs="Times New Roman"/>
                <w:i w:val="0"/>
                <w:iCs w:val="0"/>
                <w:sz w:val="24"/>
                <w:szCs w:val="24"/>
              </w:rPr>
              <w:t>=(</w:t>
            </w:r>
            <w:r>
              <w:rPr>
                <w:rFonts w:ascii="Times New Roman" w:hAnsi="Times New Roman" w:eastAsia="Times New Roman" w:cs="Times New Roman"/>
                <w:i w:val="1"/>
                <w:iCs w:val="1"/>
                <w:sz w:val="24"/>
                <w:szCs w:val="24"/>
              </w:rPr>
              <w:t>R</w:t>
            </w:r>
            <w:r>
              <w:rPr>
                <w:rFonts w:ascii="Times New Roman" w:hAnsi="Times New Roman" w:eastAsia="Times New Roman" w:cs="Times New Roman"/>
                <w:i w:val="1"/>
                <w:iCs w:val="1"/>
                <w:sz w:val="24"/>
                <w:szCs w:val="24"/>
                <w:vertAlign w:val="subscript"/>
              </w:rPr>
              <w:t>k</w:t>
            </w:r>
            <w:r>
              <w:rPr>
                <w:rFonts w:ascii="Times New Roman" w:hAnsi="Times New Roman" w:eastAsia="Times New Roman" w:cs="Times New Roman"/>
                <w:i w:val="0"/>
                <w:iCs w:val="0"/>
                <w:sz w:val="24"/>
                <w:szCs w:val="24"/>
              </w:rPr>
              <w:t>, </w:t>
            </w:r>
            <w:r>
              <w:rPr>
                <w:rFonts w:ascii="Times New Roman" w:hAnsi="Times New Roman" w:eastAsia="Times New Roman" w:cs="Times New Roman"/>
                <w:i w:val="1"/>
                <w:iCs w:val="1"/>
                <w:sz w:val="24"/>
                <w:szCs w:val="24"/>
              </w:rPr>
              <w:t>W</w:t>
            </w:r>
            <w:r>
              <w:rPr>
                <w:rFonts w:ascii="Times New Roman" w:hAnsi="Times New Roman" w:eastAsia="Times New Roman" w:cs="Times New Roman"/>
                <w:i w:val="1"/>
                <w:iCs w:val="1"/>
                <w:sz w:val="24"/>
                <w:szCs w:val="24"/>
                <w:vertAlign w:val="subscript"/>
              </w:rPr>
              <w:t>k</w:t>
            </w:r>
            <w:r>
              <w:rPr>
                <w:rFonts w:ascii="Times New Roman" w:hAnsi="Times New Roman" w:eastAsia="Times New Roman" w:cs="Times New Roman"/>
                <w:i w:val="0"/>
                <w:iCs w:val="0"/>
                <w:sz w:val="24"/>
                <w:szCs w:val="24"/>
              </w:rPr>
              <w:t>, </w:t>
            </w:r>
            <w:r>
              <w:rPr>
                <w:rFonts w:ascii="Times New Roman" w:hAnsi="Times New Roman" w:eastAsia="Times New Roman" w:cs="Times New Roman"/>
                <w:i w:val="1"/>
                <w:iCs w:val="1"/>
                <w:sz w:val="24"/>
                <w:szCs w:val="24"/>
              </w:rPr>
              <w:t>ℓ</w:t>
            </w:r>
            <w:r>
              <w:rPr>
                <w:rFonts w:ascii="Times New Roman" w:hAnsi="Times New Roman" w:eastAsia="Times New Roman" w:cs="Times New Roman"/>
                <w:i w:val="1"/>
                <w:iCs w:val="1"/>
                <w:sz w:val="24"/>
                <w:szCs w:val="24"/>
                <w:vertAlign w:val="subscript"/>
              </w:rPr>
              <w:t>k</w:t>
            </w:r>
            <w:r>
              <w:rPr>
                <w:rFonts w:ascii="Times New Roman" w:hAnsi="Times New Roman" w:eastAsia="Times New Roman" w:cs="Times New Roman"/>
                <w:i w:val="0"/>
                <w:iCs w:val="0"/>
                <w:sz w:val="24"/>
                <w:szCs w:val="24"/>
              </w:rPr>
              <w:t>)</w:t>
            </w:r>
            <w:r>
              <w:rPr>
                <w:rFonts w:ascii="Times New Roman" w:hAnsi="Times New Roman" w:eastAsia="仿宋_GB2312"/>
                <w:sz w:val="24"/>
                <w:szCs w:val="24"/>
                <w:color w:val="000000"/>
              </w:rPr>
              <w:t>。低层策略根据当前观测、已选记忆及子任务生成连续动作块。由于一次子任务或执行窗持续多个控制步，高层适合借鉴半马尔可夫时间抽象处理持续时长[16]；有限历史和压缩记忆仅是对信念状态的近似，研究不预设其已恢复严格Markov性。</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2.2 受限的记忆语法与信息流</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初版拟采用固定槽位目录，每个槽位只公开ID及主题，例如“样品A进度”“当前持物”“最近失败”。READ输出不超过预算的槽位ID或NONE，确定性检索工具再返回对应正文。目录不随“是否已完成”决定槽位存在与否，避免模型不读取正文也能从目录推断任务进度。工具返回正文是条件输入，不作为模型需要预测的文本标签。</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WRITE采用KEEP、WRITE、CORRECT、REVOKE四类操作，并携带槽位、取值和确认状态。KEEP维持记录，WRITE增加有证据的新事实，CORRECT修正已有记录，REVOKE将失效事实标为未知。物体位置变化不应自动撤销“已完成核验”；反之，选中了核验子任务也不能直接写入“核验完成”。完成事实的形成必须依赖实际可见执行证据，仿真内部真值仅用于奖励与评估。初版保留固定高层节奏与最长执行窗，不同时学习技能终止和检查时刻，以控制实现范围。</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写操作通过确定性函数更新记忆库，并形成由已读正文及本轮修改构成的可见视图</w:t>
            </w:r>
            <w:r>
              <w:rPr>
                <w:rFonts w:ascii="Times New Roman" w:hAnsi="Times New Roman" w:eastAsia="Times New Roman" w:cs="Times New Roman"/>
                <w:i w:val="1"/>
                <w:iCs w:val="1"/>
                <w:sz w:val="24"/>
                <w:szCs w:val="24"/>
              </w:rPr>
              <w:t>C</w:t>
            </w:r>
            <w:r>
              <w:rPr>
                <w:rFonts w:ascii="Times New Roman" w:hAnsi="Times New Roman" w:eastAsia="Times New Roman" w:cs="Times New Roman"/>
                <w:i w:val="1"/>
                <w:iCs w:val="1"/>
                <w:sz w:val="24"/>
                <w:szCs w:val="24"/>
                <w:vertAlign w:val="subscript"/>
              </w:rPr>
              <w:t>k</w:t>
            </w:r>
            <w:r>
              <w:rPr>
                <w:rFonts w:ascii="Times New Roman" w:hAnsi="Times New Roman" w:eastAsia="Times New Roman" w:cs="Times New Roman"/>
                <w:i w:val="0"/>
                <w:iCs w:val="0"/>
                <w:sz w:val="24"/>
                <w:szCs w:val="24"/>
                <w:vertAlign w:val="superscript"/>
              </w:rPr>
              <w:t>+</w:t>
            </w:r>
            <w:r>
              <w:rPr>
                <w:rFonts w:ascii="Times New Roman" w:hAnsi="Times New Roman" w:eastAsia="仿宋_GB2312"/>
                <w:sz w:val="24"/>
                <w:szCs w:val="24"/>
                <w:color w:val="000000"/>
              </w:rPr>
              <w:t>。后续子任务生成和动作专家只读取该视图，不另行获得完整记忆正文。不采用固定子任务库检索或技能ID分类头，子任务以自然语言生成。首轮仅限制动作能力为已完成示范和行为验收的2—3类操作，不将这一区间变成子任务词汇白名单。episode结束清空记忆，防止不同任务的信息混入。记录真实token开销，并对各方法使用相同目录、上下文与检索预算。</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2.3 共享VLM的联合策略</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上述读、写和子任务生成拟由同一π0.5视觉语言主干分阶段完成，不额外部署一个完整规划VLM。其联合概率可分解为：</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子任务文本按token自回归生成，可表达操作、对象和目标位置，不从预设候选指令表中检索，也不输出技能类别ID。READ／WRITE仍采用明确的工具协议，生成文本则作为后续动作条件。文本生成的表达范围与专家实际掌握的动作能力分开验收；新措辞、新对象组合或新顺序不自动意味着学会新接触技能。</w:t>
            </w:r>
          </w:p>
          <w:p>
            <w:pPr>
              <w:pStyle w:val="Normal"/>
              <w:rPr>
                <w:rFonts w:eastAsia="黑体" w:hint="eastAsia"/>
                <w:sz w:val="24"/>
              </w:rPr>
              <w:keepNext w:val="0"/>
              <w:widowControl w:val="1"/>
              <w:wordWrap w:val="0"/>
              <w:tabs>
                <w:tab w:val="center" w:pos="4650"/>
                <w:tab w:val="right" w:pos="9500"/>
              </w:tabs>
              <w:ind w:left="0" w:right="0" w:firstLine="0"/>
              <w:jc w:val="left"/>
              <w:spacing w:before="80" w:after="80" w:line="280" w:lineRule="atLeast"/>
              <w:keepLines w:val="1"/>
              <w:snapToGrid w:val="0"/>
            </w:pPr>
            <w:r>
              <w:tab/>
            </w:r>
            <w:r xmlns:wpc="http://schemas.microsoft.com/office/word/2010/wordprocessingCanvas" xmlns:mo="http://schemas.microsoft.com/office/mac/office/2008/main" xmlns:mv="urn:schemas-microsoft-com:mac:vml" xmlns:m="http://schemas.openxmlformats.org/officeDocument/2006/math" xmlns:wpi="http://schemas.microsoft.com/office/word/2010/wordprocessingInk" xmlns:wne="http://schemas.microsoft.com/office/word/2006/wordml">
              <w:drawing>
                <wp:inline xmlns:a="http://schemas.openxmlformats.org/drawingml/2006/main">
                  <wp:extent cx="2933446" cy="401320"/>
                  <wp:docPr id="801" name="Equation 1" descr="\begin{aligned}&#10;p_\theta(U_k\mid\cdot)&#10;&amp;=p_\theta(R_k\mid\cdot)\\&#10;&amp;\quad\times p_\theta(W_k\mid R_k,\cdot)\,&#10;p_\theta(\ell_k\mid R_k,W_k,\cdot)&#10;\end{aligned}\tag{1}"/>
                  <wp:cNvGraphicFramePr>
                    <a:graphicFrameLocks noChangeAspect="1"/>
                  </wp:cNvGraphicFramePr>
                  <a:graphic>
                    <a:graphicData uri="http://schemas.openxmlformats.org/drawingml/2006/picture">
                      <pic:pic>
                        <pic:nvPicPr>
                          <pic:cNvPr id="0" name="equation-1.png"/>
                          <pic:cNvPicPr/>
                        </pic:nvPicPr>
                        <pic:blipFill>
                          <a:blip r:embed="rIdWpsEquation1"/>
                          <a:stretch>
                            <a:fillRect/>
                          </a:stretch>
                        </pic:blipFill>
                        <pic:spPr>
                          <a:xfrm>
                            <a:off x="0" y="0"/>
                            <a:ext cx="2933446" cy="401320"/>
                          </a:xfrm>
                          <a:prstGeom prst="rect"/>
                        </pic:spPr>
                      </pic:pic>
                    </a:graphicData>
                  </a:graphic>
                </wp:inline>
              </w:drawing>
            </w:r>
            <w:r>
              <w:tab/>
            </w:r>
            <w:r>
              <w:rPr>
                <w:rFonts w:ascii="Times New Roman" w:hAnsi="Times New Roman" w:eastAsia="Times New Roman" w:cs="Times New Roman"/>
                <w:i w:val="0"/>
                <w:iCs w:val="0"/>
                <w:sz w:val="24"/>
                <w:szCs w:val="24"/>
                <w:position w:val="24"/>
              </w:rPr>
              <w:t>(1)</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其中点号省略各阶段对应的可见条件：第一项只含目录，第二项加入检索正文，第三项加入本轮更新后的可见视图，不表示各项都提前读取完整记忆。高层条件</w:t>
            </w:r>
            <w:r>
              <w:rPr>
                <w:rFonts w:ascii="Times New Roman" w:hAnsi="Times New Roman" w:eastAsia="Times New Roman" w:cs="Times New Roman"/>
                <w:i w:val="1"/>
                <w:iCs w:val="1"/>
                <w:sz w:val="24"/>
                <w:szCs w:val="24"/>
              </w:rPr>
              <w:t>I</w:t>
            </w:r>
            <w:r>
              <w:rPr>
                <w:rFonts w:ascii="Times New Roman" w:hAnsi="Times New Roman" w:eastAsia="Times New Roman" w:cs="Times New Roman"/>
                <w:i w:val="1"/>
                <w:iCs w:val="1"/>
                <w:sz w:val="24"/>
                <w:szCs w:val="24"/>
                <w:vertAlign w:val="subscript"/>
              </w:rPr>
              <w:t>k</w:t>
            </w:r>
            <w:r>
              <w:rPr>
                <w:rFonts w:ascii="Times New Roman" w:hAnsi="Times New Roman" w:eastAsia="Times New Roman" w:cs="Times New Roman"/>
                <w:i w:val="0"/>
                <w:iCs w:val="0"/>
                <w:sz w:val="24"/>
                <w:szCs w:val="24"/>
                <w:vertAlign w:val="superscript"/>
              </w:rPr>
              <w:t>H</w:t>
            </w:r>
            <w:r>
              <w:rPr>
                <w:rFonts w:ascii="Times New Roman" w:hAnsi="Times New Roman" w:eastAsia="仿宋_GB2312"/>
                <w:sz w:val="24"/>
                <w:szCs w:val="24"/>
                <w:color w:val="000000"/>
              </w:rPr>
              <w:t>放在READ之前；动作条件</w:t>
            </w:r>
            <w:r>
              <w:rPr>
                <w:rFonts w:ascii="Times New Roman" w:hAnsi="Times New Roman" w:eastAsia="Times New Roman" w:cs="Times New Roman"/>
                <w:i w:val="1"/>
                <w:iCs w:val="1"/>
                <w:sz w:val="24"/>
                <w:szCs w:val="24"/>
              </w:rPr>
              <w:t>I</w:t>
            </w:r>
            <w:r>
              <w:rPr>
                <w:rFonts w:ascii="Times New Roman" w:hAnsi="Times New Roman" w:eastAsia="Times New Roman" w:cs="Times New Roman"/>
                <w:i w:val="1"/>
                <w:iCs w:val="1"/>
                <w:sz w:val="24"/>
                <w:szCs w:val="24"/>
                <w:vertAlign w:val="subscript"/>
              </w:rPr>
              <w:t>t</w:t>
            </w:r>
            <w:r>
              <w:rPr>
                <w:rFonts w:ascii="Times New Roman" w:hAnsi="Times New Roman" w:eastAsia="Times New Roman" w:cs="Times New Roman"/>
                <w:i w:val="0"/>
                <w:iCs w:val="0"/>
                <w:sz w:val="24"/>
                <w:szCs w:val="24"/>
                <w:vertAlign w:val="superscript"/>
              </w:rPr>
              <w:t>A</w:t>
            </w:r>
            <w:r>
              <w:rPr>
                <w:rFonts w:ascii="Times New Roman" w:hAnsi="Times New Roman" w:eastAsia="仿宋_GB2312"/>
                <w:sz w:val="24"/>
                <w:szCs w:val="24"/>
                <w:color w:val="000000"/>
              </w:rPr>
              <w:t>放在子任务之后、FAST与连续动作分支之前。因果mask保证READ不偷看未来标签，连续专家不读取FAST答案。该设计首先是联合学习基线，不能独立视为已成立的算法创新。</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2.4 同一任务目标下的两种信用时间尺度</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奖励拟由整程完成收益、真实执行时间和操作错误成本构成，必要时加入各方法一致的读写预算成本。成功判定由环境协议给出，不由模型自报完成触发。高层评价从本次读写和子任务文本生成直到下一决策边界的后果；动作层评价当前动作执行窗。若使用折扣，统一到实际控制时钟，高层优势候选为：</w:t>
            </w:r>
          </w:p>
          <w:p>
            <w:pPr>
              <w:pStyle w:val="Normal"/>
              <w:rPr>
                <w:rFonts w:eastAsia="黑体" w:hint="eastAsia"/>
                <w:sz w:val="24"/>
              </w:rPr>
              <w:keepNext w:val="0"/>
              <w:widowControl w:val="1"/>
              <w:wordWrap w:val="0"/>
              <w:tabs>
                <w:tab w:val="center" w:pos="4650"/>
                <w:tab w:val="right" w:pos="9500"/>
              </w:tabs>
              <w:ind w:left="0" w:right="0" w:firstLine="0"/>
              <w:jc w:val="left"/>
              <w:spacing w:before="80" w:after="80" w:line="280" w:lineRule="atLeast"/>
              <w:keepLines w:val="1"/>
              <w:snapToGrid w:val="0"/>
            </w:pPr>
            <w:r>
              <w:tab/>
            </w:r>
            <w:r xmlns:wpc="http://schemas.microsoft.com/office/word/2010/wordprocessingCanvas" xmlns:mo="http://schemas.microsoft.com/office/mac/office/2008/main" xmlns:mv="urn:schemas-microsoft-com:mac:vml" xmlns:m="http://schemas.openxmlformats.org/officeDocument/2006/math" xmlns:wpi="http://schemas.microsoft.com/office/word/2010/wordprocessingInk" xmlns:wne="http://schemas.microsoft.com/office/word/2006/wordml">
              <w:drawing>
                <wp:inline xmlns:a="http://schemas.openxmlformats.org/drawingml/2006/main">
                  <wp:extent cx="2830179" cy="524916"/>
                  <wp:docPr id="802" name="Equation 2" descr="\hat A_k^{\mathrm H}&#10;=\sum_{j=0}^{\Delta_k-1}\gamma^j r_{t_k+j}&#10;+\gamma^{\Delta_k}V_{\mathrm H}(\bar b_{k+1})&#10;-V_{\mathrm H}(\bar b_k)\tag{2}"/>
                  <wp:cNvGraphicFramePr>
                    <a:graphicFrameLocks noChangeAspect="1"/>
                  </wp:cNvGraphicFramePr>
                  <a:graphic>
                    <a:graphicData uri="http://schemas.openxmlformats.org/drawingml/2006/picture">
                      <pic:pic>
                        <pic:nvPicPr>
                          <pic:cNvPr id="0" name="equation-2.png"/>
                          <pic:cNvPicPr/>
                        </pic:nvPicPr>
                        <pic:blipFill>
                          <a:blip r:embed="rIdWpsEquation2"/>
                          <a:stretch>
                            <a:fillRect/>
                          </a:stretch>
                        </pic:blipFill>
                        <pic:spPr>
                          <a:xfrm>
                            <a:off x="0" y="0"/>
                            <a:ext cx="2830179" cy="524916"/>
                          </a:xfrm>
                          <a:prstGeom prst="rect"/>
                        </pic:spPr>
                      </pic:pic>
                    </a:graphicData>
                  </a:graphic>
                </wp:inline>
              </w:drawing>
            </w:r>
            <w:r>
              <w:tab/>
            </w:r>
            <w:r>
              <w:rPr>
                <w:rFonts w:ascii="Times New Roman" w:hAnsi="Times New Roman" w:eastAsia="Times New Roman" w:cs="Times New Roman"/>
                <w:i w:val="0"/>
                <w:iCs w:val="0"/>
                <w:sz w:val="24"/>
                <w:szCs w:val="24"/>
                <w:position w:val="33"/>
              </w:rPr>
              <w:t>(2)</w:t>
            </w:r>
          </w:p>
          <w:p>
            <w:pPr>
              <w:pStyle w:val="Normal"/>
              <w:rPr>
                <w:rFonts w:eastAsia="黑体" w:hint="eastAsia"/>
                <w:sz w:val="24"/>
              </w:rPr>
              <w:keepNext w:val="0"/>
              <w:widowControl w:val="1"/>
              <w:wordWrap w:val="0"/>
              <w:tabs>
                <w:tab w:val="center" w:pos="4650"/>
                <w:tab w:val="right" w:pos="9500"/>
              </w:tabs>
              <w:ind w:left="0" w:right="0" w:firstLine="0"/>
              <w:jc w:val="left"/>
              <w:spacing w:before="80" w:after="80" w:line="280" w:lineRule="atLeast"/>
              <w:keepLines w:val="1"/>
              <w:snapToGrid w:val="0"/>
            </w:pPr>
            <w:r>
              <w:tab/>
            </w:r>
            <w:r xmlns:wpc="http://schemas.microsoft.com/office/word/2010/wordprocessingCanvas" xmlns:mo="http://schemas.microsoft.com/office/mac/office/2008/main" xmlns:mv="urn:schemas-microsoft-com:mac:vml" xmlns:m="http://schemas.openxmlformats.org/officeDocument/2006/math" xmlns:wpi="http://schemas.microsoft.com/office/word/2010/wordprocessingInk" xmlns:wne="http://schemas.microsoft.com/office/word/2006/wordml">
              <w:drawing>
                <wp:inline xmlns:a="http://schemas.openxmlformats.org/drawingml/2006/main">
                  <wp:extent cx="1230223" cy="324967"/>
                  <wp:docPr id="803" name="Equation 3" descr="I_k^{\mathrm H}=\mathbf{1}\!\left[\hat A_k^{\mathrm H}&gt;\epsilon_{\mathrm H}\right]\tag{3}"/>
                  <wp:cNvGraphicFramePr>
                    <a:graphicFrameLocks noChangeAspect="1"/>
                  </wp:cNvGraphicFramePr>
                  <a:graphic>
                    <a:graphicData uri="http://schemas.openxmlformats.org/drawingml/2006/picture">
                      <pic:pic>
                        <pic:nvPicPr>
                          <pic:cNvPr id="0" name="equation-3.png"/>
                          <pic:cNvPicPr/>
                        </pic:nvPicPr>
                        <pic:blipFill>
                          <a:blip r:embed="rIdWpsEquation3"/>
                          <a:stretch>
                            <a:fillRect/>
                          </a:stretch>
                        </pic:blipFill>
                        <pic:spPr>
                          <a:xfrm>
                            <a:off x="0" y="0"/>
                            <a:ext cx="1230223" cy="324967"/>
                          </a:xfrm>
                          <a:prstGeom prst="rect"/>
                        </pic:spPr>
                      </pic:pic>
                    </a:graphicData>
                  </a:graphic>
                </wp:inline>
              </w:drawing>
            </w:r>
            <w:r>
              <w:tab/>
            </w:r>
            <w:r>
              <w:rPr>
                <w:rFonts w:ascii="Times New Roman" w:hAnsi="Times New Roman" w:eastAsia="Times New Roman" w:cs="Times New Roman"/>
                <w:i w:val="0"/>
                <w:iCs w:val="0"/>
                <w:sz w:val="24"/>
                <w:szCs w:val="24"/>
                <w:position w:val="18"/>
              </w:rPr>
              <w:t>(3)</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其中</w:t>
            </w:r>
            <w:r>
              <w:rPr>
                <w:rFonts w:ascii="Times New Roman" w:hAnsi="Times New Roman" w:eastAsia="Times New Roman" w:cs="Times New Roman"/>
                <w:i w:val="1"/>
                <w:iCs w:val="1"/>
                <w:sz w:val="24"/>
                <w:szCs w:val="24"/>
              </w:rPr>
              <w:t>Δ</w:t>
            </w:r>
            <w:r>
              <w:rPr>
                <w:rFonts w:ascii="Times New Roman" w:hAnsi="Times New Roman" w:eastAsia="Times New Roman" w:cs="Times New Roman"/>
                <w:i w:val="1"/>
                <w:iCs w:val="1"/>
                <w:sz w:val="24"/>
                <w:szCs w:val="24"/>
                <w:vertAlign w:val="subscript"/>
              </w:rPr>
              <w:t>k</w:t>
            </w:r>
            <w:r>
              <w:rPr>
                <w:rFonts w:ascii="Times New Roman" w:hAnsi="Times New Roman" w:eastAsia="仿宋_GB2312"/>
                <w:sz w:val="24"/>
                <w:szCs w:val="24"/>
                <w:color w:val="000000"/>
              </w:rPr>
              <w:t>为真实持续控制步数，</w:t>
            </w:r>
            <w:r>
              <w:rPr>
                <w:rFonts w:ascii="Times New Roman" w:hAnsi="Times New Roman" w:eastAsia="Times New Roman" w:cs="Times New Roman"/>
                <w:i w:val="1"/>
                <w:iCs w:val="1"/>
                <w:sz w:val="24"/>
                <w:szCs w:val="24"/>
              </w:rPr>
              <w:t>b̄</w:t>
            </w:r>
            <w:r>
              <w:rPr>
                <w:rFonts w:ascii="Times New Roman" w:hAnsi="Times New Roman" w:eastAsia="Times New Roman" w:cs="Times New Roman"/>
                <w:i w:val="1"/>
                <w:iCs w:val="1"/>
                <w:sz w:val="24"/>
                <w:szCs w:val="24"/>
                <w:vertAlign w:val="subscript"/>
              </w:rPr>
              <w:t>k</w:t>
            </w:r>
            <w:r>
              <w:rPr>
                <w:rFonts w:ascii="Times New Roman" w:hAnsi="Times New Roman" w:eastAsia="仿宋_GB2312"/>
                <w:sz w:val="24"/>
                <w:szCs w:val="24"/>
                <w:color w:val="000000"/>
              </w:rPr>
              <w:t>表示包含完整内部记忆的扩展高层状态，</w:t>
            </w:r>
            <w:r>
              <w:rPr>
                <w:rFonts w:ascii="Times New Roman" w:hAnsi="Times New Roman" w:eastAsia="Times New Roman" w:cs="Times New Roman"/>
                <w:i w:val="1"/>
                <w:iCs w:val="1"/>
                <w:sz w:val="24"/>
                <w:szCs w:val="24"/>
              </w:rPr>
              <w:t>ε</w:t>
            </w:r>
            <w:r>
              <w:rPr>
                <w:rFonts w:ascii="Times New Roman" w:hAnsi="Times New Roman" w:eastAsia="Times New Roman" w:cs="Times New Roman"/>
                <w:i w:val="0"/>
                <w:iCs w:val="0"/>
                <w:sz w:val="24"/>
                <w:szCs w:val="24"/>
                <w:vertAlign w:val="subscript"/>
              </w:rPr>
              <w:t>H</w:t>
            </w:r>
            <w:r>
              <w:rPr>
                <w:rFonts w:ascii="Times New Roman" w:hAnsi="Times New Roman" w:eastAsia="仿宋_GB2312"/>
                <w:sz w:val="24"/>
                <w:szCs w:val="24"/>
                <w:color w:val="000000"/>
              </w:rPr>
              <w:t>为优势分类阈值。动作层采用相同形式，窗口长度改为实际执行前缀</w:t>
            </w:r>
            <w:r>
              <w:rPr>
                <w:rFonts w:ascii="Times New Roman" w:hAnsi="Times New Roman" w:eastAsia="Times New Roman" w:cs="Times New Roman"/>
                <w:i w:val="1"/>
                <w:iCs w:val="1"/>
                <w:sz w:val="24"/>
                <w:szCs w:val="24"/>
              </w:rPr>
              <w:t>n</w:t>
            </w:r>
            <w:r>
              <w:rPr>
                <w:rFonts w:ascii="Times New Roman" w:hAnsi="Times New Roman" w:eastAsia="仿宋_GB2312"/>
                <w:sz w:val="24"/>
                <w:szCs w:val="24"/>
                <w:color w:val="000000"/>
              </w:rPr>
              <w:t>；终止状态不bootstrap，时间截断单独处理。RECAP原始实例与本研究的分层折扣式应分别表述，不能将后者冒称原文公式。</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初版价值网络拟采用独立于actor的一个编码主干，并配置高层边界与动作阶段两个价值head，避免增加多个完整VLM。各head以对应阶段的实际Monte Carlo return分箱进行交叉熵训练。优势计算包含下一状态价值，不表示价值网络本身已改为TD训练。来自不同策略版本的回报反映混合经验分布，估计值不自动等于当前联合策略的精确价值；须按采集版本统计误差与覆盖范围。</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2.5 知识隔离下的多目标学习</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联合学习目标拟保留高层回报条件化交叉熵、FAST动作交叉熵、连续flow matching以及必要的监督锚定，并单独训练价值模型：</w:t>
            </w:r>
          </w:p>
          <w:p>
            <w:pPr>
              <w:pStyle w:val="Normal"/>
              <w:rPr>
                <w:rFonts w:eastAsia="黑体" w:hint="eastAsia"/>
                <w:sz w:val="24"/>
              </w:rPr>
              <w:keepNext w:val="0"/>
              <w:widowControl w:val="1"/>
              <w:wordWrap w:val="0"/>
              <w:tabs>
                <w:tab w:val="center" w:pos="4650"/>
                <w:tab w:val="right" w:pos="9500"/>
              </w:tabs>
              <w:ind w:left="0" w:right="0" w:firstLine="0"/>
              <w:jc w:val="left"/>
              <w:spacing w:before="80" w:after="80" w:line="280" w:lineRule="atLeast"/>
              <w:keepLines w:val="1"/>
              <w:snapToGrid w:val="0"/>
            </w:pPr>
            <w:r>
              <w:tab/>
            </w:r>
            <w:r xmlns:wpc="http://schemas.microsoft.com/office/word/2010/wordprocessingCanvas" xmlns:mo="http://schemas.microsoft.com/office/mac/office/2008/main" xmlns:mv="urn:schemas-microsoft-com:mac:vml" xmlns:m="http://schemas.openxmlformats.org/officeDocument/2006/math" xmlns:wpi="http://schemas.microsoft.com/office/word/2010/wordprocessingInk" xmlns:wne="http://schemas.microsoft.com/office/word/2006/wordml">
              <w:drawing>
                <wp:inline xmlns:a="http://schemas.openxmlformats.org/drawingml/2006/main">
                  <wp:extent cx="3719616" cy="182199"/>
                  <wp:docPr id="804" name="Equation 4" descr="L_{\mathrm{base}}&#10;=\lambda_{\mathrm H}L_{\mathrm H}&#10;+\lambda_{\mathrm F}L_{\mathrm{FAST}}&#10;+\lambda_{\mathrm A}L_{\mathrm{FM}}&#10;+\lambda_{\mathrm S}L_{\mathrm{anchor}}&#10;+\lambda_{\mathrm V}L_{\mathrm V}&#10;\tag{4}"/>
                  <wp:cNvGraphicFramePr>
                    <a:graphicFrameLocks noChangeAspect="1"/>
                  </wp:cNvGraphicFramePr>
                  <a:graphic>
                    <a:graphicData uri="http://schemas.openxmlformats.org/drawingml/2006/picture">
                      <pic:pic>
                        <pic:nvPicPr>
                          <pic:cNvPr id="0" name="equation-4.png"/>
                          <pic:cNvPicPr/>
                        </pic:nvPicPr>
                        <pic:blipFill>
                          <a:blip r:embed="rIdWpsEquation4"/>
                          <a:stretch>
                            <a:fillRect/>
                          </a:stretch>
                        </pic:blipFill>
                        <pic:spPr>
                          <a:xfrm>
                            <a:off x="0" y="0"/>
                            <a:ext cx="3719616" cy="182199"/>
                          </a:xfrm>
                          <a:prstGeom prst="rect"/>
                        </pic:spPr>
                      </pic:pic>
                    </a:graphicData>
                  </a:graphic>
                </wp:inline>
              </w:drawing>
            </w:r>
            <w:r>
              <w:tab/>
            </w:r>
            <w:r>
              <w:rPr>
                <w:rFonts w:ascii="Times New Roman" w:hAnsi="Times New Roman" w:eastAsia="Times New Roman" w:cs="Times New Roman"/>
                <w:i w:val="0"/>
                <w:iCs w:val="0"/>
                <w:sz w:val="24"/>
                <w:szCs w:val="24"/>
                <w:position w:val="6"/>
              </w:rPr>
              <w:t>(4)</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各</w:t>
            </w:r>
            <w:r>
              <w:rPr>
                <w:rFonts w:ascii="Times New Roman" w:hAnsi="Times New Roman" w:eastAsia="Times New Roman" w:cs="Times New Roman"/>
                <w:i w:val="1"/>
                <w:iCs w:val="1"/>
                <w:sz w:val="24"/>
                <w:szCs w:val="24"/>
              </w:rPr>
              <w:t>λ</w:t>
            </w:r>
            <w:r>
              <w:rPr>
                <w:rFonts w:ascii="Times New Roman" w:hAnsi="Times New Roman" w:eastAsia="仿宋_GB2312"/>
                <w:sz w:val="24"/>
                <w:szCs w:val="24"/>
                <w:color w:val="000000"/>
              </w:rPr>
              <w:t>为对应目标的权重。共享VLM参数</w:t>
            </w:r>
            <w:r>
              <w:rPr>
                <w:rFonts w:ascii="Times New Roman" w:hAnsi="Times New Roman" w:eastAsia="Times New Roman" w:cs="Times New Roman"/>
                <w:i w:val="1"/>
                <w:iCs w:val="1"/>
                <w:sz w:val="24"/>
                <w:szCs w:val="24"/>
              </w:rPr>
              <w:t>θ</w:t>
            </w:r>
            <w:r>
              <w:rPr>
                <w:rFonts w:ascii="Times New Roman" w:hAnsi="Times New Roman" w:eastAsia="仿宋_GB2312"/>
                <w:sz w:val="24"/>
                <w:szCs w:val="24"/>
                <w:color w:val="000000"/>
              </w:rPr>
              <w:t>接受高层文本与FAST监督，动作专家参数</w:t>
            </w:r>
            <w:r>
              <w:rPr>
                <w:rFonts w:ascii="Times New Roman" w:hAnsi="Times New Roman" w:eastAsia="Times New Roman" w:cs="Times New Roman"/>
                <w:i w:val="1"/>
                <w:iCs w:val="1"/>
                <w:sz w:val="24"/>
                <w:szCs w:val="24"/>
              </w:rPr>
              <w:t>φ</w:t>
            </w:r>
            <w:r>
              <w:rPr>
                <w:rFonts w:ascii="Times New Roman" w:hAnsi="Times New Roman" w:eastAsia="仿宋_GB2312"/>
                <w:sz w:val="24"/>
                <w:szCs w:val="24"/>
                <w:color w:val="000000"/>
              </w:rPr>
              <w:t>接受连续FM和动作示范监督。动作专家前向读取主干各相关层的K/V，反向在这些条件处停止梯度，使FM不经该路径更新VLM。FAST与连续动作分别来自记录动作的离散编码和连续加噪监督，前者不是机器人执行的子任务文本，后者也不是简单解码FAST所得的轨迹。</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各分支的监督对象、训练目标与梯度边界如下。高层回报条件化是本研究相对原RECAP的候选扩展，不把价值标签的数据传递画成critic到actor的反向梯度。</w:t>
            </w:r>
          </w:p>
          <w:tbl>
            <w:tblPr>
              <w:tblW w:w="8600" w:type="dxa"/>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1300"/>
              <w:gridCol w:w="2900"/>
              <w:gridCol w:w="1400"/>
              <w:gridCol w:w="3000"/>
            </w:tblGrid>
            <w:tr>
              <w:trPr>
                <w:cantSplit/>
                <w:tblHeader/>
              </w:trPr>
              <w:tc>
                <w:tcPr>
                  <w:tcW w:w="1300" w:type="dxa"/>
                  <w:vAlign w:val="center"/>
                  <w:tcMar>
                    <w:top w:w="90" w:type="dxa"/>
                    <w:bottom w:w="90" w:type="dxa"/>
                    <w:left w:w="90" w:type="dxa"/>
                    <w:right w:w="90" w:type="dxa"/>
                  </w:tcMar>
                  <w:shd w:fill="F2F2F2" w:val="clear"/>
                </w:tcPr>
                <w:p>
                  <w:pPr>
                    <w:pStyle w:val="Normal"/>
                    <w:spacing w:before="40" w:after="40" w:line="315" w:lineRule="exact"/>
                    <w:rPr>
                      <w:rFonts w:eastAsia="黑体" w:hint="eastAsia"/>
                      <w:sz w:val="24"/>
                    </w:rPr>
                    <w:ind w:firstLine="0" w:firstLineChars="0"/>
                    <w:jc w:val="left"/>
                    <w:keepNext w:val="1"/>
                    <w:keepLines w:val="0"/>
                    <w:widowControl w:val="1"/>
                    <w:wordWrap w:val="0"/>
                  </w:pPr>
                  <w:r>
                    <w:rPr>
                      <w:rFonts w:ascii="Times New Roman" w:hAnsi="Times New Roman" w:eastAsia="黑体"/>
                      <w:sz w:val="21"/>
                      <w:szCs w:val="21"/>
                      <w:b/>
                    </w:rPr>
                    <w:t>训练分支</w:t>
                  </w:r>
                </w:p>
              </w:tc>
              <w:tc>
                <w:tcPr>
                  <w:tcW w:w="2900" w:type="dxa"/>
                  <w:vAlign w:val="center"/>
                  <w:tcMar>
                    <w:top w:w="90" w:type="dxa"/>
                    <w:bottom w:w="90" w:type="dxa"/>
                    <w:left w:w="90" w:type="dxa"/>
                    <w:right w:w="90" w:type="dxa"/>
                  </w:tcMar>
                  <w:shd w:fill="F2F2F2" w:val="clear"/>
                </w:tcPr>
                <w:p>
                  <w:pPr>
                    <w:pStyle w:val="Normal"/>
                    <w:spacing w:before="40" w:after="40" w:line="315" w:lineRule="exact"/>
                    <w:rPr>
                      <w:rFonts w:eastAsia="黑体" w:hint="eastAsia"/>
                      <w:sz w:val="24"/>
                    </w:rPr>
                    <w:ind w:firstLine="0" w:firstLineChars="0"/>
                    <w:jc w:val="left"/>
                    <w:keepNext w:val="1"/>
                    <w:keepLines w:val="0"/>
                    <w:widowControl w:val="1"/>
                    <w:wordWrap w:val="0"/>
                  </w:pPr>
                  <w:r>
                    <w:rPr>
                      <w:rFonts w:ascii="Times New Roman" w:hAnsi="Times New Roman" w:eastAsia="黑体"/>
                      <w:sz w:val="21"/>
                      <w:szCs w:val="21"/>
                      <w:b/>
                    </w:rPr>
                    <w:t>监督信号与目标</w:t>
                  </w:r>
                </w:p>
              </w:tc>
              <w:tc>
                <w:tcPr>
                  <w:tcW w:w="1400" w:type="dxa"/>
                  <w:vAlign w:val="center"/>
                  <w:tcMar>
                    <w:top w:w="90" w:type="dxa"/>
                    <w:bottom w:w="90" w:type="dxa"/>
                    <w:left w:w="90" w:type="dxa"/>
                    <w:right w:w="90" w:type="dxa"/>
                  </w:tcMar>
                  <w:shd w:fill="F2F2F2" w:val="clear"/>
                </w:tcPr>
                <w:p>
                  <w:pPr>
                    <w:pStyle w:val="Normal"/>
                    <w:spacing w:before="40" w:after="40" w:line="315" w:lineRule="exact"/>
                    <w:rPr>
                      <w:rFonts w:eastAsia="黑体" w:hint="eastAsia"/>
                      <w:sz w:val="24"/>
                    </w:rPr>
                    <w:ind w:firstLine="0" w:firstLineChars="0"/>
                    <w:jc w:val="center"/>
                    <w:keepNext w:val="1"/>
                    <w:keepLines w:val="0"/>
                    <w:widowControl w:val="1"/>
                    <w:wordWrap w:val="0"/>
                  </w:pPr>
                  <w:r>
                    <w:rPr>
                      <w:rFonts w:ascii="Times New Roman" w:hAnsi="Times New Roman" w:eastAsia="黑体"/>
                      <w:sz w:val="21"/>
                      <w:szCs w:val="21"/>
                      <w:b/>
                    </w:rPr>
                    <w:t>更新参数</w:t>
                  </w:r>
                </w:p>
              </w:tc>
              <w:tc>
                <w:tcPr>
                  <w:tcW w:w="3000" w:type="dxa"/>
                  <w:vAlign w:val="center"/>
                  <w:tcMar>
                    <w:top w:w="90" w:type="dxa"/>
                    <w:bottom w:w="90" w:type="dxa"/>
                    <w:left w:w="90" w:type="dxa"/>
                    <w:right w:w="90" w:type="dxa"/>
                  </w:tcMar>
                  <w:shd w:fill="F2F2F2" w:val="clear"/>
                </w:tcPr>
                <w:p>
                  <w:pPr>
                    <w:pStyle w:val="Normal"/>
                    <w:spacing w:before="40" w:after="40" w:line="315" w:lineRule="exact"/>
                    <w:rPr>
                      <w:rFonts w:eastAsia="黑体" w:hint="eastAsia"/>
                      <w:sz w:val="24"/>
                    </w:rPr>
                    <w:ind w:firstLine="0" w:firstLineChars="0"/>
                    <w:jc w:val="left"/>
                    <w:keepNext w:val="1"/>
                    <w:keepLines w:val="0"/>
                    <w:widowControl w:val="1"/>
                    <w:wordWrap w:val="0"/>
                  </w:pPr>
                  <w:r>
                    <w:rPr>
                      <w:rFonts w:ascii="Times New Roman" w:hAnsi="Times New Roman" w:eastAsia="黑体"/>
                      <w:sz w:val="21"/>
                      <w:szCs w:val="21"/>
                      <w:b/>
                    </w:rPr>
                    <w:t>梯度与输入边界</w:t>
                  </w:r>
                </w:p>
              </w:tc>
            </w:tr>
            <w:tr>
              <w:trPr>
                <w:cantSplit/>
              </w:trPr>
              <w:tc>
                <w:tcPr>
                  <w:tcW w:w="13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rPr>
                    <w:t>高层文本生成</w:t>
                  </w:r>
                </w:p>
              </w:tc>
              <w:tc>
                <w:tcPr>
                  <w:tcW w:w="29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rPr>
                    <w:t>实际READ／WRITE和子任务token的回报条件化交叉熵。</w:t>
                  </w:r>
                </w:p>
              </w:tc>
              <w:tc>
                <w:tcPr>
                  <w:tcW w:w="14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center"/>
                    <w:keepNext w:val="0"/>
                    <w:keepLines w:val="0"/>
                    <w:widowControl w:val="1"/>
                    <w:wordWrap w:val="0"/>
                  </w:pPr>
                  <w:r>
                    <w:rPr>
                      <w:rFonts w:ascii="Times New Roman" w:hAnsi="Times New Roman" w:eastAsia="仿宋_GB2312"/>
                      <w:sz w:val="21"/>
                      <w:szCs w:val="21"/>
                    </w:rPr>
                    <w:t>共享VLM θ</w:t>
                  </w:r>
                </w:p>
              </w:tc>
              <w:tc>
                <w:tcPr>
                  <w:tcW w:w="30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rPr>
                    <w:t>工具正文仅作上下文，不计生成损失。</w:t>
                  </w:r>
                </w:p>
              </w:tc>
            </w:tr>
            <w:tr>
              <w:trPr>
                <w:cantSplit/>
              </w:trPr>
              <w:tc>
                <w:tcPr>
                  <w:tcW w:w="13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rPr>
                    <w:t>FAST动作监督</w:t>
                  </w:r>
                </w:p>
              </w:tc>
              <w:tc>
                <w:tcPr>
                  <w:tcW w:w="29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rPr>
                    <w:t>记录动作经FAST编码后的条件化交叉熵。</w:t>
                  </w:r>
                </w:p>
              </w:tc>
              <w:tc>
                <w:tcPr>
                  <w:tcW w:w="14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center"/>
                    <w:keepNext w:val="0"/>
                    <w:keepLines w:val="0"/>
                    <w:widowControl w:val="1"/>
                    <w:wordWrap w:val="0"/>
                  </w:pPr>
                  <w:r>
                    <w:rPr>
                      <w:rFonts w:ascii="Times New Roman" w:hAnsi="Times New Roman" w:eastAsia="仿宋_GB2312"/>
                      <w:sz w:val="21"/>
                      <w:szCs w:val="21"/>
                    </w:rPr>
                    <w:t>共享VLM θ</w:t>
                  </w:r>
                </w:p>
              </w:tc>
              <w:tc>
                <w:tcPr>
                  <w:tcW w:w="30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rPr>
                    <w:t>仅训练使用；FAST标签不输入连续专家。</w:t>
                  </w:r>
                </w:p>
              </w:tc>
            </w:tr>
            <w:tr>
              <w:trPr>
                <w:cantSplit/>
              </w:trPr>
              <w:tc>
                <w:tcPr>
                  <w:tcW w:w="13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rPr>
                    <w:t>连续动作专家</w:t>
                  </w:r>
                </w:p>
              </w:tc>
              <w:tc>
                <w:tcPr>
                  <w:tcW w:w="29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rPr>
                    <w:t>记录动作加噪后构造速度场目标，采用条件化流匹配。</w:t>
                  </w:r>
                </w:p>
              </w:tc>
              <w:tc>
                <w:tcPr>
                  <w:tcW w:w="14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center"/>
                    <w:keepNext w:val="0"/>
                    <w:keepLines w:val="0"/>
                    <w:widowControl w:val="1"/>
                    <w:wordWrap w:val="0"/>
                  </w:pPr>
                  <w:r>
                    <w:rPr>
                      <w:rFonts w:ascii="Times New Roman" w:hAnsi="Times New Roman" w:eastAsia="仿宋_GB2312"/>
                      <w:sz w:val="21"/>
                      <w:szCs w:val="21"/>
                    </w:rPr>
                    <w:t>动作专家 φ</w:t>
                  </w:r>
                </w:p>
              </w:tc>
              <w:tc>
                <w:tcPr>
                  <w:tcW w:w="30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rPr>
                    <w:t>前向读取主干K/V；该条件路径停止FM梯度。</w:t>
                  </w:r>
                </w:p>
              </w:tc>
            </w:tr>
            <w:tr>
              <w:trPr>
                <w:cantSplit/>
              </w:trPr>
              <w:tc>
                <w:tcPr>
                  <w:tcW w:w="13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rPr>
                    <w:t>独立价值模型</w:t>
                  </w:r>
                </w:p>
              </w:tc>
              <w:tc>
                <w:tcPr>
                  <w:tcW w:w="29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rPr>
                    <w:t>实测Monte Carlo回报分箱交叉熵。</w:t>
                  </w:r>
                </w:p>
              </w:tc>
              <w:tc>
                <w:tcPr>
                  <w:tcW w:w="14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center"/>
                    <w:keepNext w:val="0"/>
                    <w:keepLines w:val="0"/>
                    <w:widowControl w:val="1"/>
                    <w:wordWrap w:val="0"/>
                  </w:pPr>
                  <w:r>
                    <w:rPr>
                      <w:rFonts w:ascii="Times New Roman" w:hAnsi="Times New Roman" w:eastAsia="仿宋_GB2312"/>
                      <w:sz w:val="21"/>
                      <w:szCs w:val="21"/>
                    </w:rPr>
                    <w:t>价值参数 ψ</w:t>
                  </w:r>
                </w:p>
              </w:tc>
              <w:tc>
                <w:tcPr>
                  <w:tcW w:w="30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rPr>
                    <w:t>价值及优势只提供标签，不向θ或φ反传。</w:t>
                  </w:r>
                </w:p>
              </w:tc>
            </w:tr>
            <w:tr>
              <w:trPr>
                <w:cantSplit/>
              </w:trPr>
              <w:tc>
                <w:tcPr>
                  <w:tcW w:w="13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rPr>
                    <w:t>可选记忆偏好</w:t>
                  </w:r>
                </w:p>
              </w:tc>
              <w:tc>
                <w:tcPr>
                  <w:tcW w:w="29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rPr>
                    <w:t>可信配对续跑对应的READ／WRITE token辅助目标。</w:t>
                  </w:r>
                </w:p>
              </w:tc>
              <w:tc>
                <w:tcPr>
                  <w:tcW w:w="14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center"/>
                    <w:keepNext w:val="0"/>
                    <w:keepLines w:val="0"/>
                    <w:widowControl w:val="1"/>
                    <w:wordWrap w:val="0"/>
                  </w:pPr>
                  <w:r>
                    <w:rPr>
                      <w:rFonts w:ascii="Times New Roman" w:hAnsi="Times New Roman" w:eastAsia="仿宋_GB2312"/>
                      <w:sz w:val="21"/>
                      <w:szCs w:val="21"/>
                    </w:rPr>
                    <w:t>共享VLM θ</w:t>
                  </w:r>
                </w:p>
              </w:tc>
              <w:tc>
                <w:tcPr>
                  <w:tcW w:w="30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rPr>
                    <w:t>不直接监督子任务token；共享参数可间接影响其输出。</w:t>
                  </w:r>
                </w:p>
              </w:tc>
            </w:tr>
          </w:tbl>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监督暖启动先使用示范的记忆操作、子任务文本与动作标签；回报续训保留相应的示范锚定，分别作用于同类输出的参数。训练时子任务标签采用因果teacher forcing，推理时由自身VLM逐token生成；离散采样、检索和Apply本身不承担路径梯度。FM不穿过文本生成去更新VLM，文本／FAST目标仍可更新主干并改变专家前向条件。</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知识隔离不等于长期冻结主干。即使专家参数暂时固定，VLM更新仍可能改变专家条件和最终动作，因此需要同时审计梯度路径与技能保持。全参数更新或LoRA根据显存、吞吐和稳定性选择，并对所有对照保持一致；二者不构成本课题的独立创新。多目标损失也不意味着必须采用MAPPO，本研究仍是单机器人内部的分层策略。</w:t>
            </w:r>
          </w:p>
          <w:p xmlns:wpc="http://schemas.microsoft.com/office/word/2010/wordprocessingCanvas" xmlns:mo="http://schemas.microsoft.com/office/mac/office/2008/main" xmlns:mv="urn:schemas-microsoft-com:mac:vml" xmlns:m="http://schemas.openxmlformats.org/officeDocument/2006/math" xmlns:wpi="http://schemas.microsoft.com/office/word/2010/wordprocessingInk" xmlns:wne="http://schemas.microsoft.com/office/word/2006/wordml">
            <w:pPr>
              <w:jc w:val="center"/>
              <w:keepNext w:val="1"/>
              <w:keepLines w:val="1"/>
              <w:spacing w:before="80" w:after="40"/>
            </w:pPr>
            <w:r>
              <w:drawing>
                <wp:inline xmlns:a="http://schemas.openxmlformats.org/drawingml/2006/main">
                  <wp:extent cx="5687568" cy="4265676"/>
                  <wp:docPr id="104" name="图4-生成式高层目标与梯度路由" descr="图4 生成式高层与动作专家的目标及梯度。高层读写／子任务CE与FAST CE更新VLM；连续FM更新专家，在K/V处停止梯度。独立价值模型由实测回报分箱CE更新，优势只作标签。高层条件位于READ前，动作条件位于子任务后；工具正文不计CE，专家不读取FAST答案。"/>
                  <wp:cNvGraphicFramePr>
                    <a:graphicFrameLocks noChangeAspect="1"/>
                  </wp:cNvGraphicFramePr>
                  <a:graphic>
                    <a:graphicData uri="http://schemas.openxmlformats.org/drawingml/2006/picture">
                      <pic:pic>
                        <pic:nvPicPr>
                          <pic:cNvPr id="0" name="图4-训练数据与梯度路由.png"/>
                          <pic:cNvPicPr/>
                        </pic:nvPicPr>
                        <pic:blipFill>
                          <a:blip r:embed="rIdProposalFigure4"/>
                          <a:stretch>
                            <a:fillRect/>
                          </a:stretch>
                        </pic:blipFill>
                        <pic:spPr>
                          <a:xfrm>
                            <a:off x="0" y="0"/>
                            <a:ext cx="5687568" cy="4265676"/>
                          </a:xfrm>
                          <a:prstGeom prst="rect"/>
                        </pic:spPr>
                      </pic:pic>
                    </a:graphicData>
                  </a:graphic>
                </wp:inline>
              </w:drawing>
            </w:r>
          </w:p>
          <w:p>
            <w:pPr>
              <w:pStyle w:val="Normal"/>
              <w:spacing w:before="0" w:after="20" w:line="336" w:lineRule="exact"/>
              <w:rPr>
                <w:rFonts w:eastAsia="黑体" w:hint="eastAsia"/>
                <w:sz w:val="24"/>
              </w:rPr>
              <w:ind w:firstLine="0" w:firstLineChars="0"/>
              <w:jc w:val="both"/>
              <w:keepNext w:val="0"/>
              <w:keepLines w:val="0"/>
              <w:widowControl w:val="1"/>
              <w:wordWrap w:val="0"/>
            </w:pPr>
            <w:r>
              <w:rPr>
                <w:rFonts w:ascii="Times New Roman" w:hAnsi="Times New Roman" w:eastAsia="仿宋_GB2312"/>
                <w:sz w:val="24"/>
                <w:szCs w:val="24"/>
                <w:color w:val="000000"/>
              </w:rPr>
              <w:t>图4 生成式高层与动作专家的目标及梯度。高层读写／子任务CE与FAST CE更新VLM；连续FM更新专家，在K/V处停止梯度。独立价值模型由实测回报分箱CE更新，优势只作标签。高层条件位于READ前，动作条件位于子任务后；工具正文不计CE，专家不读取FAST答案。</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2.6 物理执行噪声下的记忆信用评价</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联合回报能优化整体任务，却未必能低噪声地评价某条记忆。例如，正确记录“样品A尚未处理”仍可能因抓取滑落得到失败回报；错误记录也可能被下游动作偶然补救。研究拟在少量可可靠重建的高层边界，比较合法读写操作</w:t>
            </w:r>
            <w:r>
              <w:rPr>
                <w:rFonts w:ascii="Times New Roman" w:hAnsi="Times New Roman" w:eastAsia="Times New Roman" w:cs="Times New Roman"/>
                <w:i w:val="1"/>
                <w:iCs w:val="1"/>
                <w:sz w:val="24"/>
                <w:szCs w:val="24"/>
              </w:rPr>
              <w:t>u</w:t>
            </w:r>
            <w:r>
              <w:rPr>
                <w:rFonts w:ascii="Times New Roman" w:hAnsi="Times New Roman" w:eastAsia="仿宋_GB2312"/>
                <w:sz w:val="24"/>
                <w:szCs w:val="24"/>
                <w:color w:val="000000"/>
              </w:rPr>
              <w:t>与参考操作</w:t>
            </w:r>
            <w:r>
              <w:rPr>
                <w:rFonts w:ascii="Times New Roman" w:hAnsi="Times New Roman" w:eastAsia="Times New Roman" w:cs="Times New Roman"/>
                <w:i w:val="1"/>
                <w:iCs w:val="1"/>
                <w:sz w:val="24"/>
                <w:szCs w:val="24"/>
              </w:rPr>
              <w:t>u</w:t>
            </w:r>
            <w:r>
              <w:rPr>
                <w:rFonts w:ascii="Times New Roman" w:hAnsi="Times New Roman" w:eastAsia="Times New Roman" w:cs="Times New Roman"/>
                <w:i w:val="0"/>
                <w:iCs w:val="0"/>
                <w:sz w:val="24"/>
                <w:szCs w:val="24"/>
                <w:vertAlign w:val="subscript"/>
              </w:rPr>
              <w:t>0</w:t>
            </w:r>
            <w:r>
              <w:rPr>
                <w:rFonts w:ascii="Times New Roman" w:hAnsi="Times New Roman" w:eastAsia="仿宋_GB2312"/>
                <w:sz w:val="24"/>
                <w:szCs w:val="24"/>
                <w:color w:val="000000"/>
              </w:rPr>
              <w:t>，固定本轮后续模型参数</w:t>
            </w:r>
            <w:r>
              <w:rPr>
                <w:rFonts w:ascii="Times New Roman" w:hAnsi="Times New Roman" w:eastAsia="Times New Roman" w:cs="Times New Roman"/>
                <w:i w:val="1"/>
                <w:iCs w:val="1"/>
                <w:sz w:val="24"/>
                <w:szCs w:val="24"/>
              </w:rPr>
              <w:t>κ</w:t>
            </w:r>
            <w:r>
              <w:rPr>
                <w:rFonts w:ascii="Times New Roman" w:hAnsi="Times New Roman" w:eastAsia="Times New Roman" w:cs="Times New Roman"/>
                <w:i w:val="1"/>
                <w:iCs w:val="1"/>
                <w:sz w:val="24"/>
                <w:szCs w:val="24"/>
                <w:vertAlign w:val="subscript"/>
              </w:rPr>
              <w:t>r</w:t>
            </w:r>
            <w:r>
              <w:rPr>
                <w:rFonts w:ascii="Times New Roman" w:hAnsi="Times New Roman" w:eastAsia="仿宋_GB2312"/>
                <w:sz w:val="24"/>
                <w:szCs w:val="24"/>
                <w:color w:val="000000"/>
              </w:rPr>
              <w:t>，估计其下游效用差：</w:t>
            </w:r>
          </w:p>
          <w:p>
            <w:pPr>
              <w:pStyle w:val="Normal"/>
              <w:rPr>
                <w:rFonts w:eastAsia="黑体" w:hint="eastAsia"/>
                <w:sz w:val="24"/>
              </w:rPr>
              <w:keepNext w:val="0"/>
              <w:widowControl w:val="1"/>
              <w:wordWrap w:val="0"/>
              <w:tabs>
                <w:tab w:val="center" w:pos="4650"/>
                <w:tab w:val="right" w:pos="9500"/>
              </w:tabs>
              <w:ind w:left="0" w:right="0" w:firstLine="0"/>
              <w:jc w:val="left"/>
              <w:spacing w:before="80" w:after="80" w:line="280" w:lineRule="atLeast"/>
              <w:keepLines w:val="1"/>
              <w:snapToGrid w:val="0"/>
            </w:pPr>
            <w:r>
              <w:tab/>
            </w:r>
            <w:r xmlns:wpc="http://schemas.microsoft.com/office/word/2010/wordprocessingCanvas" xmlns:mo="http://schemas.microsoft.com/office/mac/office/2008/main" xmlns:mv="urn:schemas-microsoft-com:mac:vml" xmlns:m="http://schemas.openxmlformats.org/officeDocument/2006/math" xmlns:wpi="http://schemas.microsoft.com/office/word/2010/wordprocessingInk" xmlns:wne="http://schemas.microsoft.com/office/word/2006/wordml">
              <w:drawing>
                <wp:inline xmlns:a="http://schemas.openxmlformats.org/drawingml/2006/main">
                  <wp:extent cx="2387000" cy="440105"/>
                  <wp:docPr id="805" name="Equation 5" descr="\begin{aligned}&#10;\Delta^{\mathrm M}_{\kappa_r}(x;u,u_0)&#10;&amp;=\mathbb E\!\left[G\mid x,\operatorname{do}(u),\kappa_r\right]\\&#10;&amp;\quad-\mathbb E\!\left[G\mid x,\operatorname{do}(u_0),\kappa_r\right]&#10;\end{aligned}\tag{5}"/>
                  <wp:cNvGraphicFramePr>
                    <a:graphicFrameLocks noChangeAspect="1"/>
                  </wp:cNvGraphicFramePr>
                  <a:graphic>
                    <a:graphicData uri="http://schemas.openxmlformats.org/drawingml/2006/picture">
                      <pic:pic>
                        <pic:nvPicPr>
                          <pic:cNvPr id="0" name="equation-5.png"/>
                          <pic:cNvPicPr/>
                        </pic:nvPicPr>
                        <pic:blipFill>
                          <a:blip r:embed="rIdWpsEquation5"/>
                          <a:stretch>
                            <a:fillRect/>
                          </a:stretch>
                        </pic:blipFill>
                        <pic:spPr>
                          <a:xfrm>
                            <a:off x="0" y="0"/>
                            <a:ext cx="2387000" cy="440105"/>
                          </a:xfrm>
                          <a:prstGeom prst="rect"/>
                        </pic:spPr>
                      </pic:pic>
                    </a:graphicData>
                  </a:graphic>
                </wp:inline>
              </w:drawing>
            </w:r>
            <w:r>
              <w:tab/>
            </w:r>
            <w:r>
              <w:rPr>
                <w:rFonts w:ascii="Times New Roman" w:hAnsi="Times New Roman" w:eastAsia="Times New Roman" w:cs="Times New Roman"/>
                <w:i w:val="0"/>
                <w:iCs w:val="0"/>
                <w:sz w:val="24"/>
                <w:szCs w:val="24"/>
                <w:position w:val="27"/>
              </w:rPr>
              <w:t>(5)</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Times New Roman" w:cs="Times New Roman"/>
                <w:i w:val="1"/>
                <w:iCs w:val="1"/>
                <w:sz w:val="24"/>
                <w:szCs w:val="24"/>
              </w:rPr>
              <w:t>x</w:t>
            </w:r>
            <w:r>
              <w:rPr>
                <w:rFonts w:ascii="Times New Roman" w:hAnsi="Times New Roman" w:eastAsia="仿宋_GB2312"/>
                <w:sz w:val="24"/>
                <w:szCs w:val="24"/>
                <w:color w:val="000000"/>
              </w:rPr>
              <w:t>应包括物理、控制器、随机状态、历史、记忆和未执行动作缓存。固定的是起始状态与策略参数，而不是未来子任务和动作序列；允许记忆通过后续决策改变物理轨迹，才能保留待评价的作用路径。该量是相对某个合法参考操作的效用差，不自动等于无偏策略优势，也不具有单调策略改进保证。</w:t>
            </w:r>
          </w:p>
          <w:p xmlns:wpc="http://schemas.microsoft.com/office/word/2010/wordprocessingCanvas" xmlns:mo="http://schemas.microsoft.com/office/mac/office/2008/main" xmlns:mv="urn:schemas-microsoft-com:mac:vml" xmlns:m="http://schemas.openxmlformats.org/officeDocument/2006/math" xmlns:wpi="http://schemas.microsoft.com/office/word/2010/wordprocessingInk" xmlns:wne="http://schemas.microsoft.com/office/word/2006/wordml">
            <w:pPr>
              <w:jc w:val="center"/>
              <w:keepNext w:val="1"/>
              <w:keepLines w:val="1"/>
              <w:spacing w:before="80" w:after="40"/>
            </w:pPr>
            <w:r>
              <w:drawing>
                <wp:inline xmlns:a="http://schemas.openxmlformats.org/drawingml/2006/main">
                  <wp:extent cx="5687568" cy="3910203"/>
                  <wp:docPr id="105" name="图5-物理后果记忆信用估计" descr="图5 物理后果记忆信用的候选估计。固定扩展起点、后续策略版本与信息预算，对比合法记忆操作；后续决策与动作可变化，可信差异用于辅助偏好。不确定差异不强标偏好，分支交互均计入成本。自绘方案，非已运行轨迹或理论保证。"/>
                  <wp:cNvGraphicFramePr>
                    <a:graphicFrameLocks noChangeAspect="1"/>
                  </wp:cNvGraphicFramePr>
                  <a:graphic>
                    <a:graphicData uri="http://schemas.openxmlformats.org/drawingml/2006/picture">
                      <pic:pic>
                        <pic:nvPicPr>
                          <pic:cNvPr id="0" name="图5-物理后果记忆信用估计.png"/>
                          <pic:cNvPicPr/>
                        </pic:nvPicPr>
                        <pic:blipFill>
                          <a:blip r:embed="rIdProposalFigure5"/>
                          <a:stretch>
                            <a:fillRect/>
                          </a:stretch>
                        </pic:blipFill>
                        <pic:spPr>
                          <a:xfrm>
                            <a:off x="0" y="0"/>
                            <a:ext cx="5687568" cy="3910203"/>
                          </a:xfrm>
                          <a:prstGeom prst="rect"/>
                        </pic:spPr>
                      </pic:pic>
                    </a:graphicData>
                  </a:graphic>
                </wp:inline>
              </w:drawing>
            </w:r>
          </w:p>
          <w:p>
            <w:pPr>
              <w:pStyle w:val="Normal"/>
              <w:spacing w:before="0" w:after="20" w:line="336" w:lineRule="exact"/>
              <w:rPr>
                <w:rFonts w:eastAsia="黑体" w:hint="eastAsia"/>
                <w:sz w:val="24"/>
              </w:rPr>
              <w:ind w:firstLine="0" w:firstLineChars="0"/>
              <w:jc w:val="both"/>
              <w:keepNext w:val="0"/>
              <w:keepLines w:val="0"/>
              <w:widowControl w:val="1"/>
              <w:wordWrap w:val="0"/>
            </w:pPr>
            <w:r>
              <w:rPr>
                <w:rFonts w:ascii="Times New Roman" w:hAnsi="Times New Roman" w:eastAsia="仿宋_GB2312"/>
                <w:sz w:val="24"/>
                <w:szCs w:val="24"/>
                <w:color w:val="000000"/>
              </w:rPr>
              <w:t>图5 物理后果记忆信用的候选估计。固定扩展起点、后续策略版本与信息预算，对比合法记忆操作；后续决策与动作可变化，可信差异用于辅助偏好。不确定差异不强标偏好，分支交互均计入成本。自绘方案，非已运行轨迹或理论保证。</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2.7 可信偏好构造与辅助优化</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研究拟预先规定候选对、分支次数、配对随机条件、差异阈值与不确定性判定。候选应具有相同可用信息和预算，不使用未来真值；优劣不清楚时不生成硬偏好。尤其不能在大量随机候选中挑选最高回报者，再使用同一批数据宣称高置信度。若公共起点无法可靠重建，则成对试验仅作为诊断，不据此生成主要方法的信用标签。</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对可信偏好对</w:t>
            </w:r>
            <w:r>
              <w:rPr>
                <w:rFonts w:ascii="Times New Roman" w:hAnsi="Times New Roman" w:eastAsia="Times New Roman" w:cs="Times New Roman"/>
                <w:i w:val="0"/>
                <w:iCs w:val="0"/>
                <w:sz w:val="24"/>
                <w:szCs w:val="24"/>
              </w:rPr>
              <w:t>(</w:t>
            </w:r>
            <w:r>
              <w:rPr>
                <w:rFonts w:ascii="Times New Roman" w:hAnsi="Times New Roman" w:eastAsia="Times New Roman" w:cs="Times New Roman"/>
                <w:i w:val="1"/>
                <w:iCs w:val="1"/>
                <w:sz w:val="24"/>
                <w:szCs w:val="24"/>
              </w:rPr>
              <w:t>u</w:t>
            </w:r>
            <w:r>
              <w:rPr>
                <w:rFonts w:ascii="Times New Roman" w:hAnsi="Times New Roman" w:eastAsia="Times New Roman" w:cs="Times New Roman"/>
                <w:i w:val="0"/>
                <w:iCs w:val="0"/>
                <w:sz w:val="24"/>
                <w:szCs w:val="24"/>
                <w:vertAlign w:val="superscript"/>
              </w:rPr>
              <w:t>+</w:t>
            </w:r>
            <w:r>
              <w:rPr>
                <w:rFonts w:ascii="Times New Roman" w:hAnsi="Times New Roman" w:eastAsia="Times New Roman" w:cs="Times New Roman"/>
                <w:i w:val="0"/>
                <w:iCs w:val="0"/>
                <w:sz w:val="24"/>
                <w:szCs w:val="24"/>
              </w:rPr>
              <w:t>, </w:t>
            </w:r>
            <w:r>
              <w:rPr>
                <w:rFonts w:ascii="Times New Roman" w:hAnsi="Times New Roman" w:eastAsia="Times New Roman" w:cs="Times New Roman"/>
                <w:i w:val="1"/>
                <w:iCs w:val="1"/>
                <w:sz w:val="24"/>
                <w:szCs w:val="24"/>
              </w:rPr>
              <w:t>u</w:t>
            </w:r>
            <w:r>
              <w:rPr>
                <w:rFonts w:ascii="Times New Roman" w:hAnsi="Times New Roman" w:eastAsia="Times New Roman" w:cs="Times New Roman"/>
                <w:i w:val="0"/>
                <w:iCs w:val="0"/>
                <w:sz w:val="24"/>
                <w:szCs w:val="24"/>
                <w:vertAlign w:val="superscript"/>
              </w:rPr>
              <w:t>−</w:t>
            </w:r>
            <w:r>
              <w:rPr>
                <w:rFonts w:ascii="Times New Roman" w:hAnsi="Times New Roman" w:eastAsia="Times New Roman" w:cs="Times New Roman"/>
                <w:i w:val="0"/>
                <w:iCs w:val="0"/>
                <w:sz w:val="24"/>
                <w:szCs w:val="24"/>
              </w:rPr>
              <w:t>)</w:t>
            </w:r>
            <w:r>
              <w:rPr>
                <w:rFonts w:ascii="Times New Roman" w:hAnsi="Times New Roman" w:eastAsia="仿宋_GB2312"/>
                <w:sz w:val="24"/>
                <w:szCs w:val="24"/>
                <w:color w:val="000000"/>
              </w:rPr>
              <w:t>，采用标准DPO式读写token辅助目标。读写概率的对数比记为</w:t>
            </w:r>
            <w:r>
              <w:rPr>
                <w:rFonts w:ascii="Times New Roman" w:hAnsi="Times New Roman" w:eastAsia="Times New Roman" w:cs="Times New Roman"/>
                <w:i w:val="1"/>
                <w:iCs w:val="1"/>
                <w:sz w:val="24"/>
                <w:szCs w:val="24"/>
              </w:rPr>
              <w:t>d</w:t>
            </w:r>
            <w:r>
              <w:rPr>
                <w:rFonts w:ascii="Times New Roman" w:hAnsi="Times New Roman" w:eastAsia="Times New Roman" w:cs="Times New Roman"/>
                <w:i w:val="1"/>
                <w:iCs w:val="1"/>
                <w:sz w:val="24"/>
                <w:szCs w:val="24"/>
                <w:vertAlign w:val="subscript"/>
              </w:rPr>
              <w:t>θ</w:t>
            </w:r>
            <w:r>
              <w:rPr>
                <w:rFonts w:ascii="Times New Roman" w:hAnsi="Times New Roman" w:eastAsia="Times New Roman" w:cs="Times New Roman"/>
                <w:i w:val="0"/>
                <w:iCs w:val="0"/>
                <w:sz w:val="24"/>
                <w:szCs w:val="24"/>
              </w:rPr>
              <w:t>(</w:t>
            </w:r>
            <w:r>
              <w:rPr>
                <w:rFonts w:ascii="Times New Roman" w:hAnsi="Times New Roman" w:eastAsia="Times New Roman" w:cs="Times New Roman"/>
                <w:i w:val="1"/>
                <w:iCs w:val="1"/>
                <w:sz w:val="24"/>
                <w:szCs w:val="24"/>
              </w:rPr>
              <w:t>u</w:t>
            </w:r>
            <w:r>
              <w:rPr>
                <w:rFonts w:ascii="Times New Roman" w:hAnsi="Times New Roman" w:eastAsia="Times New Roman" w:cs="Times New Roman"/>
                <w:i w:val="0"/>
                <w:iCs w:val="0"/>
                <w:sz w:val="24"/>
                <w:szCs w:val="24"/>
              </w:rPr>
              <w:t>)</w:t>
            </w:r>
            <w:r>
              <w:rPr>
                <w:rFonts w:ascii="Times New Roman" w:hAnsi="Times New Roman" w:eastAsia="仿宋_GB2312"/>
                <w:sz w:val="24"/>
                <w:szCs w:val="24"/>
                <w:color w:val="000000"/>
              </w:rPr>
              <w:t>，定义如下：</w:t>
            </w:r>
          </w:p>
          <w:p>
            <w:pPr>
              <w:pStyle w:val="Normal"/>
              <w:rPr>
                <w:rFonts w:eastAsia="黑体" w:hint="eastAsia"/>
                <w:sz w:val="24"/>
              </w:rPr>
              <w:keepNext w:val="0"/>
              <w:widowControl w:val="1"/>
              <w:wordWrap w:val="0"/>
              <w:tabs>
                <w:tab w:val="center" w:pos="4650"/>
                <w:tab w:val="right" w:pos="9500"/>
              </w:tabs>
              <w:ind w:left="0" w:right="0" w:firstLine="0"/>
              <w:jc w:val="left"/>
              <w:spacing w:before="80" w:after="80" w:line="280" w:lineRule="atLeast"/>
              <w:keepLines w:val="1"/>
              <w:snapToGrid w:val="0"/>
            </w:pPr>
            <w:r>
              <w:tab/>
            </w:r>
            <w:r xmlns:wpc="http://schemas.microsoft.com/office/word/2010/wordprocessingCanvas" xmlns:mo="http://schemas.microsoft.com/office/mac/office/2008/main" xmlns:mv="urn:schemas-microsoft-com:mac:vml" xmlns:m="http://schemas.openxmlformats.org/officeDocument/2006/math" xmlns:wpi="http://schemas.microsoft.com/office/word/2010/wordprocessingInk" xmlns:wne="http://schemas.microsoft.com/office/word/2006/wordml">
              <w:drawing>
                <wp:inline xmlns:a="http://schemas.openxmlformats.org/drawingml/2006/main">
                  <wp:extent cx="1921342" cy="471088"/>
                  <wp:docPr id="806" name="Equation 6" descr="d_\theta(u)=\log\frac{p_\theta^{\mathrm M}(u\mid b,M,+)}{p_{\mathrm{ref}}^{\mathrm M}(u\mid b,M,+)}\tag{6}"/>
                  <wp:cNvGraphicFramePr>
                    <a:graphicFrameLocks noChangeAspect="1"/>
                  </wp:cNvGraphicFramePr>
                  <a:graphic>
                    <a:graphicData uri="http://schemas.openxmlformats.org/drawingml/2006/picture">
                      <pic:pic>
                        <pic:nvPicPr>
                          <pic:cNvPr id="0" name="equation-6.png"/>
                          <pic:cNvPicPr/>
                        </pic:nvPicPr>
                        <pic:blipFill>
                          <a:blip r:embed="rIdWpsEquation6"/>
                          <a:stretch>
                            <a:fillRect/>
                          </a:stretch>
                        </pic:blipFill>
                        <pic:spPr>
                          <a:xfrm>
                            <a:off x="0" y="0"/>
                            <a:ext cx="1921342" cy="471088"/>
                          </a:xfrm>
                          <a:prstGeom prst="rect"/>
                        </pic:spPr>
                      </pic:pic>
                    </a:graphicData>
                  </a:graphic>
                </wp:inline>
              </w:drawing>
            </w:r>
            <w:r>
              <w:tab/>
            </w:r>
            <w:r>
              <w:rPr>
                <w:rFonts w:ascii="Times New Roman" w:hAnsi="Times New Roman" w:eastAsia="Times New Roman" w:cs="Times New Roman"/>
                <w:i w:val="0"/>
                <w:iCs w:val="0"/>
                <w:sz w:val="24"/>
                <w:szCs w:val="24"/>
                <w:position w:val="29"/>
              </w:rPr>
              <w:t>(6)</w:t>
            </w:r>
          </w:p>
          <w:p>
            <w:pPr>
              <w:pStyle w:val="Normal"/>
              <w:rPr>
                <w:rFonts w:eastAsia="黑体" w:hint="eastAsia"/>
                <w:sz w:val="24"/>
              </w:rPr>
              <w:keepNext w:val="0"/>
              <w:widowControl w:val="1"/>
              <w:wordWrap w:val="0"/>
              <w:tabs>
                <w:tab w:val="center" w:pos="4650"/>
                <w:tab w:val="right" w:pos="9500"/>
              </w:tabs>
              <w:ind w:left="0" w:right="0" w:firstLine="0"/>
              <w:jc w:val="left"/>
              <w:spacing w:before="80" w:after="80" w:line="280" w:lineRule="atLeast"/>
              <w:keepLines w:val="1"/>
              <w:snapToGrid w:val="0"/>
            </w:pPr>
            <w:r>
              <w:tab/>
            </w:r>
            <w:r xmlns:wpc="http://schemas.microsoft.com/office/word/2010/wordprocessingCanvas" xmlns:mo="http://schemas.microsoft.com/office/mac/office/2008/main" xmlns:mv="urn:schemas-microsoft-com:mac:vml" xmlns:m="http://schemas.openxmlformats.org/officeDocument/2006/math" xmlns:wpi="http://schemas.microsoft.com/office/word/2010/wordprocessingInk" xmlns:wne="http://schemas.microsoft.com/office/word/2006/wordml">
              <w:drawing>
                <wp:inline xmlns:a="http://schemas.openxmlformats.org/drawingml/2006/main">
                  <wp:extent cx="2570688" cy="233527"/>
                  <wp:docPr id="807" name="Equation 7" descr="L_{\mathrm{pair}}=-w\log\sigma\!\left(\beta\left[d_\theta(u^{+})-d_\theta(u^{-})\right]\right)\tag{7}"/>
                  <wp:cNvGraphicFramePr>
                    <a:graphicFrameLocks noChangeAspect="1"/>
                  </wp:cNvGraphicFramePr>
                  <a:graphic>
                    <a:graphicData uri="http://schemas.openxmlformats.org/drawingml/2006/picture">
                      <pic:pic>
                        <pic:nvPicPr>
                          <pic:cNvPr id="0" name="equation-7.png"/>
                          <pic:cNvPicPr/>
                        </pic:nvPicPr>
                        <pic:blipFill>
                          <a:blip r:embed="rIdWpsEquation7"/>
                          <a:stretch>
                            <a:fillRect/>
                          </a:stretch>
                        </pic:blipFill>
                        <pic:spPr>
                          <a:xfrm>
                            <a:off x="0" y="0"/>
                            <a:ext cx="2570688" cy="233527"/>
                          </a:xfrm>
                          <a:prstGeom prst="rect"/>
                        </pic:spPr>
                      </pic:pic>
                    </a:graphicData>
                  </a:graphic>
                </wp:inline>
              </w:drawing>
            </w:r>
            <w:r>
              <w:tab/>
            </w:r>
            <w:r>
              <w:rPr>
                <w:rFonts w:ascii="Times New Roman" w:hAnsi="Times New Roman" w:eastAsia="Times New Roman" w:cs="Times New Roman"/>
                <w:i w:val="0"/>
                <w:iCs w:val="0"/>
                <w:sz w:val="24"/>
                <w:szCs w:val="24"/>
                <w:position w:val="10"/>
              </w:rPr>
              <w:t>(7)</w:t>
            </w:r>
          </w:p>
          <w:p>
            <w:pPr>
              <w:pStyle w:val="Normal"/>
              <w:rPr>
                <w:rFonts w:eastAsia="黑体" w:hint="eastAsia"/>
                <w:sz w:val="24"/>
              </w:rPr>
              <w:keepNext w:val="0"/>
              <w:widowControl w:val="1"/>
              <w:wordWrap w:val="0"/>
              <w:tabs>
                <w:tab w:val="center" w:pos="4650"/>
                <w:tab w:val="right" w:pos="9500"/>
              </w:tabs>
              <w:ind w:left="0" w:right="0" w:firstLine="0"/>
              <w:jc w:val="left"/>
              <w:spacing w:before="80" w:after="80" w:line="280" w:lineRule="atLeast"/>
              <w:keepLines w:val="1"/>
              <w:snapToGrid w:val="0"/>
            </w:pPr>
            <w:r>
              <w:tab/>
            </w:r>
            <w:r xmlns:wpc="http://schemas.microsoft.com/office/word/2010/wordprocessingCanvas" xmlns:mo="http://schemas.microsoft.com/office/mac/office/2008/main" xmlns:mv="urn:schemas-microsoft-com:mac:vml" xmlns:m="http://schemas.openxmlformats.org/officeDocument/2006/math" xmlns:wpi="http://schemas.microsoft.com/office/word/2010/wordprocessingInk" xmlns:wne="http://schemas.microsoft.com/office/word/2006/wordml">
              <w:drawing>
                <wp:inline xmlns:a="http://schemas.openxmlformats.org/drawingml/2006/main">
                  <wp:extent cx="1341978" cy="200334"/>
                  <wp:docPr id="808" name="Equation 8" descr="L=L_{\mathrm{base}}+\lambda_{\mathrm P}L_{\mathrm{pair}}\tag{8}"/>
                  <wp:cNvGraphicFramePr>
                    <a:graphicFrameLocks noChangeAspect="1"/>
                  </wp:cNvGraphicFramePr>
                  <a:graphic>
                    <a:graphicData uri="http://schemas.openxmlformats.org/drawingml/2006/picture">
                      <pic:pic>
                        <pic:nvPicPr>
                          <pic:cNvPr id="0" name="equation-8.png"/>
                          <pic:cNvPicPr/>
                        </pic:nvPicPr>
                        <pic:blipFill>
                          <a:blip r:embed="rIdWpsEquation8"/>
                          <a:stretch>
                            <a:fillRect/>
                          </a:stretch>
                        </pic:blipFill>
                        <pic:spPr>
                          <a:xfrm>
                            <a:off x="0" y="0"/>
                            <a:ext cx="1341978" cy="200334"/>
                          </a:xfrm>
                          <a:prstGeom prst="rect"/>
                        </pic:spPr>
                      </pic:pic>
                    </a:graphicData>
                  </a:graphic>
                </wp:inline>
              </w:drawing>
            </w:r>
            <w:r>
              <w:tab/>
            </w:r>
            <w:r>
              <w:rPr>
                <w:rFonts w:ascii="Times New Roman" w:hAnsi="Times New Roman" w:eastAsia="Times New Roman" w:cs="Times New Roman"/>
                <w:i w:val="0"/>
                <w:iCs w:val="0"/>
                <w:sz w:val="24"/>
                <w:szCs w:val="24"/>
                <w:position w:val="8"/>
              </w:rPr>
              <w:t>(8)</w:t>
            </w:r>
          </w:p>
          <w:p>
            <w:pPr>
              <w:pStyle w:val="Normal"/>
              <w:spacing w:before="0" w:after="400" w:line="336" w:lineRule="exact"/>
              <w:rPr>
                <w:rFonts w:eastAsia="黑体" w:hint="eastAsia"/>
                <w:sz w:val="24"/>
              </w:rPr>
              <w:ind w:firstLine="0" w:firstLineChars="200"/>
              <w:jc w:val="both"/>
              <w:keepNext w:val="0"/>
              <w:keepLines w:val="0"/>
              <w:widowControl w:val="1"/>
              <w:wordWrap w:val="0"/>
            </w:pPr>
            <w:r>
              <w:rPr>
                <w:rFonts w:ascii="Times New Roman" w:hAnsi="Times New Roman" w:eastAsia="Times New Roman" w:cs="Times New Roman"/>
                <w:i w:val="1"/>
                <w:iCs w:val="1"/>
                <w:sz w:val="24"/>
                <w:szCs w:val="24"/>
              </w:rPr>
              <w:t>p</w:t>
            </w:r>
            <w:r>
              <w:rPr>
                <w:rFonts w:ascii="Times New Roman" w:hAnsi="Times New Roman" w:eastAsia="Times New Roman" w:cs="Times New Roman"/>
                <w:i w:val="0"/>
                <w:iCs w:val="0"/>
                <w:sz w:val="24"/>
                <w:szCs w:val="24"/>
                <w:vertAlign w:val="superscript"/>
              </w:rPr>
              <w:t>M</w:t>
            </w:r>
            <w:r>
              <w:rPr>
                <w:rFonts w:ascii="Times New Roman" w:hAnsi="Times New Roman" w:eastAsia="仿宋_GB2312"/>
                <w:sz w:val="24"/>
                <w:szCs w:val="24"/>
                <w:color w:val="000000"/>
              </w:rPr>
              <w:t>只计READ与WRITE生成概率，检索正文不计入；参考模型</w:t>
            </w:r>
            <w:r>
              <w:rPr>
                <w:rFonts w:ascii="Times New Roman" w:hAnsi="Times New Roman" w:eastAsia="Times New Roman" w:cs="Times New Roman"/>
                <w:i w:val="1"/>
                <w:iCs w:val="1"/>
                <w:sz w:val="24"/>
                <w:szCs w:val="24"/>
              </w:rPr>
              <w:t>p</w:t>
            </w:r>
            <w:r>
              <w:rPr>
                <w:rFonts w:ascii="Times New Roman" w:hAnsi="Times New Roman" w:eastAsia="Times New Roman" w:cs="Times New Roman"/>
                <w:i w:val="0"/>
                <w:iCs w:val="0"/>
                <w:sz w:val="24"/>
                <w:szCs w:val="24"/>
                <w:vertAlign w:val="subscript"/>
              </w:rPr>
              <w:t>ref</w:t>
            </w:r>
            <w:r>
              <w:rPr>
                <w:rFonts w:ascii="Times New Roman" w:hAnsi="Times New Roman" w:eastAsia="仿宋_GB2312"/>
                <w:sz w:val="24"/>
                <w:szCs w:val="24"/>
                <w:color w:val="000000"/>
              </w:rPr>
              <w:t>与参考物理操作</w:t>
            </w:r>
            <w:r>
              <w:rPr>
                <w:rFonts w:ascii="Times New Roman" w:hAnsi="Times New Roman" w:eastAsia="Times New Roman" w:cs="Times New Roman"/>
                <w:i w:val="1"/>
                <w:iCs w:val="1"/>
                <w:sz w:val="24"/>
                <w:szCs w:val="24"/>
              </w:rPr>
              <w:t>u</w:t>
            </w:r>
            <w:r>
              <w:rPr>
                <w:rFonts w:ascii="Times New Roman" w:hAnsi="Times New Roman" w:eastAsia="Times New Roman" w:cs="Times New Roman"/>
                <w:i w:val="0"/>
                <w:iCs w:val="0"/>
                <w:sz w:val="24"/>
                <w:szCs w:val="24"/>
                <w:vertAlign w:val="subscript"/>
              </w:rPr>
              <w:t>0</w:t>
            </w:r>
            <w:r>
              <w:rPr>
                <w:rFonts w:ascii="Times New Roman" w:hAnsi="Times New Roman" w:eastAsia="仿宋_GB2312"/>
                <w:sz w:val="24"/>
                <w:szCs w:val="24"/>
                <w:color w:val="000000"/>
              </w:rPr>
              <w:t>是不同对象。候选均须位于相同受限语法的有效支持。其中</w:t>
            </w:r>
            <w:r>
              <w:rPr>
                <w:rFonts w:ascii="Times New Roman" w:hAnsi="Times New Roman" w:eastAsia="Times New Roman" w:cs="Times New Roman"/>
                <w:i w:val="0"/>
                <w:iCs w:val="0"/>
                <w:sz w:val="24"/>
                <w:szCs w:val="24"/>
              </w:rPr>
              <w:t>+</w:t>
            </w:r>
            <w:r>
              <w:rPr>
                <w:rFonts w:ascii="Times New Roman" w:hAnsi="Times New Roman" w:eastAsia="仿宋_GB2312"/>
                <w:sz w:val="24"/>
                <w:szCs w:val="24"/>
                <w:color w:val="000000"/>
              </w:rPr>
              <w:t>表示正优势条件，</w:t>
            </w:r>
            <w:r>
              <w:rPr>
                <w:rFonts w:ascii="Times New Roman" w:hAnsi="Times New Roman" w:eastAsia="Times New Roman" w:cs="Times New Roman"/>
                <w:i w:val="1"/>
                <w:iCs w:val="1"/>
                <w:sz w:val="24"/>
                <w:szCs w:val="24"/>
              </w:rPr>
              <w:t>β</w:t>
            </w:r>
            <w:r>
              <w:rPr>
                <w:rFonts w:ascii="Times New Roman" w:hAnsi="Times New Roman" w:eastAsia="仿宋_GB2312"/>
                <w:sz w:val="24"/>
                <w:szCs w:val="24"/>
                <w:color w:val="000000"/>
              </w:rPr>
              <w:t>为偏好目标的缩放系数，权重</w:t>
            </w:r>
            <w:r>
              <w:rPr>
                <w:rFonts w:ascii="Times New Roman" w:hAnsi="Times New Roman" w:eastAsia="Times New Roman" w:cs="Times New Roman"/>
                <w:i w:val="1"/>
                <w:iCs w:val="1"/>
                <w:sz w:val="24"/>
                <w:szCs w:val="24"/>
              </w:rPr>
              <w:t>w</w:t>
            </w:r>
            <w:r>
              <w:rPr>
                <w:rFonts w:ascii="Times New Roman" w:hAnsi="Times New Roman" w:eastAsia="仿宋_GB2312"/>
                <w:sz w:val="24"/>
                <w:szCs w:val="24"/>
                <w:color w:val="000000"/>
              </w:rPr>
              <w:t>按预先确定的可信度规则给出。此处损失形式是已有偏好学习工具，候选贡献只能来自物理信用构造及其成本收益，而不能来自公式名称。由于</w:t>
            </w:r>
            <w:r>
              <w:rPr>
                <w:rFonts w:ascii="Times New Roman" w:hAnsi="Times New Roman" w:eastAsia="Times New Roman" w:cs="Times New Roman"/>
                <w:i w:val="1"/>
                <w:iCs w:val="1"/>
                <w:sz w:val="24"/>
                <w:szCs w:val="24"/>
              </w:rPr>
              <w:t>θ</w:t>
            </w:r>
            <w:r>
              <w:rPr>
                <w:rFonts w:ascii="Times New Roman" w:hAnsi="Times New Roman" w:eastAsia="仿宋_GB2312"/>
                <w:sz w:val="24"/>
                <w:szCs w:val="24"/>
                <w:color w:val="000000"/>
              </w:rPr>
              <w:t>共享，直接监督读写token仍可能影响子任务与动作条件，应报告低层技能和高层决策的交叉变化。</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2.8 策略变化下的有限信用刷新</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记忆价值依赖后续执行能力。旧专家可能反复从某方向抓取失败，新专家改善后，该失败记录对未来决策的作用可能改变。每轮采集与信用估计使用冻结快照，保存VLM、动作专家、记忆schema、提示、归一化和控制时钟版本；联合更新后，对少量高影响或高不确定样本重新续跑，检验偏好排序是否变化。增加policy ID只提供版本线索，不自动修正旧经验对当前策略的价值偏差。</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正式实验需比较固定旧标签、有限刷新和相同预算的普通新增rollout，并将两侧续跑、公共前缀重放及刷新全部计入交互成本。若普通rollout更有效，或刷新成本抵消收益，则不主张交互效率优势。理论研究主要分析偏差来源、方差及适用条件，提供可检验的机制假设，不预先承诺一般收敛定理。</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2.9 实施门槛与最小可验收闭环</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先完成受限语法、因果mask、梯度流和数据版本验收，再补齐取送、归位释放及重抓技能，以监督数据暖启动读写和子任务；随后运行联合RECAP基线。只有基础技能具有非零成功率、任务确有历史混淆、高层学习有效，才开展分支恢复与信用研究。当前环境尚未验收完整中途状态恢复，须检查同seed重放后的关节与物体位置速度、控制器、时钟和接触状态；画面相似不能代替物理等价。</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主要比较包括同架构监督记忆、联合RECAP、相同分支轨迹但无偏好损失、同数据加入信用辅助，以及等成本普通采样。以整程成功、重复遗漏、错误完成记录、恢复能力、基础技能保持和总成本评价。若规则或强监督已以相同成本解决问题，则保留联合框架与评测结果，收缩信用创新主张。全部方法目前属于待实现和待验证方案，不据已有单步接口或零奖励训练记录宣称研究目标已经实现。</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2.10 可检验假设与失效解释</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第一项假设是，高层显式记忆能够减少外观重复场景中的遗漏与重复。检验时保持当前图像、技能和动作学习预算相同，分别移除记忆、提供规则记忆与提供学习记忆。若模型仅根据摆放差异就能辨认进度，应先消除这种捷径，不能将额外视觉线索的收益解释为记忆学习。</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第二项假设是，成对续跑能够改善记忆信用的方向，而不只是提供更多轨迹。为此，应将两侧轨迹原样放入普通联合RECAP数据池，与加入成对辅助的结果比较，并统计记忆偏好与整段高层质量标签冲突的比例。当正确记忆遇到运动失败时，辅助评价是否减少错误惩罚；当错误记忆被偶然动作挽救时，辅助评价是否仍能识别风险，是机制分析的重点。</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第三项假设是，执行策略显著变化后，有限刷新优于永久沿用旧偏好。比较应先确认低层能力确有变化，再测相同记忆候选的效用排序，而不是仅按训练步数安排刷新。若排序基本稳定，则无需为版本机制增加复杂度。若不稳定主要来自物理重建误差，应先修复实验协议，不能把恢复器误差归因于策略变化。</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这些假设共同限定课题的创新尺度：研究的是物理闭环中记忆信用何时可靠、何时过期及如何低成本修正，而不是证明显式记忆总优于隐式历史，也不是将语言模型偏好训练直接搬入机器人便视为新算法。最终应同时报告成立条件、失败案例和资源代价，使研究结论能支持后续方法选择。</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2.11 干式样品核验与归位任务的形式化定义</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最小场景由两个外观可区分的空样品瓶A、B、一个核验区和两个归位容差区组成。指令指定先A后B或先B后A，机器人依次完成取送、核验和归位。该任务模拟实验室样品周转中的顺序与进度管理，不模拟化学反应、成分测定或液体操作。第一阶段只要求两瓶均处于可执行技能的抓取范围；倒伏后必须扶正、远距离掉落等超出技能覆盖的状态另行统计，不混入主要恢复测试。</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核验事件由隐藏的物理验收器判定：目标瓶主体位于核验区域内，姿态及速度满足预设容差，并持续达到规定时间。归位事件要求瓶进入对应容差区、稳定放置且手部释放。容差和持续时间通过技能先导实验确定，正式比较前固定；不能事后针对某个方法放宽。验收器连续满足条件只产生一次事件，以防控制高频采样虚增计数。再次将已经核验的瓶送入核验区，作为重复访问记录，不增加完成收益。</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流程成功要求每瓶具有一次有效核验和一次后续归位事件，事件顺序符合指令，前瓶归位后才开始后瓶的核验流程，最终双手释放且器皿稳定，整个过程未超过统一时限。抓取失败不立即终止，允许在剩余时限内重试；物体不可达、严重越界等不可恢复事件按同一规则结束。整程成功与可完成进度分开记录，不能用部分进度得分代替SR。奖励可包含终局完成收益、时间成本和经过核对的错误成本；奖励权重及停止规则先经小规模敏感性检查，再对所有方法固定。</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2.12 历史混淆及记忆必要性的验证</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任务长并不自动意味着需要记忆。为检验本任务，拟构造三组交接状态：均未核验、A已核验归位、B已核验归位。样品回到近似相同位置后，三组当前画面和本体状态应高度接近，但正确下一子任务不同。通过匹配初态和归位容差，记录当前RGB、关节状态及下一步标签，检查是否存在位置偏移、瓶盖标志、时间显示、记忆目录长度等非预期进度线索。</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设置当前观测模型、同容量短窗口模型及读取真实历史的模型进行监督诊断；前者若已稳定区分进度，应先修正任务而非宣称记忆有效。该诊断只支持本任务中的部分可观测性，不证明任何模型在理论上无法从图像推断历史。反事实记忆检查则在匹配物理状态下置换或删除进度记录，观察子任务变化是否符合被改变的历史，并检查持物、位置与处理进度三类事实是否被错误混为一谈。真实完成标签仅供监督和验收，不直接作为actor的输入记录。</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2.13 扰动条件及训练测试划分</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第一组为无额外扰动的标准流程，统计顺序、重复和遗漏。第二组为执行失败，在取送或放置阶段引入受限抓取滑落、目标未稳定进入核验区等情况，检验模型是否在尚未完成时写入“已核验”，以及能否选择重试。第三组为完成后的场景变化：已核验并归位的瓶被移动或短暂遮挡，检验模型能否保留有效进度，同时纠正过时位置或持物记录。物体移动不自动撤销已处理事实，也不强制恢复整个初始布局。</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扰动在预先定义的事件窗口触发，不能看到某方法即将成功后再手工干预。训练和测试使用不同随机种子、位置组合及扰动时刻；先验证幅度内泛化，再单列幅度外测试。外观、指令顺序与扰动强度分别控制，避免同时改变所有因素而无法归因。测试协议锁定后不用于挑选奖励、阈值或偏好权重；调参使用独立验证集。所有方法共享相同初态和扰动计划，并保存实际触发时间，避免因执行速度差异造成完全不同的干预语义。</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2.14 技能数据、高层监督与联合训练</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现有50条轨迹主要支持抓起持稳，不能视为完整多步骤技能库。拟优先补齐取送核验区、归位释放两类技能，将重抓作为已有抓取技能在失败状态下的扩展。每类先进行少量示范与独立回测，若可用率过低则先补数据，不启动高层RL。第一阶段可由脚本执行部分技能以诊断记忆机制，但脚本范围需对各方法一致，且不能据此宣称实现端到端长程VLA。</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在动作轨迹上标注高层边界，并依据当时可见证据构造READ、WRITE、CORRECT、REVOKE及下一子任务标签。人工复核“抓取尝试”与“已经持物”、“进入区域”与“核验完成”的区别，保留不确定记录，不用未来真值伪装当时确定事实。先以监督训练获得合法、可执行的操作，再开展共享VLM高层回报条件化及动作专家学习。数据保存原始RGB、读写前后bank、所选正文、子任务、实际执行动作与持续时长、终止原因及策略版本，防止更新VLM后沿用过时特征缓存。</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2.15 同数据、同成本对照与统计计划</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对照依次设置为：无长期记忆的动作RECAP；相同记忆通道但只用监督读写和子任务、动作侧使用RECAP；采用固定规则读写的策略；高层与动作联合RECAP；加入同一配对分支数据但不使用偏好目标；在相同数据上加入记忆信用辅助。后两者用于分离“多采轨迹”的收益和信用目标的收益。另将相同额外交互预算用于普通rollout，比较分支续跑是否值得。规则方法可使用当前观测与自己的历史，不额外读取物理真值；完整MEM或VaM未复现时，只称相应机制对照。</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拟先以每条件20个测试初态进行故障排查，正式阶段暂按3个独立训练种子、每条件60个固定测试初态规划，再依据先导吞吐和区间宽度调整并提前登记。以上是计划规模，不是已有试验。报告每个训练种子的结果及均值，单种子二元SR可给出Wilson区间；配对初态用于差值分析，必要时按初态聚类重采样。不能把同一模型产生的大量相关episode当作独立训练种子，也不以3个种子声称已获得稳健统计结论。</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主要指标为整程SR、扰动后恢复率、错误完成记录率、重复与遗漏率；同时报告基础技能SR、平均任务时长、读写token和次数、记忆干预效应。恢复率分母限定为预定义可恢复扰动，另报告所有扰动的总体SR，防止筛除难例。成本以全部物理步数为主，包含两侧续跑、前缀重放和信用刷新；另列GPU时、人工标签和上下文长度。试验预算按吞吐先导确定后锁定，不将尚未执行的候选动作计为真实反事实收益。</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2.16 配对续跑可恢复性门槛与信用刷新</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开展信用实验前，先对少量交接点做“相同操作重复续跑”。重建应核对关节及物体位置速度、驱动目标、控制器内部状态、未执行动作块、随机数、仿真时钟和相机设置，并关注接触求解器与刚体睡眠状态。只恢复qpos或让图像看起来相同不足以证明分支可比。相同seed重置并重放前缀仅为候选方案，其额外成本必须计入预算。</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建议先导采用10个交接状态，每点进行预先固定次数的重复续跑，估计同操作噪声，再比较一对合法读写操作。门槛为重建偏差和同操作回报差足够小，且结论不被少数不稳定接触主导；具体容差根据控制精度确定并在主实验前冻结。尚不能可靠恢复时，仅将近似配对用于诊断，不生成主要信用标签。比较时固定后续策略参数，允许后续子任务和动作因记忆不同而改变。专家更新后抽取部分旧偏好重评估，记录排序翻转及刷新成本，检验“旧信用失效”是否确实存在。</w:t>
            </w:r>
          </w:p>
          <w:p xmlns:wpc="http://schemas.microsoft.com/office/word/2010/wordprocessingCanvas" xmlns:mo="http://schemas.microsoft.com/office/mac/office/2008/main" xmlns:mv="urn:schemas-microsoft-com:mac:vml" xmlns:m="http://schemas.openxmlformats.org/officeDocument/2006/math" xmlns:wpi="http://schemas.microsoft.com/office/word/2010/wordprocessingInk" xmlns:wne="http://schemas.microsoft.com/office/word/2006/wordml">
            <w:pPr>
              <w:jc w:val="center"/>
              <w:keepNext w:val="1"/>
              <w:keepLines w:val="1"/>
              <w:spacing w:before="80" w:after="40"/>
            </w:pPr>
            <w:r>
              <w:drawing>
                <wp:inline xmlns:a="http://schemas.openxmlformats.org/drawingml/2006/main">
                  <wp:extent cx="5687568" cy="3881765"/>
                  <wp:docPr id="106" name="图6-实验验证与否决路径" descr="图6-实验验证与否决路径，自绘研究示意"/>
                  <wp:cNvGraphicFramePr>
                    <a:graphicFrameLocks noChangeAspect="1"/>
                  </wp:cNvGraphicFramePr>
                  <a:graphic>
                    <a:graphicData uri="http://schemas.openxmlformats.org/drawingml/2006/picture">
                      <pic:pic>
                        <pic:nvPicPr>
                          <pic:cNvPr id="0" name="图6-实验验证与否决路径.png"/>
                          <pic:cNvPicPr/>
                        </pic:nvPicPr>
                        <pic:blipFill>
                          <a:blip r:embed="rIdProposalFigure6"/>
                          <a:stretch>
                            <a:fillRect/>
                          </a:stretch>
                        </pic:blipFill>
                        <pic:spPr>
                          <a:xfrm>
                            <a:off x="0" y="0"/>
                            <a:ext cx="5687568" cy="3881765"/>
                          </a:xfrm>
                          <a:prstGeom prst="rect"/>
                        </pic:spPr>
                      </pic:pic>
                    </a:graphicData>
                  </a:graphic>
                </wp:inline>
              </w:drawing>
            </w:r>
          </w:p>
          <w:p>
            <w:pPr>
              <w:pStyle w:val="Normal"/>
              <w:spacing w:before="0" w:after="20" w:line="336" w:lineRule="exact"/>
              <w:rPr>
                <w:rFonts w:eastAsia="黑体" w:hint="eastAsia"/>
                <w:sz w:val="24"/>
              </w:rPr>
              <w:ind w:firstLine="0" w:firstLineChars="0"/>
              <w:jc w:val="both"/>
              <w:keepNext w:val="0"/>
              <w:keepLines w:val="0"/>
              <w:widowControl w:val="1"/>
              <w:wordWrap w:val="0"/>
            </w:pPr>
            <w:r>
              <w:rPr>
                <w:rFonts w:ascii="Times New Roman" w:hAnsi="Times New Roman" w:eastAsia="仿宋_GB2312"/>
                <w:sz w:val="24"/>
                <w:szCs w:val="24"/>
                <w:color w:val="000000"/>
              </w:rPr>
              <w:t>图6 分阶段验证路线与收缩条件。自绘研究计划：先验收接口、技能和历史需求，再比较联合RECAP及信用辅助。所有分支重放与刷新成本纳入预算；未通过恢复门槛不生成主要信用标签。</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2.17 里程碑、否决条件与真机范围</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实施依次通过文本与动作接口、技能覆盖、无泄漏的监督记忆、联合RECAP、可恢复分支和等成本信用比较六个门槛。若任务当前图像已透露进度，应重设任务；若强SFT、规则或简单联合RECAP足够，不再把更复杂信用作为必需；若计入重放后普通rollout更有效，应放弃交互效率主张。基础技能不足导致全部分支失败时，返回数据阶段，不将零信号包装为记忆问题。刷新无可测收益时，仅保留版本审计。</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资源优先复用已登记的GPU和RM65-B双臂灵巧手，实际卡数、显存及并行环境数在训练前测量。真机阶段首先验证相机、标定、24维臂手映射、归一化和控制时钟一致性，再选择标准流程及受限位置扰动开展空器皿测试。仿真中的隐藏验收器不能直接迁移为真机能力，需人工复核或独立传感验收。真机结果单独报告，既不以仿真SR替代，也不要求在硕士阶段完成全部复杂化学实验自动化。</w:t>
            </w:r>
          </w:p>
        </w:tc>
      </w:tr>
    </w:tbl>
    <w:p>
      <w:pPr>
        <w:pStyle w:val="Normal"/>
        <w:rPr>
          <w:rFonts w:eastAsia="黑体" w:hint="eastAsia"/>
          <w:sz w:val="24"/>
        </w:rPr>
      </w:pPr>
      <w:r>
        <w:rPr>
          <w:rFonts w:hint="eastAsia" w:eastAsia="黑体"/>
          <w:sz w:val="24"/>
        </w:rPr>
        <w:t>四、研究基础</w:t>
      </w:r>
    </w:p>
    <w:tbl>
      <w:tblPr>
        <w:tblW w:w="9828" w:type="dxa"/>
        <w:jc w:val="center"/>
        <w:tblInd w:w="0" w:type="dxa"/>
        <w:tblLayout w:type="fixed"/>
        <w:tblCellMar>
          <w:top w:w="0" w:type="dxa"/>
          <w:start w:w="108" w:type="dxa"/>
          <w:bottom w:w="0" w:type="dxa"/>
          <w:end w:w="108" w:type="dxa"/>
        </w:tblCellMar>
      </w:tblPr>
      <w:tblGrid>
        <w:gridCol w:w="9828"/>
      </w:tblGrid>
      <w:tr>
        <w:trPr/>
        <w:tc>
          <w:tcPr>
            <w:tcW w:w="9828" w:type="dxa"/>
            <w:tcBorders>
              <w:top w:val="single" w:sz="12" w:space="0" w:color="000000"/>
              <w:start w:val="single" w:sz="12" w:space="0" w:color="000000"/>
              <w:bottom w:val="single" w:sz="12" w:space="0" w:color="000000"/>
              <w:end w:val="single" w:sz="12" w:space="0" w:color="000000"/>
            </w:tcBorders>
          </w:tcPr>
          <w:p>
            <w:pPr>
              <w:pStyle w:val="Normal"/>
              <w:spacing w:before="120" w:after="0"/>
              <w:rPr>
                <w:rFonts w:eastAsia="黑体" w:hint="eastAsia"/>
                <w:sz w:val="24"/>
              </w:rPr>
            </w:pPr>
            <w:r>
              <w:rPr>
                <w:rFonts w:eastAsia="黑体" w:hint="eastAsia"/>
                <w:sz w:val="24"/>
              </w:rPr>
              <w:t xml:space="preserve">1．所需实验手段、研究条件和实验条件</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前期已形成MICA-VLA匿名投稿稿件。稿件报告单SO-100平台17个LACE实验室器皿任务，未见措辞平均SR为76.7%，基线为42.1%；两项角色互换平均SR为86.0%，基线为14.0%，并包含LIBERO-Para及组件比较。这些属于投稿稿件报告，不是本次复现或RealMan结果；正式投稿状态和个人贡献按原始材料补充。</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RM65-B平台已有双臂灵巧手RoboTwin接口，现有50条仿真专家轨迹包含三路RGB与24维动作，已用于π0.5本体全参SFT并保存8万步检查点。50条主要覆盖不同瓶型、臂和摆放下的抓起持稳，不是50种技能，也不是50条真机轨迹。已有策略执行与失败诊断记录，但尚不支撑多步骤记忆任务成功率。</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截至2026年10月17日的已有记录，RLinf最小PPO完成4次更新和448个训练动作，回报全为0，只说明计算链通过；ACoB已检查专家与纠正buffer等机制，单seed无接管结果0/1，尚不能证明自主操作能力。本次只据既有记录修订报告，没有重新训练或实机复核。共享VLM读写、高层RECAP、FAST/KI联合路径及物理分支恢复尚未验收。</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可复用版本为RLinf 50f22ad、RoboTwin 931ce21及OpenPI 215abfb。仍需统一actor入口、核对权重与行为；decode结构存在不证明当前权重已能可靠生成子任务。</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硬件记录包括8张RTX A6000、8张RTX3090及本机RTX5090的历史使用或核验信息；当前可分配数量、显存和训练吞吐在实验前测量。真机为每臂六轴RM65-B、双灵巧手和头部及腕部相机。真机迁移前另行验收标定、TCP、通信和控制时钟，以空器皿或低危替代物开展选定动作验证。</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1.1 现有接口与拟新增模块的对应关系</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当前研究基础主要是本体动作接口、图像与状态采集、SFT检查点及局部训练计算链。它们可支撑连续动作执行，但还不包含受限记忆操作、高层生成轨迹和阶段回报。拟在一个明确的actor入口上补齐这些模块，逐一验证权重键、相机顺序、24维动作单位、归一化、padding、预测长度及真实执行前缀，避免从多套同名π0.5入口拼装后将故障归因于算法。</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联合VLM训练还要求保存原始观测而非长期复用冻结特征。已有冻结KV缓存只适用于对应参数版本；主干更新后，缓存不能无条件视为当前特征。数据管线拟保存原始RGB、提示、tokenizer及格式版本，训练时重新编码或使用明确版本缓存，以使梯度与上下文一致。</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高层文本接口首先验收合法、非空且可执行的输出。当前权重来自本体动作SFT，不能从网络中存在词表decode推出其能直接规划。拟补少量读写及子任务监督、严格loss mask及读写协议约束（不设子任务词汇白名单），再检查高层输出是否稳定。FAST标签和知识隔离路径也需独立验收，不以普通FM loss下降替代全部目标通过。</w:t>
            </w:r>
          </w:p>
          <w:p>
            <w:pPr>
              <w:pStyle w:val="Normal"/>
              <w:spacing w:before="40" w:after="40" w:line="336" w:lineRule="exact"/>
              <w:rPr>
                <w:rFonts w:eastAsia="黑体" w:hint="eastAsia"/>
                <w:sz w:val="24"/>
              </w:rPr>
              <w:ind w:firstLine="0" w:firstLineChars="0"/>
              <w:jc w:val="left"/>
              <w:keepNext w:val="1"/>
              <w:keepLines w:val="1"/>
              <w:widowControl w:val="1"/>
              <w:wordWrap w:val="0"/>
            </w:pPr>
            <w:r>
              <w:rPr>
                <w:rFonts w:ascii="Times New Roman" w:hAnsi="Times New Roman" w:eastAsia="仿宋_GB2312"/>
                <w:sz w:val="24"/>
                <w:szCs w:val="24"/>
                <w:color w:val="000000"/>
                <w:b/>
              </w:rPr>
              <w:t>1.2 资源使用与可复现材料</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实际训练资源在先导阶段测量。记录不同更新范围的峰值显存、单批吞吐、图像编码与动作专家耗时、仿真步速和通信开销，据此选择单卡排错、多卡学习及有限并行采集。已有GPU登记数量仅说明历史资源，不代表全部可同时使用；文档不预填未经测量的训练小时数或显存上限。</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拟归档材料包括任务配置、seed划分、奖励和终止定义、动作时钟、checkpoint来源、数据清单、读写格式、版本映射及评测脚本。每项实验同时记录训练和推理参数，保存失败episode及视频，允许复核错误记录发生在物理失败之前还是之后。主表中的SR、回报与恢复率均能回到对应执行记录，而不是只保留汇总截图。</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真机阶段优先核对现有相机与TCP标定、控制延迟和手部可达范围，保持与仿真一致的动作能力范围和文本条件接口。物理进度判定需要独立人工或传感验收，不能将仿真内部计数器直接当作部署传感。若真机能力不足以支持完整两瓶流程，应明确只报告技能或指定交接环节验证，不扩大结论。</w:t>
            </w:r>
          </w:p>
          <w:p>
            <w:pPr>
              <w:pStyle w:val="Normal"/>
              <w:rPr>
                <w:rFonts w:eastAsia="黑体" w:hint="eastAsia"/>
                <w:sz w:val="24"/>
              </w:rPr>
            </w:pPr>
            <w:r>
              <w:rPr>
                <w:rFonts w:eastAsia="黑体" w:hint="eastAsia"/>
                <w:sz w:val="24"/>
              </w:rPr>
              <w:t xml:space="preserve">2．所需经费，包含经费来源、开支预算（工程设备、材料须填写名称、规格、数量）</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经费来源和项目编号待导师确认。优先复用已有机器人、相机、GPU和存储。新增材料按干式样品核验任务准备，以下数量是需求估计，不是已采购或已批准预算；单价和总额在库存核对及询价后补充。</w:t>
            </w:r>
          </w:p>
          <w:tbl>
            <w:tblPr>
              <w:tblW w:w="8600" w:type="dxa"/>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1700"/>
              <w:gridCol w:w="2700"/>
              <w:gridCol w:w="900"/>
              <w:gridCol w:w="3300"/>
            </w:tblGrid>
            <w:tr>
              <w:trPr>
                <w:cantSplit/>
                <w:tblHeader/>
              </w:trPr>
              <w:tc>
                <w:tcPr>
                  <w:tcW w:w="1700" w:type="dxa"/>
                  <w:vAlign w:val="center"/>
                  <w:tcMar>
                    <w:top w:w="90" w:type="dxa"/>
                    <w:bottom w:w="90" w:type="dxa"/>
                    <w:left w:w="90" w:type="dxa"/>
                    <w:right w:w="90" w:type="dxa"/>
                  </w:tcMar>
                  <w:shd w:fill="F2F2F2" w:val="clear"/>
                </w:tcPr>
                <w:p>
                  <w:pPr>
                    <w:pStyle w:val="Normal"/>
                    <w:spacing w:before="40" w:after="40" w:line="315" w:lineRule="exact"/>
                    <w:rPr>
                      <w:rFonts w:eastAsia="黑体" w:hint="eastAsia"/>
                      <w:sz w:val="24"/>
                    </w:rPr>
                    <w:ind w:firstLine="0" w:firstLineChars="0"/>
                    <w:jc w:val="left"/>
                    <w:keepNext w:val="1"/>
                    <w:keepLines w:val="0"/>
                    <w:widowControl w:val="1"/>
                    <w:wordWrap w:val="0"/>
                  </w:pPr>
                  <w:r>
                    <w:rPr>
                      <w:rFonts w:ascii="Times New Roman" w:hAnsi="Times New Roman" w:eastAsia="仿宋_GB2312"/>
                      <w:sz w:val="21"/>
                      <w:szCs w:val="21"/>
                      <w:color w:val="000000"/>
                      <w:b/>
                    </w:rPr>
                    <w:t>名称</w:t>
                  </w:r>
                </w:p>
              </w:tc>
              <w:tc>
                <w:tcPr>
                  <w:tcW w:w="2700" w:type="dxa"/>
                  <w:vAlign w:val="center"/>
                  <w:tcMar>
                    <w:top w:w="90" w:type="dxa"/>
                    <w:bottom w:w="90" w:type="dxa"/>
                    <w:left w:w="90" w:type="dxa"/>
                    <w:right w:w="90" w:type="dxa"/>
                  </w:tcMar>
                  <w:shd w:fill="F2F2F2" w:val="clear"/>
                </w:tcPr>
                <w:p>
                  <w:pPr>
                    <w:pStyle w:val="Normal"/>
                    <w:spacing w:before="40" w:after="40" w:line="315" w:lineRule="exact"/>
                    <w:rPr>
                      <w:rFonts w:eastAsia="黑体" w:hint="eastAsia"/>
                      <w:sz w:val="24"/>
                    </w:rPr>
                    <w:ind w:firstLine="0" w:firstLineChars="0"/>
                    <w:jc w:val="left"/>
                    <w:keepNext w:val="1"/>
                    <w:keepLines w:val="0"/>
                    <w:widowControl w:val="1"/>
                    <w:wordWrap w:val="0"/>
                  </w:pPr>
                  <w:r>
                    <w:rPr>
                      <w:rFonts w:ascii="Times New Roman" w:hAnsi="Times New Roman" w:eastAsia="仿宋_GB2312"/>
                      <w:sz w:val="21"/>
                      <w:szCs w:val="21"/>
                      <w:color w:val="000000"/>
                      <w:b/>
                    </w:rPr>
                    <w:t>规格或用途</w:t>
                  </w:r>
                </w:p>
              </w:tc>
              <w:tc>
                <w:tcPr>
                  <w:tcW w:w="900" w:type="dxa"/>
                  <w:vAlign w:val="center"/>
                  <w:tcMar>
                    <w:top w:w="90" w:type="dxa"/>
                    <w:bottom w:w="90" w:type="dxa"/>
                    <w:left w:w="90" w:type="dxa"/>
                    <w:right w:w="90" w:type="dxa"/>
                  </w:tcMar>
                  <w:shd w:fill="F2F2F2" w:val="clear"/>
                </w:tcPr>
                <w:p>
                  <w:pPr>
                    <w:pStyle w:val="Normal"/>
                    <w:spacing w:before="40" w:after="40" w:line="315" w:lineRule="exact"/>
                    <w:rPr>
                      <w:rFonts w:eastAsia="黑体" w:hint="eastAsia"/>
                      <w:sz w:val="24"/>
                    </w:rPr>
                    <w:ind w:firstLine="0" w:firstLineChars="0"/>
                    <w:jc w:val="center"/>
                    <w:keepNext w:val="1"/>
                    <w:keepLines w:val="0"/>
                    <w:widowControl w:val="1"/>
                    <w:wordWrap w:val="0"/>
                  </w:pPr>
                  <w:r>
                    <w:rPr>
                      <w:rFonts w:ascii="Times New Roman" w:hAnsi="Times New Roman" w:eastAsia="仿宋_GB2312"/>
                      <w:sz w:val="21"/>
                      <w:szCs w:val="21"/>
                      <w:color w:val="000000"/>
                      <w:b/>
                    </w:rPr>
                    <w:t>初步数量</w:t>
                  </w:r>
                </w:p>
              </w:tc>
              <w:tc>
                <w:tcPr>
                  <w:tcW w:w="3300" w:type="dxa"/>
                  <w:vAlign w:val="center"/>
                  <w:tcMar>
                    <w:top w:w="90" w:type="dxa"/>
                    <w:bottom w:w="90" w:type="dxa"/>
                    <w:left w:w="90" w:type="dxa"/>
                    <w:right w:w="90" w:type="dxa"/>
                  </w:tcMar>
                  <w:shd w:fill="F2F2F2" w:val="clear"/>
                </w:tcPr>
                <w:p>
                  <w:pPr>
                    <w:pStyle w:val="Normal"/>
                    <w:spacing w:before="40" w:after="40" w:line="315" w:lineRule="exact"/>
                    <w:rPr>
                      <w:rFonts w:eastAsia="黑体" w:hint="eastAsia"/>
                      <w:sz w:val="24"/>
                    </w:rPr>
                    <w:ind w:firstLine="0" w:firstLineChars="0"/>
                    <w:jc w:val="left"/>
                    <w:keepNext w:val="1"/>
                    <w:keepLines w:val="0"/>
                    <w:widowControl w:val="1"/>
                    <w:wordWrap w:val="0"/>
                  </w:pPr>
                  <w:r>
                    <w:rPr>
                      <w:rFonts w:ascii="Times New Roman" w:hAnsi="Times New Roman" w:eastAsia="仿宋_GB2312"/>
                      <w:sz w:val="21"/>
                      <w:szCs w:val="21"/>
                      <w:color w:val="000000"/>
                      <w:b/>
                    </w:rPr>
                    <w:t>预算与来源</w:t>
                  </w:r>
                </w:p>
              </w:tc>
            </w:tr>
            <w:tr>
              <w:trPr>
                <w:cantSplit/>
              </w:trPr>
              <w:tc>
                <w:tcPr>
                  <w:tcW w:w="17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color w:val="000000"/>
                    </w:rPr>
                    <w:t>样品与实验器皿</w:t>
                  </w:r>
                </w:p>
              </w:tc>
              <w:tc>
                <w:tcPr>
                  <w:tcW w:w="27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color w:val="000000"/>
                    </w:rPr>
                    <w:t>可区分样品瓶、空器皿，尺寸与手部匹配</w:t>
                  </w:r>
                </w:p>
              </w:tc>
              <w:tc>
                <w:tcPr>
                  <w:tcW w:w="9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center"/>
                    <w:keepNext w:val="0"/>
                    <w:keepLines w:val="0"/>
                    <w:widowControl w:val="1"/>
                    <w:wordWrap w:val="0"/>
                  </w:pPr>
                  <w:r>
                    <w:rPr>
                      <w:rFonts w:ascii="Times New Roman" w:hAnsi="Times New Roman" w:eastAsia="仿宋_GB2312"/>
                      <w:sz w:val="21"/>
                      <w:szCs w:val="21"/>
                      <w:color w:val="000000"/>
                    </w:rPr>
                    <w:t>1套</w:t>
                  </w:r>
                </w:p>
              </w:tc>
              <w:tc>
                <w:tcPr>
                  <w:tcW w:w="33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color w:val="000000"/>
                    </w:rPr>
                    <w:t>库存优先，缺件询价</w:t>
                  </w:r>
                </w:p>
              </w:tc>
            </w:tr>
            <w:tr>
              <w:trPr>
                <w:cantSplit/>
              </w:trPr>
              <w:tc>
                <w:tcPr>
                  <w:tcW w:w="17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color w:val="000000"/>
                    </w:rPr>
                    <w:t>夹具与区域标识</w:t>
                  </w:r>
                </w:p>
              </w:tc>
              <w:tc>
                <w:tcPr>
                  <w:tcW w:w="27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color w:val="000000"/>
                    </w:rPr>
                    <w:t>核验区、归位区、标定辅助件</w:t>
                  </w:r>
                </w:p>
              </w:tc>
              <w:tc>
                <w:tcPr>
                  <w:tcW w:w="9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center"/>
                    <w:keepNext w:val="0"/>
                    <w:keepLines w:val="0"/>
                    <w:widowControl w:val="1"/>
                    <w:wordWrap w:val="0"/>
                  </w:pPr>
                  <w:r>
                    <w:rPr>
                      <w:rFonts w:ascii="Times New Roman" w:hAnsi="Times New Roman" w:eastAsia="仿宋_GB2312"/>
                      <w:sz w:val="21"/>
                      <w:szCs w:val="21"/>
                      <w:color w:val="000000"/>
                    </w:rPr>
                    <w:t>1批</w:t>
                  </w:r>
                </w:p>
              </w:tc>
              <w:tc>
                <w:tcPr>
                  <w:tcW w:w="33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color w:val="000000"/>
                    </w:rPr>
                    <w:t>待设计与询价</w:t>
                  </w:r>
                </w:p>
              </w:tc>
            </w:tr>
            <w:tr>
              <w:trPr>
                <w:cantSplit/>
              </w:trPr>
              <w:tc>
                <w:tcPr>
                  <w:tcW w:w="17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color w:val="000000"/>
                    </w:rPr>
                    <w:t>相机与控制连接材料</w:t>
                  </w:r>
                </w:p>
              </w:tc>
              <w:tc>
                <w:tcPr>
                  <w:tcW w:w="27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color w:val="000000"/>
                    </w:rPr>
                    <w:t>支架、数据线、固定件</w:t>
                  </w:r>
                </w:p>
              </w:tc>
              <w:tc>
                <w:tcPr>
                  <w:tcW w:w="9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center"/>
                    <w:keepNext w:val="0"/>
                    <w:keepLines w:val="0"/>
                    <w:widowControl w:val="1"/>
                    <w:wordWrap w:val="0"/>
                  </w:pPr>
                  <w:r>
                    <w:rPr>
                      <w:rFonts w:ascii="Times New Roman" w:hAnsi="Times New Roman" w:eastAsia="仿宋_GB2312"/>
                      <w:sz w:val="21"/>
                      <w:szCs w:val="21"/>
                      <w:color w:val="000000"/>
                    </w:rPr>
                    <w:t>1批</w:t>
                  </w:r>
                </w:p>
              </w:tc>
              <w:tc>
                <w:tcPr>
                  <w:tcW w:w="33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color w:val="000000"/>
                    </w:rPr>
                    <w:t>核已有配置后补充</w:t>
                  </w:r>
                </w:p>
              </w:tc>
            </w:tr>
            <w:tr>
              <w:trPr>
                <w:cantSplit/>
              </w:trPr>
              <w:tc>
                <w:tcPr>
                  <w:tcW w:w="17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color w:val="000000"/>
                    </w:rPr>
                    <w:t>轨迹与模型备份</w:t>
                  </w:r>
                </w:p>
              </w:tc>
              <w:tc>
                <w:tcPr>
                  <w:tcW w:w="27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color w:val="000000"/>
                    </w:rPr>
                    <w:t>按视频、分支轨迹和检查点预算容量</w:t>
                  </w:r>
                </w:p>
              </w:tc>
              <w:tc>
                <w:tcPr>
                  <w:tcW w:w="9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center"/>
                    <w:keepNext w:val="0"/>
                    <w:keepLines w:val="0"/>
                    <w:widowControl w:val="1"/>
                    <w:wordWrap w:val="0"/>
                  </w:pPr>
                  <w:r>
                    <w:rPr>
                      <w:rFonts w:ascii="Times New Roman" w:hAnsi="Times New Roman" w:eastAsia="仿宋_GB2312"/>
                      <w:sz w:val="21"/>
                      <w:szCs w:val="21"/>
                      <w:color w:val="000000"/>
                    </w:rPr>
                    <w:t>按需</w:t>
                  </w:r>
                </w:p>
              </w:tc>
              <w:tc>
                <w:tcPr>
                  <w:tcW w:w="33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color w:val="000000"/>
                    </w:rPr>
                    <w:t>待核共享存储</w:t>
                  </w:r>
                </w:p>
              </w:tc>
            </w:tr>
            <w:tr>
              <w:trPr>
                <w:cantSplit/>
              </w:trPr>
              <w:tc>
                <w:tcPr>
                  <w:tcW w:w="17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color w:val="000000"/>
                    </w:rPr>
                    <w:t>计算资源费用</w:t>
                  </w:r>
                </w:p>
              </w:tc>
              <w:tc>
                <w:tcPr>
                  <w:tcW w:w="27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color w:val="000000"/>
                    </w:rPr>
                    <w:t>已有GPU，含分支重放与刷新成本</w:t>
                  </w:r>
                </w:p>
              </w:tc>
              <w:tc>
                <w:tcPr>
                  <w:tcW w:w="9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center"/>
                    <w:keepNext w:val="0"/>
                    <w:keepLines w:val="0"/>
                    <w:widowControl w:val="1"/>
                    <w:wordWrap w:val="0"/>
                  </w:pPr>
                  <w:r>
                    <w:rPr>
                      <w:rFonts w:ascii="Times New Roman" w:hAnsi="Times New Roman" w:eastAsia="仿宋_GB2312"/>
                      <w:sz w:val="21"/>
                      <w:szCs w:val="21"/>
                      <w:color w:val="000000"/>
                    </w:rPr>
                    <w:t>按需</w:t>
                  </w:r>
                </w:p>
              </w:tc>
              <w:tc>
                <w:tcPr>
                  <w:tcW w:w="3300" w:type="dxa"/>
                  <w:vAlign w:val="center"/>
                  <w:tcMar>
                    <w:top w:w="90" w:type="dxa"/>
                    <w:bottom w:w="90" w:type="dxa"/>
                    <w:left w:w="90" w:type="dxa"/>
                    <w:right w:w="90" w:type="dxa"/>
                  </w:tcMa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color w:val="000000"/>
                    </w:rPr>
                    <w:t>排程及是否计费待确认</w:t>
                  </w:r>
                </w:p>
              </w:tc>
            </w:tr>
          </w:tbl>
          <w:p>
            <w:pPr>
              <w:pStyle w:val="Normal"/>
              <w:spacing w:before="0" w:after="20" w:line="30" w:lineRule="exact"/>
              <w:rPr>
                <w:rFonts w:eastAsia="黑体" w:hint="eastAsia"/>
                <w:sz w:val="24"/>
              </w:rPr>
              <w:ind w:firstLine="0" w:firstLineChars="0"/>
              <w:jc w:val="left"/>
              <w:keepNext w:val="1"/>
              <w:keepLines w:val="0"/>
              <w:widowControl w:val="1"/>
              <w:wordWrap w:val="0"/>
            </w:pPr>
          </w:p>
        </w:tc>
      </w:tr>
    </w:tbl>
    <w:p>
      <w:pPr>
        <w:pStyle w:val="Normal"/>
        <w:rPr>
          <w:rFonts w:eastAsia="黑体" w:hint="eastAsia"/>
          <w:sz w:val="24"/>
        </w:rPr>
      </w:pPr>
      <w:r>
        <w:rPr>
          <w:rFonts w:hint="eastAsia" w:eastAsia="黑体"/>
          <w:sz w:val="24"/>
        </w:rPr>
        <w:t>五、工作计划</w:t>
      </w:r>
    </w:p>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color w:val="000000"/>
        </w:rPr>
        <w:t>计划以开题通过日T0为起点，12个月与960小时均为初步估计，实际日期和投入待本人及导师审定。</w:t>
      </w:r>
    </w:p>
    <w:p>
      <w:pPr>
        <w:pStyle w:val="Normal"/>
        <w:spacing w:before="40" w:after="40" w:line="336" w:lineRule="exact"/>
        <w:rPr>
          <w:rFonts w:eastAsia="黑体" w:hint="eastAsia"/>
          <w:sz w:val="24"/>
        </w:rPr>
        <w:ind w:firstLine="0" w:firstLineChars="0"/>
        <w:jc w:val="left"/>
        <w:keepNext w:val="1"/>
        <w:keepLines w:val="0"/>
        <w:widowControl w:val="1"/>
        <w:wordWrap w:val="0"/>
      </w:pPr>
      <w:r>
        <w:rPr>
          <w:rFonts w:ascii="Times New Roman" w:hAnsi="Times New Roman" w:eastAsia="仿宋_GB2312"/>
          <w:sz w:val="24"/>
          <w:szCs w:val="24"/>
          <w:color w:val="000000"/>
          <w:b/>
        </w:rPr>
        <w:t>阶段交付与调整机制</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第一个月完成问题和数据证据清单，确认前期MICA内容与新方法章之间的边界。第二至第三个月以可执行技能、高层合法输出和梯度审计作为交付物；接口未通过时不增加复杂训练目标。第四至第五个月以同协议SFT、规则与联合RECAP对照判断学习空间，再决定是否进入信用实验。</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第六至第八个月先验收物理重建和同操作噪声，再比较同数据信用辅助。若分支恢复不可靠，研究工作转向联合基线、失败归因与近似配对诊断，不使用失真的标签强行推进。第九至第十个月仅在核心机制成立后测试有限信用刷新，同时准备选定真机验证。最后两个月整理可复现证据与学位论文，保留不支持初始假设的结果及其条件。</w:t>
      </w:r>
    </w:p>
    <w:p>
      <w:pPr>
        <w:pStyle w:val="Normal"/>
        <w:spacing w:before="0" w:after="20" w:line="336" w:lineRule="exact"/>
        <w:rPr>
          <w:rFonts w:eastAsia="黑体" w:hint="eastAsia"/>
          <w:sz w:val="24"/>
        </w:rPr>
        <w:ind w:firstLine="0" w:firstLineChars="200"/>
        <w:jc w:val="both"/>
        <w:keepNext w:val="0"/>
        <w:keepLines w:val="0"/>
        <w:widowControl w:val="1"/>
        <w:wordWrap w:val="0"/>
      </w:pPr>
      <w:r>
        <w:rPr>
          <w:rFonts w:ascii="Times New Roman" w:hAnsi="Times New Roman" w:eastAsia="仿宋_GB2312"/>
          <w:sz w:val="24"/>
          <w:szCs w:val="24"/>
          <w:color w:val="000000"/>
        </w:rPr>
        <w:t>计划中的月份和工作量是初步安排。应依据学校节点和导师意见调整，不将尚未测量的采集速度、GPU吞吐或训练收敛时间写成保证。阶段评审重点为可验证交付物与下一步必要性，防止以模型规模和训练轮数替代研究进展。</w:t>
      </w:r>
    </w:p>
    <w:tbl>
      <w:tblPr>
        <w:tblW w:w="9845" w:type="dxa"/>
        <w:jc w:val="center"/>
        <w:tblInd w:w="0" w:type="dxa"/>
        <w:tblLayout w:type="fixed"/>
        <w:tblCellMar>
          <w:top w:w="0" w:type="dxa"/>
          <w:start w:w="108" w:type="dxa"/>
          <w:bottom w:w="0" w:type="dxa"/>
          <w:end w:w="108" w:type="dxa"/>
        </w:tblCellMar>
      </w:tblPr>
      <w:tblGrid>
        <w:gridCol w:w="748"/>
        <w:gridCol w:w="3743"/>
        <w:gridCol w:w="849"/>
        <w:gridCol w:w="1231"/>
        <w:gridCol w:w="1304"/>
        <w:gridCol w:w="1970"/>
      </w:tblGrid>
      <w:tr>
        <w:trPr>
          <w:tblHeader/>
        </w:trPr>
        <w:tc>
          <w:tcPr>
            <w:tcW w:w="748" w:type="dxa"/>
            <w:tcBorders>
              <w:top w:val="single" w:sz="12" w:space="0" w:color="000000"/>
              <w:start w:val="single" w:sz="12" w:space="0" w:color="000000"/>
              <w:bottom w:val="single" w:sz="4" w:space="0" w:color="000000"/>
              <w:end w:val="single" w:sz="4" w:space="0" w:color="000000"/>
            </w:tcBorders>
            <w:vAlign w:val="center"/>
          </w:tcPr>
          <w:p>
            <w:pPr>
              <w:pStyle w:val="Normal"/>
              <w:jc w:val="center"/>
              <w:rPr>
                <w:rFonts w:eastAsia="黑体" w:hint="eastAsia"/>
              </w:rPr>
            </w:pPr>
            <w:r>
              <w:rPr>
                <w:rFonts w:hint="eastAsia" w:eastAsia="黑体"/>
              </w:rPr>
              <w:t>序号</w:t>
            </w:r>
          </w:p>
        </w:tc>
        <w:tc>
          <w:tcPr>
            <w:tcW w:w="3743" w:type="dxa"/>
            <w:tcBorders>
              <w:top w:val="single" w:sz="12" w:space="0" w:color="000000"/>
              <w:start w:val="single" w:sz="4" w:space="0" w:color="000000"/>
              <w:bottom w:val="single" w:sz="4" w:space="0" w:color="000000"/>
              <w:end w:val="single" w:sz="4" w:space="0" w:color="000000"/>
            </w:tcBorders>
            <w:vAlign w:val="center"/>
          </w:tcPr>
          <w:p>
            <w:pPr>
              <w:pStyle w:val="Normal"/>
              <w:jc w:val="center"/>
              <w:rPr>
                <w:rFonts w:eastAsia="黑体" w:hint="eastAsia"/>
              </w:rPr>
            </w:pPr>
            <w:r>
              <w:rPr>
                <w:rFonts w:hint="eastAsia" w:eastAsia="黑体"/>
              </w:rPr>
              <w:t>阶段及内容</w:t>
            </w:r>
          </w:p>
        </w:tc>
        <w:tc>
          <w:tcPr>
            <w:tcW w:w="2080" w:type="dxa"/>
            <w:gridSpan w:val="2"/>
            <w:tcBorders>
              <w:top w:val="single" w:sz="12" w:space="0" w:color="000000"/>
              <w:start w:val="single" w:sz="4" w:space="0" w:color="000000"/>
              <w:bottom w:val="single" w:sz="4" w:space="0" w:color="000000"/>
              <w:end w:val="single" w:sz="4" w:space="0" w:color="000000"/>
            </w:tcBorders>
            <w:vAlign w:val="center"/>
          </w:tcPr>
          <w:p>
            <w:pPr>
              <w:pStyle w:val="Normal"/>
              <w:jc w:val="center"/>
              <w:rPr>
                <w:rFonts w:eastAsia="黑体" w:hint="eastAsia"/>
              </w:rPr>
            </w:pPr>
            <w:r>
              <w:rPr>
                <w:rFonts w:hint="eastAsia" w:eastAsia="黑体"/>
              </w:rPr>
              <w:t>工作量估计</w:t>
            </w:r>
          </w:p>
          <w:p>
            <w:pPr>
              <w:pStyle w:val="Normal"/>
              <w:jc w:val="center"/>
              <w:rPr>
                <w:rFonts w:eastAsia="黑体" w:hint="eastAsia"/>
              </w:rPr>
            </w:pPr>
            <w:r>
              <w:rPr>
                <w:rFonts w:hint="eastAsia" w:eastAsia="黑体"/>
              </w:rPr>
              <w:t>（时数）</w:t>
            </w:r>
          </w:p>
        </w:tc>
        <w:tc>
          <w:tcPr>
            <w:tcW w:w="1304" w:type="dxa"/>
            <w:tcBorders>
              <w:top w:val="single" w:sz="12" w:space="0" w:color="000000"/>
              <w:start w:val="single" w:sz="4" w:space="0" w:color="000000"/>
              <w:bottom w:val="single" w:sz="4" w:space="0" w:color="000000"/>
              <w:end w:val="single" w:sz="4" w:space="0" w:color="000000"/>
            </w:tcBorders>
            <w:vAlign w:val="center"/>
          </w:tcPr>
          <w:p>
            <w:pPr>
              <w:pStyle w:val="Normal"/>
              <w:jc w:val="center"/>
              <w:rPr>
                <w:rFonts w:eastAsia="黑体" w:hint="eastAsia"/>
              </w:rPr>
            </w:pPr>
            <w:r>
              <w:rPr>
                <w:rFonts w:hint="eastAsia" w:eastAsia="黑体"/>
              </w:rPr>
              <w:t>起止日期</w:t>
            </w:r>
          </w:p>
        </w:tc>
        <w:tc>
          <w:tcPr>
            <w:tcW w:w="1970" w:type="dxa"/>
            <w:tcBorders>
              <w:top w:val="single" w:sz="12" w:space="0" w:color="000000"/>
              <w:start w:val="single" w:sz="4" w:space="0" w:color="000000"/>
              <w:bottom w:val="single" w:sz="4" w:space="0" w:color="000000"/>
              <w:end w:val="single" w:sz="12" w:space="0" w:color="000000"/>
            </w:tcBorders>
            <w:vAlign w:val="center"/>
          </w:tcPr>
          <w:p>
            <w:pPr>
              <w:pStyle w:val="Normal"/>
              <w:jc w:val="center"/>
              <w:rPr>
                <w:rFonts w:eastAsia="黑体" w:hint="eastAsia"/>
              </w:rPr>
            </w:pPr>
            <w:r>
              <w:rPr>
                <w:rFonts w:hint="eastAsia" w:eastAsia="黑体"/>
              </w:rPr>
              <w:t>阶段成果形式</w:t>
            </w:r>
          </w:p>
        </w:tc>
      </w:tr>
      <w:tr>
        <w:trPr>
          <w:cantSplit/>
        </w:trPr>
        <w:tc>
          <w:tcPr>
            <w:tcW w:w="748" w:type="dxa"/>
            <w:vAlign w:val="center"/>
          </w:tcPr>
          <w:p>
            <w:pPr>
              <w:pStyle w:val="Normal"/>
              <w:spacing w:before="0" w:after="20" w:line="315" w:lineRule="exact"/>
              <w:rPr>
                <w:rFonts w:eastAsia="黑体" w:hint="eastAsia"/>
                <w:sz w:val="24"/>
              </w:rPr>
              <w:ind w:firstLine="0" w:firstLineChars="0"/>
              <w:jc w:val="center"/>
              <w:keepNext w:val="0"/>
              <w:keepLines w:val="0"/>
              <w:widowControl w:val="1"/>
              <w:wordWrap w:val="0"/>
            </w:pPr>
            <w:r>
              <w:rPr>
                <w:rFonts w:ascii="Times New Roman" w:hAnsi="Times New Roman" w:eastAsia="仿宋_GB2312"/>
                <w:sz w:val="21"/>
                <w:szCs w:val="21"/>
                <w:color w:val="000000"/>
              </w:rPr>
              <w:t>1</w:t>
            </w:r>
          </w:p>
        </w:tc>
        <w:tc>
          <w:tcPr>
            <w:tcW w:w="3743" w:type="dxa"/>
            <w:vAlign w:val="cente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color w:val="000000"/>
              </w:rPr>
              <w:t>文献与MICA整理，固定记忆问题和最小任务</w:t>
            </w:r>
          </w:p>
        </w:tc>
        <w:tc>
          <w:tcPr>
            <w:tcW w:w="2080" w:type="dxa"/>
            <w:gridSpan w:val="2"/>
            <w:vAlign w:val="center"/>
          </w:tcPr>
          <w:p>
            <w:pPr>
              <w:pStyle w:val="Normal"/>
              <w:spacing w:before="0" w:after="20" w:line="315" w:lineRule="exact"/>
              <w:rPr>
                <w:rFonts w:eastAsia="黑体" w:hint="eastAsia"/>
                <w:sz w:val="24"/>
              </w:rPr>
              <w:ind w:firstLine="0" w:firstLineChars="0"/>
              <w:jc w:val="center"/>
              <w:keepNext w:val="0"/>
              <w:keepLines w:val="0"/>
              <w:widowControl w:val="1"/>
              <w:wordWrap w:val="0"/>
            </w:pPr>
            <w:r>
              <w:rPr>
                <w:rFonts w:ascii="Times New Roman" w:hAnsi="Times New Roman" w:eastAsia="仿宋_GB2312"/>
                <w:sz w:val="21"/>
                <w:szCs w:val="21"/>
                <w:color w:val="000000"/>
              </w:rPr>
              <w:t>100</w:t>
            </w:r>
          </w:p>
        </w:tc>
        <w:tc>
          <w:tcPr>
            <w:tcW w:w="1304" w:type="dxa"/>
            <w:vAlign w:val="center"/>
          </w:tcPr>
          <w:p>
            <w:pPr>
              <w:pStyle w:val="Normal"/>
              <w:spacing w:before="0" w:after="20" w:line="315" w:lineRule="exact"/>
              <w:rPr>
                <w:rFonts w:eastAsia="黑体" w:hint="eastAsia"/>
                <w:sz w:val="24"/>
              </w:rPr>
              <w:ind w:firstLine="0" w:firstLineChars="0"/>
              <w:jc w:val="center"/>
              <w:keepNext w:val="0"/>
              <w:keepLines w:val="0"/>
              <w:widowControl w:val="1"/>
              <w:wordWrap w:val="0"/>
            </w:pPr>
            <w:r>
              <w:rPr>
                <w:rFonts w:ascii="Times New Roman" w:hAnsi="Times New Roman" w:eastAsia="仿宋_GB2312"/>
                <w:sz w:val="21"/>
                <w:szCs w:val="21"/>
                <w:color w:val="000000"/>
              </w:rPr>
              <w:t>T0至第1个月末</w:t>
            </w:r>
          </w:p>
        </w:tc>
        <w:tc>
          <w:tcPr>
            <w:tcW w:w="1970" w:type="dxa"/>
            <w:vAlign w:val="cente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color w:val="000000"/>
              </w:rPr>
              <w:t>前期成果章、文献矩阵、任务协议</w:t>
            </w:r>
          </w:p>
        </w:tc>
      </w:tr>
      <w:tr>
        <w:trPr>
          <w:cantSplit/>
        </w:trPr>
        <w:tc>
          <w:tcPr>
            <w:tcW w:w="748" w:type="dxa"/>
            <w:vAlign w:val="center"/>
          </w:tcPr>
          <w:p>
            <w:pPr>
              <w:pStyle w:val="Normal"/>
              <w:spacing w:before="0" w:after="20" w:line="315" w:lineRule="exact"/>
              <w:rPr>
                <w:rFonts w:eastAsia="黑体" w:hint="eastAsia"/>
                <w:sz w:val="24"/>
              </w:rPr>
              <w:ind w:firstLine="0" w:firstLineChars="0"/>
              <w:jc w:val="center"/>
              <w:keepNext w:val="0"/>
              <w:keepLines w:val="0"/>
              <w:widowControl w:val="1"/>
              <w:wordWrap w:val="0"/>
            </w:pPr>
            <w:r>
              <w:rPr>
                <w:rFonts w:ascii="Times New Roman" w:hAnsi="Times New Roman" w:eastAsia="仿宋_GB2312"/>
                <w:sz w:val="21"/>
                <w:szCs w:val="21"/>
                <w:color w:val="000000"/>
              </w:rPr>
              <w:t>2</w:t>
            </w:r>
          </w:p>
        </w:tc>
        <w:tc>
          <w:tcPr>
            <w:tcW w:w="3743" w:type="dxa"/>
            <w:vAlign w:val="cente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color w:val="000000"/>
              </w:rPr>
              <w:t>补齐技能，接通高层文本、FAST及KI，监督暖启动</w:t>
            </w:r>
          </w:p>
        </w:tc>
        <w:tc>
          <w:tcPr>
            <w:tcW w:w="2080" w:type="dxa"/>
            <w:gridSpan w:val="2"/>
            <w:vAlign w:val="center"/>
          </w:tcPr>
          <w:p>
            <w:pPr>
              <w:pStyle w:val="Normal"/>
              <w:spacing w:before="0" w:after="20" w:line="315" w:lineRule="exact"/>
              <w:rPr>
                <w:rFonts w:eastAsia="黑体" w:hint="eastAsia"/>
                <w:sz w:val="24"/>
              </w:rPr>
              <w:ind w:firstLine="0" w:firstLineChars="0"/>
              <w:jc w:val="center"/>
              <w:keepNext w:val="0"/>
              <w:keepLines w:val="0"/>
              <w:widowControl w:val="1"/>
              <w:wordWrap w:val="0"/>
            </w:pPr>
            <w:r>
              <w:rPr>
                <w:rFonts w:ascii="Times New Roman" w:hAnsi="Times New Roman" w:eastAsia="仿宋_GB2312"/>
                <w:sz w:val="21"/>
                <w:szCs w:val="21"/>
                <w:color w:val="000000"/>
              </w:rPr>
              <w:t>180</w:t>
            </w:r>
          </w:p>
        </w:tc>
        <w:tc>
          <w:tcPr>
            <w:tcW w:w="1304" w:type="dxa"/>
            <w:vAlign w:val="center"/>
          </w:tcPr>
          <w:p>
            <w:pPr>
              <w:pStyle w:val="Normal"/>
              <w:spacing w:before="0" w:after="20" w:line="315" w:lineRule="exact"/>
              <w:rPr>
                <w:rFonts w:eastAsia="黑体" w:hint="eastAsia"/>
                <w:sz w:val="24"/>
              </w:rPr>
              <w:ind w:firstLine="0" w:firstLineChars="0"/>
              <w:jc w:val="center"/>
              <w:keepNext w:val="0"/>
              <w:keepLines w:val="0"/>
              <w:widowControl w:val="1"/>
              <w:wordWrap w:val="0"/>
            </w:pPr>
            <w:r>
              <w:rPr>
                <w:rFonts w:ascii="Times New Roman" w:hAnsi="Times New Roman" w:eastAsia="仿宋_GB2312"/>
                <w:sz w:val="21"/>
                <w:szCs w:val="21"/>
                <w:color w:val="000000"/>
              </w:rPr>
              <w:t>第2至第3个月</w:t>
            </w:r>
          </w:p>
        </w:tc>
        <w:tc>
          <w:tcPr>
            <w:tcW w:w="1970" w:type="dxa"/>
            <w:vAlign w:val="cente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color w:val="000000"/>
              </w:rPr>
              <w:t>合法输出、梯度审计、可用技能与SFT</w:t>
            </w:r>
          </w:p>
        </w:tc>
      </w:tr>
      <w:tr>
        <w:trPr>
          <w:cantSplit/>
        </w:trPr>
        <w:tc>
          <w:tcPr>
            <w:tcW w:w="748" w:type="dxa"/>
            <w:vAlign w:val="center"/>
          </w:tcPr>
          <w:p>
            <w:pPr>
              <w:pStyle w:val="Normal"/>
              <w:spacing w:before="0" w:after="20" w:line="315" w:lineRule="exact"/>
              <w:rPr>
                <w:rFonts w:eastAsia="黑体" w:hint="eastAsia"/>
                <w:sz w:val="24"/>
              </w:rPr>
              <w:ind w:firstLine="0" w:firstLineChars="0"/>
              <w:jc w:val="center"/>
              <w:keepNext w:val="0"/>
              <w:keepLines w:val="0"/>
              <w:widowControl w:val="1"/>
              <w:wordWrap w:val="0"/>
            </w:pPr>
            <w:r>
              <w:rPr>
                <w:rFonts w:ascii="Times New Roman" w:hAnsi="Times New Roman" w:eastAsia="仿宋_GB2312"/>
                <w:sz w:val="21"/>
                <w:szCs w:val="21"/>
                <w:color w:val="000000"/>
              </w:rPr>
              <w:t>3</w:t>
            </w:r>
          </w:p>
        </w:tc>
        <w:tc>
          <w:tcPr>
            <w:tcW w:w="3743" w:type="dxa"/>
            <w:vAlign w:val="cente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color w:val="000000"/>
              </w:rPr>
              <w:t>联合RECAP与强监督基线，验证真实记忆需求</w:t>
            </w:r>
          </w:p>
        </w:tc>
        <w:tc>
          <w:tcPr>
            <w:tcW w:w="2080" w:type="dxa"/>
            <w:gridSpan w:val="2"/>
            <w:vAlign w:val="center"/>
          </w:tcPr>
          <w:p>
            <w:pPr>
              <w:pStyle w:val="Normal"/>
              <w:spacing w:before="0" w:after="20" w:line="315" w:lineRule="exact"/>
              <w:rPr>
                <w:rFonts w:eastAsia="黑体" w:hint="eastAsia"/>
                <w:sz w:val="24"/>
              </w:rPr>
              <w:ind w:firstLine="0" w:firstLineChars="0"/>
              <w:jc w:val="center"/>
              <w:keepNext w:val="0"/>
              <w:keepLines w:val="0"/>
              <w:widowControl w:val="1"/>
              <w:wordWrap w:val="0"/>
            </w:pPr>
            <w:r>
              <w:rPr>
                <w:rFonts w:ascii="Times New Roman" w:hAnsi="Times New Roman" w:eastAsia="仿宋_GB2312"/>
                <w:sz w:val="21"/>
                <w:szCs w:val="21"/>
                <w:color w:val="000000"/>
              </w:rPr>
              <w:t>160</w:t>
            </w:r>
          </w:p>
        </w:tc>
        <w:tc>
          <w:tcPr>
            <w:tcW w:w="1304" w:type="dxa"/>
            <w:vAlign w:val="center"/>
          </w:tcPr>
          <w:p>
            <w:pPr>
              <w:pStyle w:val="Normal"/>
              <w:spacing w:before="0" w:after="20" w:line="315" w:lineRule="exact"/>
              <w:rPr>
                <w:rFonts w:eastAsia="黑体" w:hint="eastAsia"/>
                <w:sz w:val="24"/>
              </w:rPr>
              <w:ind w:firstLine="0" w:firstLineChars="0"/>
              <w:jc w:val="center"/>
              <w:keepNext w:val="0"/>
              <w:keepLines w:val="0"/>
              <w:widowControl w:val="1"/>
              <w:wordWrap w:val="0"/>
            </w:pPr>
            <w:r>
              <w:rPr>
                <w:rFonts w:ascii="Times New Roman" w:hAnsi="Times New Roman" w:eastAsia="仿宋_GB2312"/>
                <w:sz w:val="21"/>
                <w:szCs w:val="21"/>
                <w:color w:val="000000"/>
              </w:rPr>
              <w:t>第4至第5个月</w:t>
            </w:r>
          </w:p>
        </w:tc>
        <w:tc>
          <w:tcPr>
            <w:tcW w:w="1970" w:type="dxa"/>
            <w:vAlign w:val="cente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color w:val="000000"/>
              </w:rPr>
              <w:t>阶段回报、基线与失败归因记录</w:t>
            </w:r>
          </w:p>
        </w:tc>
      </w:tr>
      <w:tr>
        <w:trPr>
          <w:cantSplit/>
        </w:trPr>
        <w:tc>
          <w:tcPr>
            <w:tcW w:w="748" w:type="dxa"/>
            <w:vAlign w:val="center"/>
          </w:tcPr>
          <w:p>
            <w:pPr>
              <w:pStyle w:val="Normal"/>
              <w:spacing w:before="0" w:after="20" w:line="315" w:lineRule="exact"/>
              <w:rPr>
                <w:rFonts w:eastAsia="黑体" w:hint="eastAsia"/>
                <w:sz w:val="24"/>
              </w:rPr>
              <w:ind w:firstLine="0" w:firstLineChars="0"/>
              <w:jc w:val="center"/>
              <w:keepNext w:val="0"/>
              <w:keepLines w:val="0"/>
              <w:widowControl w:val="1"/>
              <w:wordWrap w:val="0"/>
            </w:pPr>
            <w:r>
              <w:rPr>
                <w:rFonts w:ascii="Times New Roman" w:hAnsi="Times New Roman" w:eastAsia="仿宋_GB2312"/>
                <w:sz w:val="21"/>
                <w:szCs w:val="21"/>
                <w:color w:val="000000"/>
              </w:rPr>
              <w:t>4</w:t>
            </w:r>
          </w:p>
        </w:tc>
        <w:tc>
          <w:tcPr>
            <w:tcW w:w="3743" w:type="dxa"/>
            <w:vAlign w:val="cente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color w:val="000000"/>
              </w:rPr>
              <w:t>分支恢复先导，记忆信用方法与等成本消融</w:t>
            </w:r>
          </w:p>
        </w:tc>
        <w:tc>
          <w:tcPr>
            <w:tcW w:w="2080" w:type="dxa"/>
            <w:gridSpan w:val="2"/>
            <w:vAlign w:val="center"/>
          </w:tcPr>
          <w:p>
            <w:pPr>
              <w:pStyle w:val="Normal"/>
              <w:spacing w:before="0" w:after="20" w:line="315" w:lineRule="exact"/>
              <w:rPr>
                <w:rFonts w:eastAsia="黑体" w:hint="eastAsia"/>
                <w:sz w:val="24"/>
              </w:rPr>
              <w:ind w:firstLine="0" w:firstLineChars="0"/>
              <w:jc w:val="center"/>
              <w:keepNext w:val="0"/>
              <w:keepLines w:val="0"/>
              <w:widowControl w:val="1"/>
              <w:wordWrap w:val="0"/>
            </w:pPr>
            <w:r>
              <w:rPr>
                <w:rFonts w:ascii="Times New Roman" w:hAnsi="Times New Roman" w:eastAsia="仿宋_GB2312"/>
                <w:sz w:val="21"/>
                <w:szCs w:val="21"/>
                <w:color w:val="000000"/>
              </w:rPr>
              <w:t>220</w:t>
            </w:r>
          </w:p>
        </w:tc>
        <w:tc>
          <w:tcPr>
            <w:tcW w:w="1304" w:type="dxa"/>
            <w:vAlign w:val="center"/>
          </w:tcPr>
          <w:p>
            <w:pPr>
              <w:pStyle w:val="Normal"/>
              <w:spacing w:before="0" w:after="20" w:line="315" w:lineRule="exact"/>
              <w:rPr>
                <w:rFonts w:eastAsia="黑体" w:hint="eastAsia"/>
                <w:sz w:val="24"/>
              </w:rPr>
              <w:ind w:firstLine="0" w:firstLineChars="0"/>
              <w:jc w:val="center"/>
              <w:keepNext w:val="0"/>
              <w:keepLines w:val="0"/>
              <w:widowControl w:val="1"/>
              <w:wordWrap w:val="0"/>
            </w:pPr>
            <w:r>
              <w:rPr>
                <w:rFonts w:ascii="Times New Roman" w:hAnsi="Times New Roman" w:eastAsia="仿宋_GB2312"/>
                <w:sz w:val="21"/>
                <w:szCs w:val="21"/>
                <w:color w:val="000000"/>
              </w:rPr>
              <w:t>第6至第8个月</w:t>
            </w:r>
          </w:p>
        </w:tc>
        <w:tc>
          <w:tcPr>
            <w:tcW w:w="1970" w:type="dxa"/>
            <w:vAlign w:val="cente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color w:val="000000"/>
              </w:rPr>
              <w:t>信用可靠性、成本与机制比较</w:t>
            </w:r>
          </w:p>
        </w:tc>
      </w:tr>
      <w:tr>
        <w:trPr>
          <w:cantSplit/>
        </w:trPr>
        <w:tc>
          <w:tcPr>
            <w:tcW w:w="748" w:type="dxa"/>
            <w:vAlign w:val="center"/>
          </w:tcPr>
          <w:p>
            <w:pPr>
              <w:pStyle w:val="Normal"/>
              <w:spacing w:before="0" w:after="20" w:line="315" w:lineRule="exact"/>
              <w:rPr>
                <w:rFonts w:eastAsia="黑体" w:hint="eastAsia"/>
                <w:sz w:val="24"/>
              </w:rPr>
              <w:ind w:firstLine="0" w:firstLineChars="0"/>
              <w:jc w:val="center"/>
              <w:keepNext w:val="0"/>
              <w:keepLines w:val="0"/>
              <w:widowControl w:val="1"/>
              <w:wordWrap w:val="0"/>
            </w:pPr>
            <w:r>
              <w:rPr>
                <w:rFonts w:ascii="Times New Roman" w:hAnsi="Times New Roman" w:eastAsia="仿宋_GB2312"/>
                <w:sz w:val="21"/>
                <w:szCs w:val="21"/>
                <w:color w:val="000000"/>
              </w:rPr>
              <w:t>5</w:t>
            </w:r>
          </w:p>
        </w:tc>
        <w:tc>
          <w:tcPr>
            <w:tcW w:w="3743" w:type="dxa"/>
            <w:vAlign w:val="cente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color w:val="000000"/>
              </w:rPr>
              <w:t>核心机制成立后检验信用刷新，选定任务真机验证</w:t>
            </w:r>
          </w:p>
        </w:tc>
        <w:tc>
          <w:tcPr>
            <w:tcW w:w="2080" w:type="dxa"/>
            <w:gridSpan w:val="2"/>
            <w:vAlign w:val="center"/>
          </w:tcPr>
          <w:p>
            <w:pPr>
              <w:pStyle w:val="Normal"/>
              <w:spacing w:before="0" w:after="20" w:line="315" w:lineRule="exact"/>
              <w:rPr>
                <w:rFonts w:eastAsia="黑体" w:hint="eastAsia"/>
                <w:sz w:val="24"/>
              </w:rPr>
              <w:ind w:firstLine="0" w:firstLineChars="0"/>
              <w:jc w:val="center"/>
              <w:keepNext w:val="0"/>
              <w:keepLines w:val="0"/>
              <w:widowControl w:val="1"/>
              <w:wordWrap w:val="0"/>
            </w:pPr>
            <w:r>
              <w:rPr>
                <w:rFonts w:ascii="Times New Roman" w:hAnsi="Times New Roman" w:eastAsia="仿宋_GB2312"/>
                <w:sz w:val="21"/>
                <w:szCs w:val="21"/>
                <w:color w:val="000000"/>
              </w:rPr>
              <w:t>120</w:t>
            </w:r>
          </w:p>
        </w:tc>
        <w:tc>
          <w:tcPr>
            <w:tcW w:w="1304" w:type="dxa"/>
            <w:vAlign w:val="center"/>
          </w:tcPr>
          <w:p>
            <w:pPr>
              <w:pStyle w:val="Normal"/>
              <w:spacing w:before="0" w:after="20" w:line="315" w:lineRule="exact"/>
              <w:rPr>
                <w:rFonts w:eastAsia="黑体" w:hint="eastAsia"/>
                <w:sz w:val="24"/>
              </w:rPr>
              <w:ind w:firstLine="0" w:firstLineChars="0"/>
              <w:jc w:val="center"/>
              <w:keepNext w:val="0"/>
              <w:keepLines w:val="0"/>
              <w:widowControl w:val="1"/>
              <w:wordWrap w:val="0"/>
            </w:pPr>
            <w:r>
              <w:rPr>
                <w:rFonts w:ascii="Times New Roman" w:hAnsi="Times New Roman" w:eastAsia="仿宋_GB2312"/>
                <w:sz w:val="21"/>
                <w:szCs w:val="21"/>
                <w:color w:val="000000"/>
              </w:rPr>
              <w:t>第9至第10个月</w:t>
            </w:r>
          </w:p>
        </w:tc>
        <w:tc>
          <w:tcPr>
            <w:tcW w:w="1970" w:type="dxa"/>
            <w:vAlign w:val="cente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color w:val="000000"/>
              </w:rPr>
              <w:t>刷新边界、实机校准与验证记录</w:t>
            </w:r>
          </w:p>
        </w:tc>
      </w:tr>
      <w:tr>
        <w:trPr>
          <w:cantSplit/>
        </w:trPr>
        <w:tc>
          <w:tcPr>
            <w:tcW w:w="748" w:type="dxa"/>
            <w:vAlign w:val="center"/>
          </w:tcPr>
          <w:p>
            <w:pPr>
              <w:pStyle w:val="Normal"/>
              <w:spacing w:before="0" w:after="20" w:line="315" w:lineRule="exact"/>
              <w:rPr>
                <w:rFonts w:eastAsia="黑体" w:hint="eastAsia"/>
                <w:sz w:val="24"/>
              </w:rPr>
              <w:ind w:firstLine="0" w:firstLineChars="0"/>
              <w:jc w:val="center"/>
              <w:keepNext w:val="0"/>
              <w:keepLines w:val="0"/>
              <w:widowControl w:val="1"/>
              <w:wordWrap w:val="0"/>
            </w:pPr>
            <w:r>
              <w:rPr>
                <w:rFonts w:ascii="Times New Roman" w:hAnsi="Times New Roman" w:eastAsia="仿宋_GB2312"/>
                <w:sz w:val="21"/>
                <w:szCs w:val="21"/>
                <w:color w:val="000000"/>
              </w:rPr>
              <w:t>6</w:t>
            </w:r>
          </w:p>
        </w:tc>
        <w:tc>
          <w:tcPr>
            <w:tcW w:w="3743" w:type="dxa"/>
            <w:vAlign w:val="cente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color w:val="000000"/>
              </w:rPr>
              <w:t>结果复核、学位论文与答辩材料</w:t>
            </w:r>
          </w:p>
        </w:tc>
        <w:tc>
          <w:tcPr>
            <w:tcW w:w="2080" w:type="dxa"/>
            <w:gridSpan w:val="2"/>
            <w:vAlign w:val="center"/>
          </w:tcPr>
          <w:p>
            <w:pPr>
              <w:pStyle w:val="Normal"/>
              <w:spacing w:before="0" w:after="20" w:line="315" w:lineRule="exact"/>
              <w:rPr>
                <w:rFonts w:eastAsia="黑体" w:hint="eastAsia"/>
                <w:sz w:val="24"/>
              </w:rPr>
              <w:ind w:firstLine="0" w:firstLineChars="0"/>
              <w:jc w:val="center"/>
              <w:keepNext w:val="0"/>
              <w:keepLines w:val="0"/>
              <w:widowControl w:val="1"/>
              <w:wordWrap w:val="0"/>
            </w:pPr>
            <w:r>
              <w:rPr>
                <w:rFonts w:ascii="Times New Roman" w:hAnsi="Times New Roman" w:eastAsia="仿宋_GB2312"/>
                <w:sz w:val="21"/>
                <w:szCs w:val="21"/>
                <w:color w:val="000000"/>
              </w:rPr>
              <w:t>180</w:t>
            </w:r>
          </w:p>
        </w:tc>
        <w:tc>
          <w:tcPr>
            <w:tcW w:w="1304" w:type="dxa"/>
            <w:vAlign w:val="center"/>
          </w:tcPr>
          <w:p>
            <w:pPr>
              <w:pStyle w:val="Normal"/>
              <w:spacing w:before="0" w:after="20" w:line="315" w:lineRule="exact"/>
              <w:rPr>
                <w:rFonts w:eastAsia="黑体" w:hint="eastAsia"/>
                <w:sz w:val="24"/>
              </w:rPr>
              <w:ind w:firstLine="0" w:firstLineChars="0"/>
              <w:jc w:val="center"/>
              <w:keepNext w:val="0"/>
              <w:keepLines w:val="0"/>
              <w:widowControl w:val="1"/>
              <w:wordWrap w:val="0"/>
            </w:pPr>
            <w:r>
              <w:rPr>
                <w:rFonts w:ascii="Times New Roman" w:hAnsi="Times New Roman" w:eastAsia="仿宋_GB2312"/>
                <w:sz w:val="21"/>
                <w:szCs w:val="21"/>
                <w:color w:val="000000"/>
              </w:rPr>
              <w:t>第11至第12个月</w:t>
            </w:r>
          </w:p>
        </w:tc>
        <w:tc>
          <w:tcPr>
            <w:tcW w:w="1970" w:type="dxa"/>
            <w:vAlign w:val="cente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color w:val="000000"/>
              </w:rPr>
              <w:t>学位论文、图表、答辩材料</w:t>
            </w:r>
          </w:p>
        </w:tc>
      </w:tr>
      <w:tr>
        <w:trPr>
          <w:cantSplit/>
        </w:trPr>
        <w:tc>
          <w:tcPr>
            <w:tcW w:w="748" w:type="dxa"/>
            <w:vAlign w:val="center"/>
          </w:tcPr>
          <w:p>
            <w:pPr>
              <w:pStyle w:val="Normal"/>
              <w:jc w:val="center"/>
              <w:rPr>
                <w:rFonts w:eastAsia="黑体" w:hint="eastAsia"/>
                <w:sz w:val="24"/>
              </w:rPr>
            </w:pPr>
            <w:r>
              <w:rPr>
                <w:rFonts w:hint="eastAsia" w:eastAsia="黑体"/>
                <w:sz w:val="24"/>
              </w:rPr>
              <w:t>合计</w:t>
            </w:r>
          </w:p>
        </w:tc>
        <w:tc>
          <w:tcPr>
            <w:tcW w:w="3743" w:type="dxa"/>
            <w:vAlign w:val="cente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color w:val="000000"/>
              </w:rPr>
              <w:t/>
            </w:r>
          </w:p>
        </w:tc>
        <w:tc>
          <w:tcPr>
            <w:tcW w:w="2080" w:type="dxa"/>
            <w:gridSpan w:val="2"/>
            <w:vAlign w:val="center"/>
          </w:tcPr>
          <w:p>
            <w:pPr>
              <w:pStyle w:val="Normal"/>
              <w:spacing w:before="0" w:after="20" w:line="315" w:lineRule="exact"/>
              <w:rPr>
                <w:rFonts w:eastAsia="黑体" w:hint="eastAsia"/>
                <w:sz w:val="24"/>
              </w:rPr>
              <w:ind w:firstLine="0" w:firstLineChars="0"/>
              <w:jc w:val="center"/>
              <w:keepNext w:val="0"/>
              <w:keepLines w:val="0"/>
              <w:widowControl w:val="1"/>
              <w:wordWrap w:val="0"/>
            </w:pPr>
            <w:r>
              <w:rPr>
                <w:rFonts w:ascii="Times New Roman" w:hAnsi="Times New Roman" w:eastAsia="仿宋_GB2312"/>
                <w:sz w:val="21"/>
                <w:szCs w:val="21"/>
                <w:color w:val="000000"/>
              </w:rPr>
              <w:t>960</w:t>
            </w:r>
          </w:p>
        </w:tc>
        <w:tc>
          <w:tcPr>
            <w:tcW w:w="1304" w:type="dxa"/>
            <w:vAlign w:val="center"/>
          </w:tcPr>
          <w:p>
            <w:pPr>
              <w:pStyle w:val="Normal"/>
              <w:spacing w:before="0" w:after="20" w:line="315" w:lineRule="exact"/>
              <w:rPr>
                <w:rFonts w:eastAsia="黑体" w:hint="eastAsia"/>
                <w:sz w:val="24"/>
              </w:rPr>
              <w:ind w:firstLine="0" w:firstLineChars="0"/>
              <w:jc w:val="center"/>
              <w:keepNext w:val="0"/>
              <w:keepLines w:val="0"/>
              <w:widowControl w:val="1"/>
              <w:wordWrap w:val="0"/>
            </w:pPr>
            <w:r>
              <w:rPr>
                <w:rFonts w:ascii="Times New Roman" w:hAnsi="Times New Roman" w:eastAsia="仿宋_GB2312"/>
                <w:sz w:val="21"/>
                <w:szCs w:val="21"/>
                <w:color w:val="000000"/>
              </w:rPr>
              <w:t>具体年月日待填写</w:t>
            </w:r>
          </w:p>
        </w:tc>
        <w:tc>
          <w:tcPr>
            <w:tcW w:w="1970" w:type="dxa"/>
            <w:vAlign w:val="center"/>
          </w:tcPr>
          <w:p>
            <w:pPr>
              <w:pStyle w:val="Normal"/>
              <w:spacing w:before="0" w:after="20" w:line="315" w:lineRule="exact"/>
              <w:rPr>
                <w:rFonts w:eastAsia="黑体" w:hint="eastAsia"/>
                <w:sz w:val="24"/>
              </w:rPr>
              <w:ind w:firstLine="0" w:firstLineChars="0"/>
              <w:jc w:val="left"/>
              <w:keepNext w:val="0"/>
              <w:keepLines w:val="0"/>
              <w:widowControl w:val="1"/>
              <w:wordWrap w:val="0"/>
            </w:pPr>
            <w:r>
              <w:rPr>
                <w:rFonts w:ascii="Times New Roman" w:hAnsi="Times New Roman" w:eastAsia="仿宋_GB2312"/>
                <w:sz w:val="21"/>
                <w:szCs w:val="21"/>
                <w:color w:val="000000"/>
              </w:rPr>
              <w:t/>
            </w:r>
          </w:p>
        </w:tc>
      </w:tr>
      <w:tr>
        <w:trPr>
          <w:cantSplit/>
        </w:trPr>
        <w:tc>
          <w:tcPr>
            <w:tcW w:w="9845" w:type="dxa"/>
            <w:gridSpan w:val="6"/>
            <w:tcBorders>
              <w:top w:val="single" w:sz="4" w:space="0" w:color="000000"/>
              <w:start w:val="single" w:sz="12" w:space="0" w:color="000000"/>
              <w:bottom w:val="single" w:sz="12" w:space="0" w:color="000000"/>
              <w:end w:val="single" w:sz="12" w:space="0" w:color="000000"/>
            </w:tcBorders>
          </w:tcPr>
          <w:p>
            <w:pPr>
              <w:pStyle w:val="Normal"/>
              <w:snapToGrid w:val="false"/>
              <w:rPr>
                <w:rFonts w:eastAsia="黑体" w:hint="eastAsia"/>
                <w:sz w:val="24"/>
              </w:rPr>
            </w:pPr>
            <w:r>
              <w:rPr>
                <w:rFonts w:eastAsia="黑体" w:hint="eastAsia"/>
                <w:sz w:val="24"/>
              </w:rPr>
            </w:r>
          </w:p>
          <w:p>
            <w:pPr>
              <w:pStyle w:val="Normal"/>
              <w:ind w:firstLineChars="100" w:startChars="0" w:start="0" w:endChars="0" w:end="0"/>
              <w:rPr>
                <w:rFonts w:eastAsia="黑体" w:hint="eastAsia"/>
                <w:sz w:val="24"/>
              </w:rPr>
            </w:pPr>
            <w:r>
              <w:rPr>
                <w:rFonts w:hint="eastAsia" w:eastAsia="黑体"/>
                <w:sz w:val="24"/>
              </w:rPr>
              <w:t>本人签字：                            年   月   日</w:t>
            </w:r>
          </w:p>
        </w:tc>
      </w:tr>
    </w:tbl>
    <w:sectPr>
      <w:footerReference w:type="default" r:id="rId5"/>
      <w:footerReference w:type="first" r:id="rId6"/>
      <w:type w:val="nextPage"/>
      <w:pgSz w:w="11906" w:h="16838"/>
      <w:pgMar w:left="1134" w:right="1134" w:gutter="0" w:header="0" w:top="1418" w:footer="992" w:bottom="1191"/>
      <w:pgNumType w:start="0" w:fmt="decimal"/>
      <w:formProt w:val="false"/>
      <w:titlePg/>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0"/>
    <w:family w:val="roman"/>
    <w:pitch w:val="default"/>
  </w:font>
  <w:font w:name="Liberation Sans">
    <w:altName w:val="Arial"/>
    <w:charset w:val="01"/>
    <w:family w:val="swiss"/>
    <w:pitch w:val="variable"/>
  </w:font>
  <w:font w:name="华文新魏">
    <w:charset w:val="86"/>
    <w:family w:val="auto"/>
    <w:pitch w:val="default"/>
  </w:font>
  <w:font w:name="黑体">
    <w:charset w:val="86"/>
    <w:family w:val="auto"/>
    <w:pitch w:val="default"/>
  </w:font>
  <w:font w:name="仿宋_GB2312">
    <w:charset w:val="86"/>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rPr/>
    </w:pPr>
    <w:r>
      <w:rPr/>
    </w:r>
    <w:r>
      <mc:AlternateContent>
        <mc:Choice Requires="wps">
          <w:drawing>
            <wp:anchor distT="0" distB="0" distL="0" distR="0" simplePos="0" relativeHeight="3" behindDoc="0" locked="0" layoutInCell="0" allowOverlap="1">
              <wp:simplePos x="0" y="0"/>
              <wp:positionH relativeFrom="page">
                <wp:posOffset>3886835</wp:posOffset>
              </wp:positionH>
              <wp:positionV relativeFrom="paragraph">
                <wp:align>center</wp:align>
              </wp:positionV>
              <wp:extent cx="229235" cy="153670"/>
              <wp:effectExtent l="0" t="0" r="0" b="0"/>
              <wp:wrapSquare wrapText="bothSides"/>
              <wp:docPr id="2" name="Frame1"/>
              <a:graphic xmlns:a="http://schemas.openxmlformats.org/drawingml/2006/main">
                <a:graphicData uri="http://schemas.microsoft.com/office/word/2010/wordprocessingShape">
                  <wps:wsp>
                    <wps:cNvSpPr txBox="1"/>
                    <wps:spPr>
                      <a:xfrm>
                        <a:off x="0" y="0"/>
                        <a:ext cx="229235" cy="153670"/>
                      </a:xfrm>
                      <a:prstGeom prst="rect"/>
                      <a:solidFill>
                        <a:srgbClr val="FFFFFF">
                          <a:alpha val="0"/>
                        </a:srgbClr>
                      </a:solidFill>
                    </wps:spPr>
                    <wps:txbx>
                      <w:txbxContent>
                        <w:p>
                          <w:pPr>
                            <w:pStyle w:val="Footer"/>
                            <w:rPr>
                              <w:rStyle w:val="PageNumber"/>
                              <w:sz w:val="21"/>
                            </w:rPr>
                          </w:pPr>
                          <w:r>
                            <w:rPr>
                              <w:rStyle w:val="PageNumber"/>
                              <w:sz w:val="21"/>
                            </w:rPr>
                            <w:fldChar w:fldCharType="begin"/>
                          </w:r>
                          <w:r>
                            <w:rPr>
                              <w:rStyle w:val="PageNumber"/>
                              <w:sz w:val="21"/>
                            </w:rPr>
                            <w:instrText xml:space="preserve"> PAGE </w:instrText>
                          </w:r>
                          <w:r>
                            <w:rPr>
                              <w:rStyle w:val="PageNumber"/>
                              <w:sz w:val="21"/>
                            </w:rPr>
                            <w:fldChar w:fldCharType="separate"/>
                          </w:r>
                          <w:r>
                            <w:rPr>
                              <w:rStyle w:val="PageNumber"/>
                              <w:sz w:val="21"/>
                            </w:rPr>
                            <w:t>1</w:t>
                          </w:r>
                          <w:r>
                            <w:rPr>
                              <w:rStyle w:val="PageNumber"/>
                              <w:sz w:val="21"/>
                            </w:rPr>
                            <w:fldChar w:fldCharType="end"/>
                          </w:r>
                        </w:p>
                      </w:txbxContent>
                    </wps:txbx>
                    <wps:bodyPr anchor="t" lIns="0" tIns="0" rIns="0" bIns="0">
                      <a:noAutofit/>
                    </wps:bodyPr>
                  </wps:wsp>
                </a:graphicData>
              </a:graphic>
            </wp:anchor>
          </w:drawing>
        </mc:Choice>
        <mc:Fallback>
          <w:pict>
            <v:rect fillcolor="#FFFFFF" style="position:absolute;rotation:-0;width:18.05pt;height:12.1pt;mso-wrap-distance-left:0pt;mso-wrap-distance-right:0pt;mso-wrap-distance-top:0pt;mso-wrap-distance-bottom:0pt;margin-top:-0.9pt;mso-position-vertical:center;mso-position-vertical-relative:text;margin-left:306.05pt;mso-position-horizontal-relative:page">
              <v:fill opacity="0f"/>
              <v:textbox inset="0in,0in,0in,0in">
                <w:txbxContent>
                  <w:p>
                    <w:pPr>
                      <w:pStyle w:val="Footer"/>
                      <w:rPr>
                        <w:rStyle w:val="PageNumber"/>
                        <w:sz w:val="21"/>
                      </w:rPr>
                    </w:pPr>
                    <w:r>
                      <w:rPr>
                        <w:rStyle w:val="PageNumber"/>
                        <w:sz w:val="21"/>
                      </w:rPr>
                      <w:fldChar w:fldCharType="begin"/>
                    </w:r>
                    <w:r>
                      <w:rPr>
                        <w:rStyle w:val="PageNumber"/>
                        <w:sz w:val="21"/>
                      </w:rPr>
                      <w:instrText xml:space="preserve"> PAGE </w:instrText>
                    </w:r>
                    <w:r>
                      <w:rPr>
                        <w:rStyle w:val="PageNumber"/>
                        <w:sz w:val="21"/>
                      </w:rPr>
                      <w:fldChar w:fldCharType="separate"/>
                    </w:r>
                    <w:r>
                      <w:rPr>
                        <w:rStyle w:val="PageNumber"/>
                        <w:sz w:val="21"/>
                      </w:rPr>
                      <w:t>1</w:t>
                    </w:r>
                    <w:r>
                      <w:rPr>
                        <w:rStyle w:val="PageNumber"/>
                        <w:sz w:val="21"/>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rPr/>
    </w:pPr>
    <w:r>
      <w:rPr/>
    </w:r>
    <w:r>
      <mc:AlternateContent>
        <mc:Choice Requires="wps">
          <w:drawing>
            <wp:anchor distT="0" distB="0" distL="0" distR="0" simplePos="0" relativeHeight="13" behindDoc="0" locked="0" layoutInCell="0" allowOverlap="1">
              <wp:simplePos x="0" y="0"/>
              <wp:positionH relativeFrom="page">
                <wp:posOffset>3886835</wp:posOffset>
              </wp:positionH>
              <wp:positionV relativeFrom="paragraph">
                <wp:align>center</wp:align>
              </wp:positionV>
              <wp:extent cx="229235" cy="153670"/>
              <wp:effectExtent l="0" t="0" r="0" b="0"/>
              <wp:wrapSquare wrapText="bothSides"/>
              <wp:docPr id="3" name="Frame2"/>
              <a:graphic xmlns:a="http://schemas.openxmlformats.org/drawingml/2006/main">
                <a:graphicData uri="http://schemas.microsoft.com/office/word/2010/wordprocessingShape">
                  <wps:wsp>
                    <wps:cNvSpPr txBox="1"/>
                    <wps:spPr>
                      <a:xfrm>
                        <a:off x="0" y="0"/>
                        <a:ext cx="229235" cy="153670"/>
                      </a:xfrm>
                      <a:prstGeom prst="rect"/>
                      <a:solidFill>
                        <a:srgbClr val="FFFFFF">
                          <a:alpha val="0"/>
                        </a:srgbClr>
                      </a:solidFill>
                    </wps:spPr>
                    <wps:txbx>
                      <w:txbxContent>
                        <w:p>
                          <w:pPr>
                            <w:pStyle w:val="Footer"/>
                            <w:rPr/>
                          </w:pPr>
                          <w:r>
                            <w:rPr>
                              <w:rStyle w:val="PageNumber"/>
                              <w:sz w:val="21"/>
                            </w:rPr>
                            <w:fldChar w:fldCharType="begin"/>
                          </w:r>
                          <w:r>
                            <w:rPr>
                              <w:rStyle w:val="PageNumber"/>
                              <w:sz w:val="21"/>
                            </w:rPr>
                            <w:instrText xml:space="preserve"> PAGE </w:instrText>
                          </w:r>
                          <w:r>
                            <w:rPr>
                              <w:rStyle w:val="PageNumber"/>
                              <w:sz w:val="21"/>
                            </w:rPr>
                            <w:fldChar w:fldCharType="separate"/>
                          </w:r>
                          <w:r>
                            <w:rPr>
                              <w:rStyle w:val="PageNumber"/>
                              <w:sz w:val="21"/>
                            </w:rPr>
                            <w:t>10</w:t>
                          </w:r>
                          <w:r>
                            <w:rPr>
                              <w:rStyle w:val="PageNumber"/>
                              <w:sz w:val="21"/>
                            </w:rPr>
                            <w:fldChar w:fldCharType="end"/>
                          </w:r>
                        </w:p>
                      </w:txbxContent>
                    </wps:txbx>
                    <wps:bodyPr anchor="t" lIns="0" tIns="0" rIns="0" bIns="0">
                      <a:noAutofit/>
                    </wps:bodyPr>
                  </wps:wsp>
                </a:graphicData>
              </a:graphic>
            </wp:anchor>
          </w:drawing>
        </mc:Choice>
        <mc:Fallback>
          <w:pict>
            <v:rect fillcolor="#FFFFFF" style="position:absolute;rotation:-0;width:18.05pt;height:12.1pt;mso-wrap-distance-left:0pt;mso-wrap-distance-right:0pt;mso-wrap-distance-top:0pt;mso-wrap-distance-bottom:0pt;margin-top:-0.9pt;mso-position-vertical:center;mso-position-vertical-relative:text;margin-left:306.05pt;mso-position-horizontal-relative:page">
              <v:fill opacity="0f"/>
              <v:textbox inset="0in,0in,0in,0in">
                <w:txbxContent>
                  <w:p>
                    <w:pPr>
                      <w:pStyle w:val="Footer"/>
                      <w:rPr/>
                    </w:pPr>
                    <w:r>
                      <w:rPr>
                        <w:rStyle w:val="PageNumber"/>
                        <w:sz w:val="21"/>
                      </w:rPr>
                      <w:fldChar w:fldCharType="begin"/>
                    </w:r>
                    <w:r>
                      <w:rPr>
                        <w:rStyle w:val="PageNumber"/>
                        <w:sz w:val="21"/>
                      </w:rPr>
                      <w:instrText xml:space="preserve"> PAGE </w:instrText>
                    </w:r>
                    <w:r>
                      <w:rPr>
                        <w:rStyle w:val="PageNumber"/>
                        <w:sz w:val="21"/>
                      </w:rPr>
                      <w:fldChar w:fldCharType="separate"/>
                    </w:r>
                    <w:r>
                      <w:rPr>
                        <w:rStyle w:val="PageNumber"/>
                        <w:sz w:val="21"/>
                      </w:rPr>
                      <w:t>10</w:t>
                    </w:r>
                    <w:r>
                      <w:rPr>
                        <w:rStyle w:val="PageNumber"/>
                        <w:sz w:val="21"/>
                      </w:rPr>
                      <w:fldChar w:fldCharType="end"/>
                    </w:r>
                  </w:p>
                </w:txbxContent>
              </v:textbox>
              <w10:wrap type="squar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settings.xml><?xml version="1.0" encoding="utf-8"?>
<w:settings xmlns:w="http://schemas.openxmlformats.org/wordprocessingml/2006/main">
  <w:zoom w:percent="100"/>
  <w:defaultTabStop w:val="420"/>
  <w:autoHyphenation w:val="true"/>
  <w:hyphenationZone w:val="0"/>
  <w:compat>
    <w:doNotExpandShiftReturn/>
    <w:adjustLineHeightInTable/>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w:sz w:val="24"/>
        <w:szCs w:val="24"/>
        <w:lang w:val="en-US" w:eastAsia="zh-CN" w:bidi="hi-IN"/>
      </w:rPr>
    </w:rPrDefault>
    <w:pPrDefault>
      <w:pPr>
        <w:suppressAutoHyphens w:val="true"/>
      </w:pPr>
    </w:pPrDefault>
  </w:docDefaults>
  <w:style w:type="paragraph" w:styleId="Normal">
    <w:name w:val="Normal"/>
    <w:qFormat/>
    <w:pPr>
      <w:widowControl w:val="false"/>
      <w:bidi w:val="0"/>
      <w:jc w:val="both"/>
    </w:pPr>
    <w:rPr>
      <w:rFonts w:ascii="Times New Roman" w:hAnsi="Times New Roman" w:eastAsia="宋体" w:cs="Times New Roman"/>
      <w:color w:val="auto"/>
      <w:kern w:val="2"/>
      <w:sz w:val="21"/>
      <w:szCs w:val="24"/>
      <w:lang w:bidi="ar-SA" w:val="en-US" w:eastAsia="zh-CN"/>
    </w:rPr>
  </w:style>
  <w:style w:type="character" w:styleId="Style14">
    <w:name w:val="默认段落字体"/>
    <w:qFormat/>
    <w:rPr/>
  </w:style>
  <w:style w:type="character" w:styleId="PageNumber">
    <w:name w:val="page number"/>
    <w:basedOn w:val="Style14"/>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jc w:val="center"/>
    </w:pPr>
    <w:rPr>
      <w:sz w:val="36"/>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Style15">
    <w:name w:val="批注框文本"/>
    <w:basedOn w:val="Normal"/>
    <w:qFormat/>
    <w:pPr/>
    <w:rPr>
      <w:sz w:val="18"/>
      <w:szCs w:val="18"/>
    </w:rPr>
  </w:style>
  <w:style w:type="paragraph" w:styleId="HeaderandFooter">
    <w:name w:val="Header and Footer"/>
    <w:basedOn w:val="Normal"/>
    <w:qFormat/>
    <w:pPr>
      <w:suppressLineNumbers/>
      <w:tabs>
        <w:tab w:val="clear" w:pos="420"/>
        <w:tab w:val="center" w:pos="4819" w:leader="none"/>
        <w:tab w:val="right" w:pos="9638" w:leader="none"/>
      </w:tabs>
    </w:pPr>
    <w:rPr/>
  </w:style>
  <w:style w:type="paragraph" w:styleId="Footer">
    <w:name w:val="footer"/>
    <w:basedOn w:val="Normal"/>
    <w:pPr>
      <w:tabs>
        <w:tab w:val="clear" w:pos="420"/>
        <w:tab w:val="center" w:pos="4153" w:leader="none"/>
        <w:tab w:val="right" w:pos="8306" w:leader="none"/>
      </w:tabs>
      <w:snapToGrid w:val="false"/>
      <w:jc w:val="start"/>
    </w:pPr>
    <w:rPr>
      <w:sz w:val="18"/>
      <w:szCs w:val="18"/>
    </w:rPr>
  </w:style>
  <w:style w:type="paragraph" w:styleId="Header">
    <w:name w:val="header"/>
    <w:basedOn w:val="Normal"/>
    <w:pPr>
      <w:pBdr>
        <w:bottom w:val="single" w:sz="6" w:space="1" w:color="000000"/>
      </w:pBdr>
      <w:tabs>
        <w:tab w:val="clear" w:pos="420"/>
        <w:tab w:val="center" w:pos="4153" w:leader="none"/>
        <w:tab w:val="right" w:pos="8306" w:leader="none"/>
      </w:tabs>
      <w:snapToGrid w:val="false"/>
      <w:jc w:val="center"/>
    </w:pPr>
    <w:rPr>
      <w:sz w:val="18"/>
      <w:szCs w:val="1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paragraph" w:styleId="Title">
    <w:name w:val="Title"/>
    <w:basedOn w:val="BodyText"/>
    <w:rPr>
      <w:color w:val="00000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 Id="rIdProposalFigure1" Type="http://schemas.openxmlformats.org/officeDocument/2006/relationships/image" Target="media/proposal_figure_1.png"/><Relationship Id="rIdProposalFigure2" Type="http://schemas.openxmlformats.org/officeDocument/2006/relationships/image" Target="media/proposal_figure_2.png"/><Relationship Id="rIdProposalFigure3" Type="http://schemas.openxmlformats.org/officeDocument/2006/relationships/image" Target="media/proposal_figure_3.png"/><Relationship Id="rIdProposalFigure4" Type="http://schemas.openxmlformats.org/officeDocument/2006/relationships/image" Target="media/proposal_figure_4.png"/><Relationship Id="rIdProposalFigure5" Type="http://schemas.openxmlformats.org/officeDocument/2006/relationships/image" Target="media/proposal_figure_5.png"/><Relationship Id="rIdProposalFigure6" Type="http://schemas.openxmlformats.org/officeDocument/2006/relationships/image" Target="media/proposal_figure_6.png"/><Relationship Id="rIdWpsEquation1" Type="http://schemas.openxmlformats.org/officeDocument/2006/relationships/image" Target="media/wps_equation_1.png"/><Relationship Id="rIdWpsEquation2" Type="http://schemas.openxmlformats.org/officeDocument/2006/relationships/image" Target="media/wps_equation_2.png"/><Relationship Id="rIdWpsEquation3" Type="http://schemas.openxmlformats.org/officeDocument/2006/relationships/image" Target="media/wps_equation_3.png"/><Relationship Id="rIdWpsEquation4" Type="http://schemas.openxmlformats.org/officeDocument/2006/relationships/image" Target="media/wps_equation_4.png"/><Relationship Id="rIdWpsEquation5" Type="http://schemas.openxmlformats.org/officeDocument/2006/relationships/image" Target="media/wps_equation_5.png"/><Relationship Id="rIdWpsEquation6" Type="http://schemas.openxmlformats.org/officeDocument/2006/relationships/image" Target="media/wps_equation_6.png"/><Relationship Id="rIdWpsEquation7" Type="http://schemas.openxmlformats.org/officeDocument/2006/relationships/image" Target="media/wps_equation_7.png"/><Relationship Id="rIdWpsEquation8" Type="http://schemas.openxmlformats.org/officeDocument/2006/relationships/image" Target="media/wps_equation_8.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LibreOfficeDev/26.8.0.0.alpha0$Linux_X86_64 LibreOffice_project/2c87e51eeaa2b413ff4ae097b2705eea1995d8e5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2004-11-22T09:36:00Z</dcterms:created>
  <dc:creator>vip</dc:creator>
  <dc:description/>
  <dc:language>en-US</dc:language>
  <cp:lastModifiedBy>白菜花开</cp:lastModifiedBy>
  <cp:lastPrinted>2004-11-22T09:24:00Z</cp:lastPrinted>
  <dcterms:modified xsi:type="dcterms:W3CDTF">2026-03-11T15:32:46Z</dcterms:modified>
  <cp:revision>7</cp:revision>
  <dc:subject/>
  <dc:title>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BFC0F8820E4B495C9E297E8C5DF6B378_12</vt:lpwstr>
  </property>
  <property fmtid="{D5CDD505-2E9C-101B-9397-08002B2CF9AE}" pid="3" name="KSOProductBuildVer">
    <vt:lpwstr>2052-12.1.0.25225</vt:lpwstr>
  </property>
  <property fmtid="{D5CDD505-2E9C-101B-9397-08002B2CF9AE}" pid="4" name="KSOTemplateDocerSaveRecord">
    <vt:lpwstr>eyJoZGlkIjoiM2QwMzdmMmU5MDc0OTQ5MWQ5MGMyNDFiYzViZjgyOGMiLCJ1c2VySWQiOiIxMTQ1NzA0ODAyIn0=</vt:lpwstr>
  </property>
</Properties>
</file>