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黑体"/>
        </w:rPr>
      </w:pPr>
      <w:r>
        <w:rPr>
          <w:rFonts w:hint="eastAsia" w:eastAsia="黑体"/>
        </w:rPr>
        <w:t xml:space="preserve">                                          </w:t>
      </w:r>
      <w:r>
        <w:rPr>
          <w:rFonts w:hint="default" w:eastAsia="黑体"/>
          <w:lang w:val="en-US"/>
        </w:rPr>
        <w:t xml:space="preserve">                                                                               </w:t>
      </w:r>
      <w:r>
        <w:rPr>
          <w:rFonts w:hint="eastAsia" w:eastAsia="黑体"/>
        </w:rPr>
        <w:t xml:space="preserve">                          </w:t>
      </w:r>
      <w:r>
        <w:rPr>
          <w:rFonts w:hint="eastAsia" w:eastAsia="黑体"/>
          <w:sz w:val="28"/>
          <w:szCs w:val="28"/>
        </w:rPr>
        <w:t>学 号：</w:t>
      </w:r>
      <w:r>
        <w:rPr>
          <w:rFonts w:hint="eastAsia" w:eastAsia="黑体"/>
        </w:rPr>
        <w:t xml:space="preserve">    </w:t>
      </w:r>
    </w:p>
    <w:p>
      <w:pPr>
        <w:pStyle w:val="4"/>
        <w:rPr>
          <w:rFonts w:hint="eastAsia" w:ascii="华文新魏" w:hAnsi="华文新魏" w:eastAsia="宋体"/>
          <w:sz w:val="84"/>
          <w:szCs w:val="84"/>
        </w:rPr>
      </w:pPr>
      <w:r>
        <w:br w:type="textWrapping"/>
      </w:r>
      <w:r>
        <w:rPr>
          <w:rFonts w:hint="eastAsia" w:ascii="华文新魏" w:hAnsi="华文新魏" w:eastAsia="宋体"/>
          <w:sz w:val="84"/>
          <w:szCs w:val="84"/>
        </w:rPr>
        <w:drawing>
          <wp:inline distT="0" distB="0" distL="0" distR="0">
            <wp:extent cx="2366645" cy="1061085"/>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8"/>
                    <a:srcRect l="32268" t="8388" r="2027" b="55324"/>
                    <a:stretch>
                      <a:fillRect/>
                    </a:stretch>
                  </pic:blipFill>
                  <pic:spPr>
                    <a:xfrm>
                      <a:off x="0" y="0"/>
                      <a:ext cx="2366645" cy="1061085"/>
                    </a:xfrm>
                    <a:prstGeom prst="rect">
                      <a:avLst/>
                    </a:prstGeom>
                    <a:noFill/>
                  </pic:spPr>
                </pic:pic>
              </a:graphicData>
            </a:graphic>
          </wp:inline>
        </w:drawing>
      </w:r>
    </w:p>
    <w:p>
      <w:pPr>
        <w:pStyle w:val="4"/>
        <w:rPr>
          <w:rFonts w:hint="eastAsia" w:ascii="华文新魏" w:hAnsi="华文新魏" w:eastAsia="宋体"/>
          <w:sz w:val="84"/>
          <w:szCs w:val="84"/>
        </w:rPr>
      </w:pPr>
    </w:p>
    <w:p>
      <w:pPr>
        <w:pStyle w:val="4"/>
        <w:rPr>
          <w:rFonts w:hint="eastAsia" w:ascii="黑体" w:hAnsi="黑体" w:eastAsia="黑体"/>
          <w:sz w:val="44"/>
          <w:szCs w:val="44"/>
        </w:rPr>
      </w:pPr>
      <w:r>
        <w:rPr>
          <w:rFonts w:hint="eastAsia" w:ascii="黑体" w:hAnsi="黑体" w:eastAsia="黑体"/>
          <w:sz w:val="44"/>
          <w:szCs w:val="44"/>
        </w:rPr>
        <w:t>硕士学位论文或实践成果开题报告</w:t>
      </w:r>
    </w:p>
    <w:p>
      <w:pPr>
        <w:snapToGrid w:val="0"/>
        <w:spacing w:line="200" w:lineRule="exact"/>
        <w:jc w:val="center"/>
        <w:rPr>
          <w:rFonts w:hint="eastAsia" w:ascii="黑体" w:hAnsi="黑体" w:eastAsia="黑体"/>
          <w:b/>
          <w:sz w:val="44"/>
          <w:szCs w:val="44"/>
        </w:rPr>
      </w:pPr>
    </w:p>
    <w:p>
      <w:pPr>
        <w:snapToGrid w:val="0"/>
        <w:spacing w:line="200" w:lineRule="exact"/>
        <w:jc w:val="center"/>
        <w:rPr>
          <w:rFonts w:hint="eastAsia"/>
          <w:b/>
        </w:rPr>
      </w:pPr>
    </w:p>
    <w:p>
      <w:pPr>
        <w:snapToGrid w:val="0"/>
        <w:spacing w:line="200" w:lineRule="exact"/>
        <w:jc w:val="center"/>
        <w:rPr>
          <w:rFonts w:hint="eastAsia"/>
          <w:b/>
        </w:rPr>
      </w:pPr>
    </w:p>
    <w:p>
      <w:pPr>
        <w:snapToGrid w:val="0"/>
        <w:spacing w:line="200" w:lineRule="exact"/>
        <w:jc w:val="center"/>
        <w:rPr>
          <w:rFonts w:hint="eastAsia"/>
          <w:b/>
        </w:rPr>
      </w:pP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szCs w:val="32"/>
        </w:rPr>
      </w:pPr>
      <w:r>
        <w:rPr>
          <w:rFonts w:hint="eastAsia" w:ascii="仿宋_GB2312" w:hAnsi="仿宋_GB2312" w:eastAsia="仿宋_GB2312" w:cs="仿宋_GB2312"/>
          <w:b/>
          <w:sz w:val="32"/>
          <w:szCs w:val="32"/>
        </w:rPr>
        <w:t>论文或实践成果题目：</w:t>
      </w:r>
      <w:r>
        <w:rPr>
          <w:rFonts w:hint="eastAsia" w:ascii="仿宋_GB2312" w:hAnsi="仿宋_GB2312" w:eastAsia="仿宋_GB2312" w:cs="仿宋_GB2312"/>
          <w:b/>
          <w:sz w:val="32"/>
          <w:szCs w:val="32"/>
          <w:u w:val="single"/>
        </w:rPr>
        <w:t>面向实验室操作的视觉语言动作模型多模态条件控制与场景适应方法研究</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学 生 姓 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Chars="760" w:right="0" w:rightChars="0" w:firstLine="0" w:firstLineChars="0"/>
        <w:jc w:val="left"/>
        <w:textAlignment w:val="auto"/>
        <w:rPr>
          <w:rFonts w:ascii="仿宋_GB2312" w:hAnsi="仿宋_GB2312" w:eastAsia="仿宋_GB2312" w:cs="仿宋_GB2312"/>
          <w:b/>
          <w:sz w:val="32"/>
          <w:u w:val="none"/>
        </w:rPr>
      </w:pPr>
      <w:r>
        <w:rPr>
          <w:rFonts w:hint="eastAsia" w:ascii="仿宋_GB2312" w:hAnsi="仿宋_GB2312" w:eastAsia="仿宋_GB2312" w:cs="仿宋_GB2312"/>
          <w:b/>
          <w:sz w:val="32"/>
          <w:u w:val="none"/>
        </w:rPr>
        <w:t>导 师 姓 名：</w:t>
      </w:r>
      <w:r>
        <w:rPr>
          <w:rFonts w:hint="eastAsia" w:ascii="仿宋_GB2312" w:hAnsi="仿宋_GB2312" w:eastAsia="仿宋_GB2312" w:cs="仿宋_GB2312"/>
          <w:b/>
          <w:sz w:val="32"/>
          <w:u w:val="single"/>
        </w:rPr>
        <w:t xml:space="preserve">                                </w:t>
      </w:r>
      <w:r>
        <w:rPr>
          <w:rFonts w:hint="eastAsia" w:ascii="仿宋_GB2312" w:hAnsi="仿宋_GB2312" w:eastAsia="仿宋_GB2312" w:cs="仿宋_GB2312"/>
          <w:b/>
          <w:sz w:val="32"/>
          <w:u w:val="single"/>
        </w:rPr>
        <w:br w:type="textWrapping"/>
      </w:r>
      <w:r>
        <w:rPr>
          <w:rFonts w:hint="eastAsia" w:ascii="仿宋_GB2312" w:hAnsi="仿宋_GB2312" w:eastAsia="仿宋_GB2312" w:cs="仿宋_GB2312"/>
          <w:b/>
          <w:sz w:val="32"/>
          <w:u w:val="none"/>
        </w:rPr>
        <w:t>副导师姓名：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所属学科/类别名称：</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 属 学 院：</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联 系 电 话：</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开 题 时 间：</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136" w:lineRule="exact"/>
        <w:jc w:val="left"/>
        <w:textAlignment w:val="auto"/>
        <w:rPr>
          <w:rFonts w:hint="eastAsia" w:ascii="仿宋_GB2312" w:hAnsi="仿宋_GB2312" w:eastAsia="仿宋_GB2312" w:cs="仿宋_GB2312"/>
          <w:b/>
          <w:sz w:val="32"/>
          <w:u w:val="single"/>
        </w:rPr>
      </w:pPr>
    </w:p>
    <w:p>
      <w:pPr>
        <w:tabs>
          <w:tab w:val="left" w:pos="2700"/>
        </w:tabs>
        <w:jc w:val="center"/>
        <w:rPr>
          <w:rFonts w:hint="eastAsia" w:ascii="仿宋_GB2312" w:hAnsi="仿宋_GB2312" w:eastAsia="仿宋_GB2312" w:cs="仿宋_GB2312"/>
          <w:b w:val="0"/>
          <w:bCs/>
          <w:sz w:val="32"/>
        </w:rPr>
      </w:pPr>
      <w:r>
        <w:rPr>
          <w:rFonts w:hint="eastAsia" w:ascii="仿宋_GB2312" w:hAnsi="仿宋_GB2312" w:eastAsia="仿宋_GB2312" w:cs="仿宋_GB2312"/>
          <w:b w:val="0"/>
          <w:bCs/>
          <w:sz w:val="32"/>
        </w:rPr>
        <w:t>东北大学研究生院</w:t>
      </w:r>
    </w:p>
    <w:p>
      <w:pPr>
        <w:tabs>
          <w:tab w:val="left" w:pos="2700"/>
        </w:tabs>
        <w:jc w:val="center"/>
        <w:rPr>
          <w:rFonts w:hint="eastAsia" w:ascii="仿宋_GB2312" w:hAnsi="仿宋_GB2312" w:eastAsia="仿宋_GB2312" w:cs="仿宋_GB2312"/>
          <w:b w:val="0"/>
          <w:bCs/>
          <w:sz w:val="32"/>
        </w:rPr>
        <w:sectPr>
          <w:footerReference r:id="rId4" w:type="first"/>
          <w:footerReference r:id="rId3" w:type="default"/>
          <w:pgSz w:w="11906" w:h="16838"/>
          <w:pgMar w:top="1418" w:right="1134" w:bottom="1191" w:left="1134" w:header="0" w:footer="992" w:gutter="0"/>
          <w:pgNumType w:fmt="decimal" w:start="0"/>
          <w:cols w:space="720" w:num="1"/>
          <w:formProt w:val="0"/>
          <w:titlePg/>
          <w:docGrid w:type="lines" w:linePitch="312" w:charSpace="0"/>
        </w:sectPr>
      </w:pPr>
      <w:r>
        <w:rPr>
          <w:rFonts w:hint="eastAsia" w:ascii="仿宋_GB2312" w:hAnsi="仿宋_GB2312" w:eastAsia="仿宋_GB2312" w:cs="仿宋_GB2312"/>
          <w:b w:val="0"/>
          <w:bCs/>
          <w:sz w:val="32"/>
        </w:rPr>
        <w:t>年   月   日</w:t>
      </w:r>
    </w:p>
    <w:p>
      <w:pPr>
        <w:jc w:val="center"/>
        <w:rPr>
          <w:rFonts w:hint="eastAsia" w:ascii="仿宋_GB2312" w:hAnsi="仿宋_GB2312" w:eastAsia="仿宋_GB2312" w:cs="仿宋_GB2312"/>
          <w:b w:val="0"/>
          <w:bCs/>
          <w:sz w:val="47"/>
        </w:rPr>
      </w:pPr>
    </w:p>
    <w:p>
      <w:pPr>
        <w:jc w:val="center"/>
        <w:rPr>
          <w:rFonts w:hint="eastAsia" w:ascii="仿宋_GB2312" w:hAnsi="仿宋_GB2312" w:eastAsia="仿宋_GB2312" w:cs="仿宋_GB2312"/>
          <w:b/>
          <w:bCs/>
          <w:sz w:val="44"/>
          <w:szCs w:val="44"/>
        </w:rPr>
      </w:pPr>
      <w:bookmarkStart w:id="0" w:name="_GoBack"/>
      <w:r>
        <w:rPr>
          <w:rFonts w:hint="eastAsia" w:ascii="仿宋_GB2312" w:hAnsi="仿宋_GB2312" w:eastAsia="仿宋_GB2312" w:cs="仿宋_GB2312"/>
          <w:b/>
          <w:bCs/>
          <w:sz w:val="44"/>
          <w:szCs w:val="44"/>
        </w:rPr>
        <w:t>填表说明</w:t>
      </w:r>
    </w:p>
    <w:bookmarkEnd w:id="0"/>
    <w:p>
      <w:pPr>
        <w:rPr>
          <w:rFonts w:hint="eastAsia" w:ascii="仿宋_GB2312" w:hAnsi="仿宋_GB2312" w:eastAsia="仿宋_GB2312" w:cs="仿宋_GB2312"/>
          <w:b/>
          <w:bCs/>
          <w:sz w:val="44"/>
          <w:szCs w:val="44"/>
        </w:rPr>
      </w:pPr>
    </w:p>
    <w:p>
      <w:pPr>
        <w:rPr>
          <w:rFonts w:hint="eastAsia"/>
        </w:rPr>
      </w:pP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1、本表一、二、三、四、五项在导师指导下准确、完整填写。</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2、学生在通过开题后一周内将该材料交到所在学院（部），并将电子版上传至研究生管理信息系统。</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3、学生入学后2年内应完成论文或实践成果开题报告。按有关规定，没有通过的，不能进入中期考核。</w:t>
      </w:r>
    </w:p>
    <w:p>
      <w:pPr>
        <w:rPr>
          <w:rFonts w:hint="eastAsia"/>
        </w:rPr>
      </w:pPr>
      <w:r>
        <w:br w:type="page"/>
      </w:r>
    </w:p>
    <w:p>
      <w:pPr>
        <w:rPr>
          <w:rFonts w:hint="eastAsia" w:eastAsia="黑体"/>
          <w:sz w:val="24"/>
        </w:rPr>
      </w:pPr>
      <w:r>
        <w:rPr>
          <w:rFonts w:hint="eastAsia" w:eastAsia="黑体"/>
          <w:sz w:val="24"/>
        </w:rPr>
        <w:t>一、立论依据</w:t>
      </w:r>
    </w:p>
    <w:tbl>
      <w:tblPr>
        <w:tblStyle w:val="3"/>
        <w:tblW w:w="9845" w:type="dxa"/>
        <w:jc w:val="center"/>
        <w:tblLayout w:type="fixed"/>
        <w:tblCellMar>
          <w:top w:w="0" w:type="dxa"/>
          <w:left w:w="108" w:type="dxa"/>
          <w:bottom w:w="0" w:type="dxa"/>
          <w:right w:w="108" w:type="dxa"/>
        </w:tblCellMar>
      </w:tblPr>
      <w:tblGrid>
        <w:gridCol w:w="9845"/>
      </w:tblGrid>
      <w:tr>
        <w:tblPrEx>
          <w:tblCellMar>
            <w:top w:w="0" w:type="dxa"/>
            <w:left w:w="108" w:type="dxa"/>
            <w:bottom w:w="0" w:type="dxa"/>
            <w:right w:w="108" w:type="dxa"/>
          </w:tblCellMar>
        </w:tblPrEx>
        <w:trPr>
          <w:trHeight w:val="13524" w:hRule="atLeast"/>
          <w:jc w:val="center"/>
        </w:trPr>
        <w:tc>
          <w:tcPr>
            <w:tcW w:w="9845"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课题来源、选题依据和背景情况、课题研究目的、理论意义和实际应用价值</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1.1 课题来源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来源于实验室操作由固定自动化向灵活自主执行发展的需求，以及已有视觉语言动作模型条件控制研究。样品和器皿的取送、核验与归位既需要连续的物理操作，也需要判断对象身份、操作顺序和完成状态。科研实验的对象、摆放和流程又会随任务变化，单次动作执行正确并不足以保证整条流程可靠。因此，如何让机器人持续理解任务要求、利用执行历史并适应场景变化，构成了本课题的应用背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已有通用机器人研究为这一方向提供技术起点。π0将视觉语言预训练与flow matching动作生成结合，展示整理与折叠等操作[1]；π0.5通过异构数据和高层语义预测，在未见家庭环境中执行厨房整理等多阶段任务[2]。图1.1给出其真实厨房操作。图中结果来自原作者本体与训练条件，不代表本项目已复现这些能力。</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077595"/>
                  <wp:effectExtent l="0" t="0" r="8890" b="8255"/>
                  <wp:doc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9"/>
                          <a:stretch>
                            <a:fillRect/>
                          </a:stretch>
                        </pic:blipFill>
                        <pic:spPr>
                          <a:xfrm>
                            <a:off x="0" y="0"/>
                            <a:ext cx="5687568" cy="107788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图1.1 π0.5在未见厨房中的操作示例（引自文献[2]原图2，作者报告）</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1.1 Manipulation tasks performed by π0.5 in an unseen kitchen.</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化学实验自动化研究进一步表明，这类通用操作能力需要与实验流程的状态约束结合。RoboChemist通过VLM规划、视觉目标与执行监测连接VLA，在真实实验室器皿和多步骤任务上进行了验证[3]。图1.2引用其真实操作效果，用于说明实验室场景已具备开展视觉语言控制研究的基础。该工作也提醒本课题，操作是否符合流程要求必须由执行证据判断；生成了合理步骤，并不等于相应物理状态已经实现。</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943100"/>
                  <wp:effectExtent l="0" t="0" r="8890" b="0"/>
                  <wp:doc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0"/>
                          <a:stretch>
                            <a:fillRect/>
                          </a:stretch>
                        </pic:blipFill>
                        <pic:spPr>
                          <a:xfrm>
                            <a:off x="0" y="0"/>
                            <a:ext cx="5687568" cy="1943252"/>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图1.2 RoboChemist真实化学实验序列（引自文献[3]原图4，第7页，作者报告）</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1.2 Real-world chemical experiment sequences from RoboChemist.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成果使研究重点能够从“机器人能否完成单个示范动作”进一步转向“模型如何在连续执行中保持有效条件”。例如，样品完成核验并放回后，外观可能接近初始状态，但下一步应处理另一对象；抓取滑落后，任务目标仍然有效，而“当前持有样品”的记录必须修正。本课题拟围绕这类历史与当前观测共同决定动作的问题，研究任务语义、执行记忆和物理反馈的协同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研究已涉及实验室器皿操作中的措辞变化、对象角色与动作约束；后续已完成π0.5在RealMan双臂灵巧手仿真本体上的监督微调，并初步接通RoboTwin与RLinf交互训练链路。新工作以空样品瓶的“干式样品核验与归位”为起点，保留对象、顺序和状态交接要求，将范围限制在可测量的取送、放置和恢复行为。正式项目名称、编号及经费来源由导师和课题组确认，不将外部成果或尚未核实的合作关系作为本项目已完成的工作。</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1.2 选题依据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1.2.1 固定自动化的稳定性与任务变化之间存在适配成本</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科研实验和小批量操作较难长期维持与标准化产线相同的环境约束。若为每个新对象重新编写整条程序，开发与维护工作可能抵消自动化节省的时间；若仍由人持续检查和复位，机器人又难以独立完成连续流程。本课题因此研究在既有硬件和有限动作能力内，通过语言、视觉与执行历史调整行为的条件控制方法，保留成熟控制与人工验收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1.2.2 多模态理解能力与动作执行能力之间仍需有效衔接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为统一建模提供了接口，却仍需检验哪些条件真正改变了行为。对象角色、避让要求和操作次序可能在融合与动作去噪中被弱化，当前画面又可能缺少已完成核验等历史事实。本课题延续MICA-VLA的语义条件控制问题，将稳定的任务要求与会变化的执行事实共同纳入动作条件，评价语言变化、场景变化与历史变化各自引起的行为差异，避免仅凭输入模态增加判断能力提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1.2.3 示范拟合与自主执行中的后果评价并不相同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可以学习动作、子任务和记忆使用；只要示范覆盖充分，也可以包含纠正与恢复行为。实际困难在于数据覆盖与采集成本：自主策略会因滑落、未完成放置或前一步偏差进入新的状态，标准示范未必为这些状态给出恰当续作。单步动作误差还不能直接说明某次高层判断对最终任务的影响，持续补标也需要专家投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强化学习以策略产生的轨迹和累计回报为优化对象[4]，适合评价经过后续交互才能显现的决策后果。RECAP通过价值学习和优势条件化利用执行经验[5]，提供了大型VLA后训练的可借鉴路线。但直接引入任务回报也有局限：正确的记忆判断可能因后续抓取失败而得到低评价，错误记录又可能被偶然补救掩盖。因此，本课题既研究回报如何进入共享VLM与动作专家，也检验其相对强监督、规则记忆和等成本交互是否具有实际增量。</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1.2.4 单步成功和当前观测不足以完整评价连续流程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外部编排与检查机制能够记录进度、管理工具和触发重试，对明确规则的流程十分有效。其适用边界在于：记录来自哪些证据、部分完成怎样判断、技能结果不确定时怎样更新状态。实验室样品流程使这些问题容易构造和核验，也具有重复与遗漏后果不同的特点。本课题关注的是让自身VLM学会利用与更新这些条件，并用实际执行后果评价其作用，不以重新搭建通用任务编排器作为主要创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1.2.5 现有资源支持受控比较与渐进验证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条件控制研究和现有RM65-B仿真适配为本课题提供了明确边界。三路RGB、24维臂手接口及π0.5监督微调基础，可以用于建立同一模型、同一动作能力下的比较；RoboTwin与RLinf分别提供仿真任务和训练组织条件[6–7]。现有数据和链路只证明相应准备工作，不能作为新记忆方法已实现或RL已提升成功率的证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拟按“条件控制成果—共享VLM联合学习基线—物理后果记忆信用”逐步展开。先补齐并验收有限取送与归位能力，再确认真实的历史依赖，再判断额外信用机制能否超过更简单的方法。这样的安排既利用已有资源，也允许根据负结果收缩方法范围，使硕士研究集中在可测量的问题，而不同时承担开放世界规划、复杂化学反应和通用机器人自进化等目标。</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1.3 背景情况</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1.3.1 机器人操作从固定程序走向多模态条件策略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学习式机器人策略尝试从数据中获得观测与动作之间的映射，减少逐任务编写控制程序的负担。视觉语言模型的发展进一步使机器人能够借助预训练表征理解对象和指令，VLA则把这种理解与可执行动作连接起来[1–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T-1以多样化机器人数据和Transformer策略研究跨任务学习，推动机器人策略从逐任务拟合走向共享条件映射[8]；RT-2进一步将动作表达为文本token，与互联网视觉语言任务共同微调，使语义知识能够参与端到端控制[9]。这一发展拓宽了机器人处理新对象与语言要求的途径，同时也使视觉语言知识如何与物理动作联系起来成为持续研究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penVLA通过开放模型、视觉特征融合和低秩微调降低通用策略的使用门槛[10]，Octo则研究不同传感输入和动作空间下的策略适配[11]。开放模型与数据接口使研究者能够复用预训练能力，在不同设备与任务上开展微调。由于相机视角、末端机构和控制量存在差异，通用策略在具体本体上的效果仍取决于数据、接口与实际执行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块生成是当前VLA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ACT通过预测动作块缩短模仿学习的有效时域，针对精细双臂操作中的误差累积提供了可行方案[12]；Diffusion Policy用视觉条件去噪表达多模态动作分布，并采用滚动时域执行[13]。这些工作推进了连续动作的表示与生成。随着任务从一次抓放扩展到多阶段操作，动作模型还需要利用跨步骤信息，使局部运动与整个流程保持一致。</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1.3.2 多步骤操作与执行记忆的发展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[14]，为理解机器人为何需要保留执行信息提供了基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将短期视觉记忆与长期语言记忆结合，在配餐准备、厨房清理及部分可观测操作等任务中研究执行历史的作用[15]。图1.3展示其原论文的任务示例。这些任务跨越多个对象和操作阶段，涉及操作顺序、近期观察与先前事件，为具备记忆的机器人策略提供了具体应用场景。</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629589"/>
                  <wp:effectExtent l="0" t="0" r="8890" b="7620"/>
                  <wp:doc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posal_figure_1_1.png" descr="图1.1 干式样品流程中的历史依赖与错误交接 / Figure 1.1 History dependence and incorrect handoffs in a dry sample workflow。含MICA稿SO-100/LACE实拍、RM65-B既有仿真及AI概念场景；不是新课题已完成长程实验。"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7060" cy="3629589"/>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图1.3 MEM的长时程与部分可观测操作任务示例（引自文献[15]原图1上部）</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1.3 Long-horizon and partially observable tasks in MEM.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不同时间尺度的信息具有不同用途。近期的视觉与本体历史可以补充遮挡前的对象位置和刚才的运动过程；较长时间的语义记忆则用于概括已完成的步骤及仍待处理的事项。MEM通过近期观测编码和递归语言摘要组织这些信息，并在训练中学习如何使用历史。由此，研究逐渐从简单增加输入帧数，发展为同时考虑信息内容、时间跨度与推理开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1.3.3 从示范学习走向执行经验后训练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为机器人策略提供了重要起点，但自主执行可能进入示范覆盖较少的状态，动作误差也会改变后续观测。DAgger通过对策略实际访问的状态补充专家标注，研究在线模仿中的分布偏移问题[16]。强化学习则利用交互轨迹和累计回报评价行为后果[4]；RECAP通过价值学习与优势条件化，将成功、失败和人工纠正等执行经验用于VLA后训练[5]。这些路线扩展了机器人数据的利用方式，使训练从拟合标准示范进一步面向实际执行过程。反馈可靠性、专家参与成本及交互效率，仍是持续改进策略时需要解决的普遍问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1.3.4 语言规划与闭环反馈的发展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多步骤任务推动了语言规划与机器人技能执行的结合。SayCan将语言模型对技能的语义判断与价值函数提供的可执行性联系起来，使高层规划同时考虑任务要求和当前物理条件[17]。Inner Monologue进一步利用成功判定、场景描述和人类反馈更新规划上下文，使计划能够随执行结果调整[18]。相关研究表明，机器人系统需要持续接收环境信息，才能在操作失败或场景变化后继续组织后续步骤。</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机器人研究也从固定设备自动化逐渐拓展到包含规划、监测和连续操作的系统。RoboChemist将长程任务组织、安全约束与机器人执行相结合，在化学实验场景中研究多步骤流程[3]。这类应用说明，单次动作能力之外，对象识别、步骤衔接、过程记录和执行反馈也会影响整程可靠性；实验流程的要求因而推动了感知、语言与控制的进一步协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面向持续变化的真实环境，机器人既要具备局部操作能力，也要维持跨步骤的任务理解，这构成了多模态条件控制与场景适应研究的背景。</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1.4 课题研究目的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的总目标是：面向实验室多步骤操作，研究VLA对任务语义和执行历史的有效利用方法，在已有动作能力范围内，提高场景变化及动作失误后的流程执行可靠性。研究以条件控制为贯穿线索，将前期的指令语义路由与后续的执行记忆、子任务生成和动作回报学习联系起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整理并验证任务要求对动作生成的持续作用。以MICA-VLA的指令锚检索、语义条件化和已有实验为基础，明确同义表达稳定性与对象角色变化的行为要求，形成前期条件控制研究内容。该部分沿用原基座、本体和任务口径，不把原稿结果迁移为RM65-B的性能结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建立由π0.5自身VLM承担记忆读写和子任务生成的联合学习基线。高层生成自然语言子任务，不从固定子任务库选择；连续专家利用主干隐藏条件输出动作。通过监督暖启动和回报条件训练，使记忆与动作能够围绕同一流程目标学习，并明确不同监督目标及梯度的参数归属。</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研究运动失败条件下的记忆信用评价。利用少量可信的受控续跑，检验相对物理后果能否减少错误归因，并在动作专家变化后分析旧评价的适用性。最终通过整程成功率、重复遗漏、事实记录错误、恢复能力及总交互成本，评价该方法是否优于更简单的监督、规则和联合回报基线。</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1.5 理论意义</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深化多模态条件在动作生成中发挥作用的行为判据。语言表征、视觉特征和历史记录进入模型，并不等于它们已经影响了正确的动作。本课题以任务要求保持、对象角色变化及历史条件变化为切入点，拟区分语义表征可用、条件被专家利用和最终动作正确三个层次。前期MICA-VLA与后续记忆研究分别提供稳定任务语义和动态执行事实的研究对象，有助于形成贯穿多模态融合与连续控制的分析视角，减少把表征相似度直接等同于控制有效性的解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研究部分可观测操作中记忆内容的充分性与有效期。流程进度、物体位置和当前持物具有不同的持续时间，场景变化后不能一并保留或清空。本课题拟在可见信息相近而正确续作不同的任务中，检验哪些历史事实是决策所必需的、哪些事实需要由新证据更新，以及有限读取预算怎样影响执行。其理论意义在于把“增加记忆”细化为信息保留、更新和使用的可检验问题，为比较规则状态、监督记忆与回报学习提供共同对象，而非预设某种摘要形式就是充分状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明确高层生成与连续动作之间的时间尺度及回报关系。记忆读写和子任务文本的作用跨越多个控制步，动作块则在较短窗口内执行；若忽略持续时间，价值与优势可能评价不同长度的后果。本课题拟以实际执行边界组织两层训练样本，明确高层文本、FAST动作token、连续动作及各项损失的职责，分析共享表征与梯度隔离下的相互影响。这有助于将时间抽象与生成式VLA后训练连接起来，并区分结构整合、监督增量和回报优化各自带来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分析物理随机性下记忆信用评价的可辨识条件。终局结果同时受高层判断与动作执行影响，同一正确读写也可能因运动误差失败。本课题拟在可信恢复的起点与固定后续策略版本下，比较合法读写候选的续跑后果，研究何时能将回报差异解释为记忆决策的作用、何时仍受恢复误差和采样噪声混淆。意义在于为物理后果偏好建立适用边界和误差分析，而不是仅增加一个语义奖励，或预先宣称反事实估计无偏、算法必然收敛。</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研究执行策略变化后高层评价的时效性。动作专家能力改善后，原本需要回避或重试的情况可能已经改变，旧记忆偏好不一定继续适用。本课题拟区分环境事实过时、执行能力变化和评价噪声，并比较保留旧标签、有限刷新及同预算新增交互的效果。在本课题的物理续跑条件下，这一分析同时考虑执行策略与评价的变化，有助于说明经验何时可以复用、何时值得重新评价，为层级生成策略的持续后训练提供可检验的研究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1.6 实际应用价值</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为实验室重复器皿流程提供更灵活的执行方式。样品取送、核验和归位包含大量重复操作，同时又可能随对象、摆放与任务要求变化。本课题拟利用语言条件和共享模型衔接有限动作能力，在干式样品流程中检验适配性与执行一致性。若方法有效，可减少为每个小变化重新编写整条流程的负担，使实验人员更多投入实验设计和结果判断；实际收益将结合人工接管次数和完成时间评价，不预设已经达到无人值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提高操作记录的可追溯性与故障诊断能力。系统拟分别保存已核验样品、当前持物、对象位置和待核实事实，并将更新依据关联到观察、动作和完成证据。这样可以区分“已发出指令”和“已完成操作”，定位错误来自对象理解、进度记录还是物理执行。形成的事件和轨迹记录有望支持人工复核、失败分析及流程重放，为实验室自动化的质量管理提供技术材料，但不替代既有实验记录规范或正式审计要求。</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探索局部扰动后的连续执行与人工干预节约。物体被移动、抓取滑落或放置未完成时，整条任务重新开始可能重复已完成步骤，继续按旧状态推进又可能扩大错误。本课题拟检验机器人能否保留有效进度、纠正失效事实，并在能力范围内恢复后续操作。应用价值将通过恢复率、重复遗漏、重置次数及恢复用时衡量；对无法可靠判断或超出技能范围的情况保留人工确认，使恢复收益与额外检查、交互成本一并报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提升已有机器人、模型与数据资产的利用效率。研究复用RM65-B双臂灵巧手、现有相机接口及π0.5初始化，由自身VLM承担记忆与子任务生成，便于在统一接口上比较训练方法。预期可沉淀本体映射、任务配置、数据规范及失败样本，减少重复适配工作；共享模型是否节省实际推理和训练资源仍需测量，不能仅凭少部署一个模型作结论。与教师监督、规则记忆和普通联合训练的等成本比较，也能为后续投入提供选择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为其他历史依赖操作提供可复现的验证方法。样品核验后的归位与再访问，能够以较小场景构造当前画面相似、正确续作不同的情况；受控移动和抓取失败又便于分析状态更新与恢复。由此形成的任务、成功判据和成本统计，可为器皿整理、小件装配及复查返工等流程提供参考。迁移价值仍需在新任务和真实设备上验证；本课题首先研究空器皿干式代理任务，不将结果直接外推为复杂化学反应、任意液体操作或开放环境安全保证。</w:t>
            </w:r>
          </w:p>
        </w:tc>
      </w:tr>
    </w:tbl>
    <w:p>
      <w:pPr>
        <w:rPr>
          <w:rFonts w:hint="eastAsia" w:eastAsia="黑体"/>
          <w:sz w:val="24"/>
        </w:rPr>
      </w:pPr>
    </w:p>
    <w:p>
      <w:pPr>
        <w:rPr>
          <w:rFonts w:hint="eastAsia" w:eastAsia="黑体"/>
          <w:sz w:val="24"/>
        </w:rPr>
      </w:pPr>
      <w:r>
        <w:rPr>
          <w:rFonts w:hint="eastAsia" w:eastAsia="黑体"/>
          <w:sz w:val="24"/>
        </w:rPr>
        <w:t>二、文献综述</w:t>
      </w:r>
    </w:p>
    <w:tbl>
      <w:tblPr>
        <w:tblStyle w:val="3"/>
        <w:tblW w:w="9836" w:type="dxa"/>
        <w:tblInd w:w="0" w:type="dxa"/>
        <w:tblLayout w:type="fixed"/>
        <w:tblCellMar>
          <w:top w:w="0" w:type="dxa"/>
          <w:left w:w="108" w:type="dxa"/>
          <w:bottom w:w="0" w:type="dxa"/>
          <w:right w:w="108" w:type="dxa"/>
        </w:tblCellMar>
      </w:tblPr>
      <w:tblGrid>
        <w:gridCol w:w="9836"/>
      </w:tblGrid>
      <w:tr>
        <w:tblPrEx>
          <w:tblCellMar>
            <w:top w:w="0" w:type="dxa"/>
            <w:left w:w="108" w:type="dxa"/>
            <w:bottom w:w="0" w:type="dxa"/>
            <w:right w:w="108" w:type="dxa"/>
          </w:tblCellMar>
        </w:tblPrEx>
        <w:trPr>
          <w:trHeight w:val="13532" w:hRule="atLeast"/>
        </w:trPr>
        <w:tc>
          <w:tcPr>
            <w:tcW w:w="9836"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国内外研究现状、发展动态；所阅文献的查阅范围及手段</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2.1 国内外研究现状与发展动态</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2.1.1 视觉语言动作模型与连续动作生成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统一条件策略的发展，首先解决了任务语言怎样与视觉控制共享模型的问题。RT-1将多样化机器人经验与Transformer策略结合，研究数据覆盖及模型容量对跨任务控制的作用[8]；RT-2把动作写成文本token，与视觉语言任务共同微调，将预训练语义知识迁移到动作预测[9]。这些机制构成VLA的技术来源，但语言知识迁移本身尚不包含执行期事实的读写与撤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VLA把预训练视觉语言表征与机器人动作学习连接起来，使策略可以同时读取图像、任务语言和本体状态。π0采用flow matching连续动作生成，为多任务机器人控制提供统一接口[1]；π0.5进一步结合多来源学习和语义知识迁移，探索开放环境中的泛化[2]。这些研究表明，视觉语言知识可以成为机器人动作学习的条件，但可用的语义表征和可靠的物理执行仍需要对应的数据与训练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开源基座进一步降低了上述路线的适配门槛。OpenVLA结合语言主干与DINOv2、SigLIP视觉特征，并研究低秩微调和量化部署[10]；Octo支持语言或目标图像条件，以及新传感输入、动作空间下的微调[11]。二者分别推动预训练VLA复用与模块化策略适配，为本课题沿用已有基座提供依据；但换本体和降低训练成本不等于已经获得流程记忆，也不能替代RM65-B接口的独立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输入输出关系看，语言与视觉token是输入，主干隐藏特征是融合条件，连续控制量是动作输出；子任务文本与动作token则属于不同预测对象。连续专家可以读取主干特征，而不必在部署时先生成离散动作token。明确这些对象有助于比较模型结构与训练信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动作生成则从单步拟合发展为相关动作序列的学习。ACT通过一次预测动作块缩短有效决策时域，以减轻双臂精细操作中的误差累积[12]；Diffusion Policy以视觉条件去噪表示多模态动作分布，并结合滚动时域控制执行[13]。它们提供了动作块组织与多解轨迹表达的基础，但预测更长序列和保存长期任务事实并不等价，示范分布中的多解也不自动意味着受扰后能够选择更优行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连续flow matching通过对示范动作加噪，学习从噪声分布到动作分布的速度场，推理时经多步去噪产生动作块。这能表达多种轨迹，但不自动赋予在线参数适应；采样多样性、动作精度与闭环任务可靠性仍需分别检验。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模态融合仍可能弱化语言中的对象角色与操作约束。MICA-VLA以指令参考稳定熟悉任务的表达，并将视觉上下文化的语义条件路由到动作生成。其前期证据限于特定器皿、措辞与角色条件，尚不覆盖执行历史和一般场景扰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这些路线提供了可扩展的条件策略，但短程动作能力不足以单独支撑历史依赖流程。本课题因而关注现有基座如何利用条件和物理后果，而不以扩大模型为目标。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2.1.2 离散动作监督与知识隔离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Knowledge Insulation研究了视觉语言主干和连续动作专家联合训练时的梯度组织[19]。离散动作编码使主干能够通过token预测接受动作相关监督；连续专家则采用适合高频控制的生成目标。两条训练路径使用相同记录动作构造不同标签，但承担的参数更新职责不同，不能把FAST动作token与子任务文本混为一类输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标签由记录动作块编码而来，主干通过交叉熵接受动作相关监督；连续专家则对加噪动作学习速度场。在知识隔离设置中，前向条件K/V仍可访问，FM梯度在主干接口停止；主干仍由文本或FAST监督更新，因此停止FM梯度不等于冻结VL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FAST用离散余弦变换压缩动作序列，改善逐维逐时刻分箱在高频灵巧控制中的低效问题[20]。它改变的是连续记录动作到监督token的映射，与子任务规划及连续专家部署时的动作输出属于不同接口。</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对共享模型，高层读写、子任务与FAST标签应有各自的loss mask：工具返回正文是上下文，不能当作生成标签；连续专家也不能读取FAST答案，以免产生部署时不可用的信息捷径。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知识隔离明确了监督路径，却不消除全部目标干扰。主干更新仍会改变专家的条件特征，联合训练需要同时评价高层输出与基础技能保持；其结构本身不构成本文拟议的记忆信用贡献。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2.1.3 执行记忆与历史条件策略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部分可观测决策通过观测、行动历史更新隐状态信念并据此决策[14]，为历史条件策略提供依据。压缩语言记录不自动是充分信念，完整历史又有计算开销，因此具身记忆需要在近期运动细节和长期流程事实之间选择表示，并以历史依赖任务评价其充分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采用短期视觉与长期语言记忆的多尺度设计[15]。近期视觉通过时空编码保留执行细节，长期信息通过高层递归语言摘要压缩，并在任务上下文中使用。其记忆并非把所有帧等量保存，而是利用结构设计控制进入主干的token规模，同时让摘要和当前子任务联系起来。这为长程操作中兼顾动作细节和流程进度提供了具体实现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MEM以摘要转换、历史条件动作及失败纠正上下文训练记忆使用，使模型能够学习“尝试不等于完成”等关系。这要求本课题建立强监督记忆基线，不能以SFT天然缺乏记忆能力作为RL的必要性依据。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oryVLA在感知与认知token构成的工作记忆之外建立历史记忆库，由当前表示检索历史并经门控融合，再条件化动作生成[21]。它已覆盖通过历史特征检索改善动作的信息路径，因此增加缓存或读取门控并非充分创新。相比隐式特征融合，本文拟使用可撤销的显式事实，但这种表示是否便于信用诊断、是否真正改善任务后果，仍须通过同信息预算对照证明。</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Value as Memory将近期价值与本体历史编码为动作条件，并结合价值学习及优势条件化flow matching进行后训练[22]。这说明价值不仅可以是训练目标，也能成为反映近期执行过程的输入。不过，固定历史缓存与本课题拟研究的显式检索、写入、纠正和撤销并不相同：前者学习缓存内容及动作利用，后者还需要决定某条事实是否应进入或退出后续决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D-Memo已对记忆文本和驾驶输出设置不同时间范围的信用[23]，因此“给记忆长期奖励、给动作短期奖励”不是充分的新颖性。驾驶数据中的后续画面可以由replay提供，而机械臂决策会改变对象位置、遮挡和接触关系；若研究物理记忆，就需要把这种动作改变未来观测的闭环作用纳入评价。GMP则依据历史能否降低动作误差监督读取门控[24]，表明按需使用历史也不属于RL专有能力。</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这些方法分别研究记忆表示、使用与训练。本文在相同显式接口上比较监督和回报信号，控制历史预算，才能区分新增信息与学习目标的作用。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2.1.4 交互经验与VLA回报条件后训练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Sutton与Barto以策略、价值估计和累计回报构成强化学习框架，强调根据交互后果改进策略，而非只拟合给定动作[4]。它为本文评价记忆的下游作用提供基础，但不保证所选奖励充分，也不保证有限经验下的信用估计可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以物理执行经验为基础，将成功、失败和人工纠正数据转化为可用于VLA续训的监督条件[5]。独立价值模型学习实际回报，多步优势对动作质量进行相对区分，策略在相应质量条件下继续拟合动作。这一路线保留了生成式动作模型的训练接口，也能够利用失败轨迹中的有效片段，不必把整条失败轨迹全部丢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回报条件策略有更一般的序列建模背景。Decision Transformer读取目标回报与过去状态、动作，通过动作预测学习条件策略[25]；AWAC用优势加权的最大似然更新连接离线数据与在线改进[26]，IQL则以expectile价值拟合与优势加权提取降低离线分布外动作估值的风险[27]。这些方法说明，利用回报不必采用同一种策略梯度形式；但经验复用、质量条件与记忆操作的专门信用，仍是不同层次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交互数据也可以通过监督方式利用。DAgger在当前策略访问的状态上请求专家标签，将新增数据聚合后反复训练，以缓解动作改变未来观测所带来的分布偏移[16]。因此，失败状态上的性能不足不能直接证明必须使用RL；本文需要以同信息、同人工成本的在线模仿或纠正监督作为对照，检验物理回报是否带来额外收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RECAP的价值学习采用Monte Carlo回报分箱交叉熵。优势可包含下一状态价值，但不能据此把其价值训练写成TD式Q学习；质量标签进入策略拟合，也不同于critic通过动作梯度直接更新actor。</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RECAP说明交互回报可以经质量条件转为生成策略的似然训练。其动作改善条件位于子任务之后，不能推出更早的子任务与显式读写已被同样优化；本文需另设READ之前的高层条件及对应的阶段后果。</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扩展还需统一高层和动作的持续时间，并处理终局标签混合记忆与运动贡献的问题。因此，多项loss和新增高层token只是联合基线，物理信用的增量仍需实验验证。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一类工作直接利用critic改善连续动作专家。VLA-Precision通过TD回报传播和状态匹配偏好校准价值，以有效纠正、行为克隆和相对优势共同约束策略更新[28]。Q-VGM将干净动作的价值梯度近似为局部去噪速度修正，避免对完整去噪过程反向传播，并以离线IQL、在线TD连接经验学习[29]。前者已研究高精度化学操作，后者强调价值梯度的数据支持边界；二者都要求本文把贡献具体落在记忆评价对象及其可辨识条件，而非泛称价值引导或实验室RL。</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2.1.5 反事实信用、偏好学习与层级非平稳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信用分配试图区分共同产生回报的不同决策作用。COMA使用集中式critic评价联合行动，并在固定其他智能体动作时，为当前智能体构造反事实baseline以分配信用[30]。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物理记忆评价需保留“记忆—后续决策—动作—后果”的作用路径：固定未来动作会切断待研究效应，起点或控制状态不同则会引入混淆。因此，本文拟固定扩展起点和模型参数，允许未来子任务与动作随记忆改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DPO提供相对参考模型的成对偏好优化[31]，可用于读写概率，但不能保证标签可靠。若偏好来自偶然成功的运动，辅助目标也可能强化错误记忆；候选选择、重复续跑及不确定性规则需事先固定。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Hindsight Credit Assignment利用后续结果与过去状态或行动的后验关系重构信用[32]。它为延迟后果归因提供先例，但成功轨迹中出现过某条记忆不证明该记忆有益；本文的候选物理比较仍需独立的可辨识条件与误差分析。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RO由高层提出目标、低层学习达到目标，并以当前低层对旧动作序列的解释重标记高层目标，修正低层变化导致的经验不匹配[33]。连续目标重标记不能直接替代语言事实或偏好的重新评价；本文记录策略版本，并先检测旧排序是否失效，再与同预算新增rollout比较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2D2结合循环网络与分布式优先经验回放，研究参数滞后的表征漂移和循环状态陈旧[34]。即使显式文本不变，其行为意义也可能随策略变化。本文因此区分事实仍真、旧特征可重用和旧物理偏好有效三种问题，不以保存缓存声称解决一般off-policy非平稳性。</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2.1.6 高层闭环、实验室操作与交互平台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高层规划首先需要同时考虑语义与物理可执行性。SayCan将语言模型对候选技能的判断与技能价值提供的可行性结合[17]，Inner Monologue则把成功检测、场景描述等反馈加入语言上下文，以调整后续规划[18]。这两类机制说明任务拆解和反馈记录已有明确先例；本文复用其持续核对物理后果的思想，但不以固定技能库组合替代自身VLM生成子任务，也不把外部自检本身归为RL创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面向化学实验，RoboChemist以VLM和VLA组成双环：高层分解操作、生成视觉目标并监测完成与规程符合性，低层根据目标执行动作[3]。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仿真平台为上述机制提供可重复的经验来源。RoboTwin 2.0把多模态模型生成任务程序与仿真验证结合，并通过结构化域随机化扩展双臂任务的视觉和空间变化，建立统一评测协议[6]。其生成器中的反馈纠正有助于获得示范，却不等于部署后的VLA已经能根据回报自我更新；本课题仍需另行设计执行期扰动、恢复边界和历史依赖任务，不能只用随机初始布局替代这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Linf-VLA以统一接口组织不同VLA、RL算法与仿真器，并对渲染、策略推理和训练进行资源分配[7]。它提供的是可扩展的交互训练与比较基础，而不是某一种记忆学习目标。因而，本课题接通RoboTwin与RLinf后仍需独立验证奖励、终止、动作时钟及更新数据是否一致，框架能够运行不能直接作为算法有效或真机迁移成功的证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2.2 现有研究的不足与本课题定位</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方法已覆盖连续控制、执行记忆、经验后训练与信用工具。本文收束到一个条件性问题：记忆与随机运动共同影响流程结果时，有限物理续跑能否更可靠地评价读写，以及专家更新后该评价是否仍适用。其成立要求任务确有历史混淆、低层可用且比较起点可重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提供动作质量条件化，MEM支持监督记忆，VaM连接价值历史与动作后训练，AD-Memo和GMP约束时间尺度信用及按需读取的新颖性[5,15,19,22–24]。本文先建立同接口联合基线，再检验物理续跑偏好的增量；框架组合、LoRA与DPO均非独立首创主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应用区别看，RoboChemist已经把规划、监测与VLA执行用于长程化学实验[3]。本课题不以机器人首次完成多步骤实验作为贡献，而选择可控制的干式代理流程，测量错误完成记录、重复遗漏和受扰恢复，分析记忆训练与物理后果之间的关系。已有MICA条件控制作为前期研究章，新的联合学习和信用机制作为待开展内容，两者通过条件的行为有效性形成联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ptions将动作扩展为具有内部策略和终止条件的跨时段闭环行为，以半马尔可夫决策描述不同持续时间[35]。它为高低层按实际时长评价后果提供依据，但不强制使用固定技能库，也不自动保证语言记忆充分或联合学习收敛。</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公平比较还需匹配可见历史、更新参数和监督成本。读取完整历史的外部规划器与只读短窗口的VLA并非同信息条件，人工纠正也不能视为免费数据；不能仅据各论文总成功率给本课题基线排序。</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2.3 文献查阅范围与手段</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围绕VLA连续动作生成、知识隔离、具身执行记忆、交互后训练和物理信用开展定向查阅。资料优先采用作者原论文、正式论文集和官方项目，结合本库已有源码核查记录分析输入输出、训练目标和梯度边界；对预印本保留具体版本，不把作者录用声明写成未核到的正式页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述以35条已核来源为基础，覆盖π0、π0.5、RECAP、MEM、VaM等直接方法，以及部分可观测决策、时间抽象、强化学习和在线模仿理论。后续实验中，若只实现某一工作的部分机制，应明确称为机制对照，并保持可见信息和数据预算一致。文献分析用于确定可比较的研究问题，不构成已经完成所有近邻复现或穷尽新颖性证明。</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2.4 参考文献</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BLACK K, BROWN N, DRIESS D, et al. π₀: A Vision-Language-Action Flow Model for General Robot Control[C]//Robotics: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BLACK K, BROWN N, et al. π₀.₅: a Vision-Language-Action Model with Open-World Generalization[EB/OL]. 2025[2026-10-17]. arXiv:2504.16054v1.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Z, YUE C, XU H, et al. RoboChemist: Long-Horizon and Safety-Compliant Robotic Chemical Experimentation[C]//Proceedings of the 9th Conference on Robot Learning. PMLR, 2025, 305:3537–3568.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BARTO A G. Reinforcement Learning: An Introduction[M]. 2nd ed. Cambridge, MA: MIT Press, 2018.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AMIN A, ANICETO R, et al. π*₀.₆: a VLA That Learns From Experience[EB/OL]. 2025[2026-10-17]. arXiv:2511.14759v2.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T, CHEN Z, CHEN B, et al. RoboTwin 2.0: A Scalable Data Generator and Benchmark with Strong Domain Randomization for Robust Bimanual Robotic Manipulation[C]//Proceedings of the 43rd International Conference on Machine Learning. PMLR, 2026, 306:13673–13699.</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ZANG H, WEI M, XU S, et al. RLinf-VLA: A Unified and Efficient Framework for Reinforcement Learning of Vision-Language-Action Models[EB/OL]. 2025[2026-10-17]. arXiv:2510.06710v3（2026-08-12修订）.</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BROHAN A, BROWN N, CARBAJAL J, et al. RT-1: Robotics Transformer for Real-World Control at Scale[C]//Robotics: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ZITKOVICH B, YU T, XU S, et al. RT-2: Vision-Language-Action Models Transfer Web Knowledge to Robotic Control[C]//The 7th Conference on Robot Learning. PMLR, 2023, 229:2165–2183.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KIM M J, PERTSCH K, KARAMCHETI S, et al. OpenVLA: An Open-Source Vision-Language-Action Model[C]//The 8th Conference on Robot Learning. PMLR, 2025, 270:2679–2713.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GHOSH D, WALKE H R, PERTSCH K, et al. Octo: An Open-Source Generalist Robot Policy[C]//Robotics: Science and Systems. 2024.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ZHAO T Z, KUMAR V, LEVINE S, et al. Learning Fine-Grained Bimanual Manipulation with Low-Cost Hardware[C]//Robotics: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CHI C, FENG S, DU Y, et al. Diffusion Policy: Visuomotor Policy Learning via Action Diffusion[C]//Robotics: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KAELBLING L P, LITTMAN M L, CASSANDRA A R. Planning and acting in partially observable stochastic domains[J]. Artificial Intelligence, 1998, 101(1–2):99–134.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TORNE M, PERTSCH K, WALKE H, et al. MEM: Multi-Scale Embodied Memory for Vision Language Action Models[EB/OL]. 2026[2026-10-17]. arXiv:2603.03596v2.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ROSS S, GORDON G, BAGNELL D. A Reduction of Imitation Learning and Structured Prediction to No-Regret Online Learning[C]//Proceedings of the Fourteenth International Conference on Artificial Intelligence and Statistics. PMLR, 2011, 15:627–635.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ICHTER B, BROHAN A, CHEBOTAR Y, et al. Do As I Can, Not As I Say: Grounding Language in Robotic Affordances[C]//The 6th Conference on Robot Learning. PMLR, 2023, 205:287–318.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HUANG W, XIA F, XIAO T, et al. Inner Monologue: Embodied Reasoning through Planning with Language Models[C]//The 6th Conference on Robot Learning. PMLR, 2023, 205:1769–1782.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DRIESS D, SPRINGENBERG J T, ICHTER B, et al. Knowledge Insulating Vision-Language-Action Models: Train Fast, Run Fast, Generalize Better[EB/OL]. 2025[2026-10-17]. arXiv:2505.23705.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PERTSCH K, STACHOWICZ K, ICHTER B, et al. FAST: Efficient Action Tokenization for Vision-Language-Action Models[C]//Robotics: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SHI H, XIE B, LIU Y, et al. MemoryVLA: Perceptual-Cognitive Memory in Vision-Language-Action Models for Robotic Manipulation[C]//ICLR. 2026.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YU W, CHEN Y, XIONG K, et al. Value as Memory: Online Value-Guided Post-training for General Robot Policies[EB/OL]. 2026[2026-10-17]. arXiv:2610.22368v1.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YAN K, CHEN X, CAO Y, et al. Vision-Language-Action Autonomous Driving Agent with Language-based Memory[EB/OL]. 2026[2026-10-17]. arXiv:2609.38641v1.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GAO Y, LIU J J, LI S, SONG S. Gated Memory Policy: In-Context Memorization and Adaptation[EB/OL]. 2026[2026-10-17]. arXiv:2604.18933v2.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L, LU K, RAJESWARAN A, et al. Decision Transformer: Reinforcement Learning via Sequence Modeling[C]//Advances in Neural Information Processing Systems. 2021, 34.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NAIR A, GUPTA A, DALAL M, LEVINE S. AWAC: Accelerating Online Reinforcement Learning with Offline Datasets[EB/OL]. 2020[2026-10-18]. arXiv:2006.09359v6.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KOSTRIKOV I, NAIR A, LEVINE S. Offline Reinforcement Learning with Implicit Q-Learning[C]//ICLR. 2022.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 C, SHEN Z, QIAN Y, et al. VLA-Precision: Asymmetric Co-Bootstrapping for Efficient Real-World Online RL of Vision-Language-Action Models[EB/OL]. 2026[2026-10-18]. arXiv:2609.04355v3.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WANG Z, ZHANG R, LIU Y, et al. Q-VGM: Q-Guided Value-Gradient Matching for Offline-to-Online RL of Flow-Matching VLA Policies[EB/OL]. 2026[2026-10-18]. arXiv:2606.08015v5.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FOERSTER J, FARQUHAR G, AFOURAS T, et al. Counterfactual Multi-Agent Policy Gradients[J]. Proceedings of the AAAI Conference on Artificial Intelligence, 2018, 32(1).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RAFAILOV R, SHARMA A, MITCHELL E, et al. Direct Preference Optimization: Your Language Model is Secretly a Reward Model[C]//Advances in Neural Information Processing Systems. 2023, 36.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HARUTYUNYAN A, DABNEY W, MESNARD T, et al. Hindsight Credit Assignment[C]//Advances in Neural Information Processing Systems. 2019, 32.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NACHUM O, GU S, LEE H, LEVINE S. Data-Efficient Hierarchical Reinforcement Learning[C]//Advances in Neural Information Processing Systems. 2018, 31.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KAPTUROWSKI S, OSTROVSKI G, QUAN J, et al. Recurrent Experience Replay in Distributed Reinforcement Learning[C]//ICLR. 2019.</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PRECUP D, SINGH S. Between MDPs and semi-MDPs: A framework for temporal abstraction in reinforcement learning[J]. Artificial Intelligence, 1999, 112(1–2):181–211.</w:t>
            </w:r>
          </w:p>
        </w:tc>
      </w:tr>
    </w:tbl>
    <w:p>
      <w:pPr>
        <w:rPr>
          <w:rFonts w:hint="eastAsia" w:eastAsia="黑体"/>
          <w:sz w:val="24"/>
        </w:rPr>
      </w:pPr>
    </w:p>
    <w:p>
      <w:pPr>
        <w:pageBreakBefore/>
        <w:rPr>
          <w:rFonts w:hint="eastAsia" w:eastAsia="黑体"/>
          <w:sz w:val="24"/>
        </w:rPr>
      </w:pPr>
      <w:r>
        <w:rPr>
          <w:rFonts w:hint="eastAsia" w:eastAsia="黑体"/>
          <w:sz w:val="24"/>
        </w:rPr>
        <w:t>三、研究内容</w:t>
      </w:r>
    </w:p>
    <w:tbl>
      <w:tblPr>
        <w:tblStyle w:val="3"/>
        <w:tblW w:w="9828" w:type="dxa"/>
        <w:tblInd w:w="0" w:type="dxa"/>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3517"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1．研究构想与思路、主要研究内容及拟解决的关键技术</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3.1.1 研究构想与思路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以“任务条件如何有效控制动作”为总体思路。MICA-VLA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采用π0.5自身VLM完成记忆读取、更新与下一子任务文本生成。模型先看到固定槽位目录，输出READ操作；确定性检索工具返回所选正文；同一VLM再生成WRITE、CORRECT、REVOKE或KEEP操作，并根据更新后的可见信息自回归生成子任务文本。连续动作专家利用该阶段主干的隐藏K/V条件输出动作块，环境执行后产生新的观测和物理结果，如图3.1所示。</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09695"/>
                  <wp:effectExtent l="0" t="0" r="8890" b="14605"/>
                  <wp:docPr id="4" name="proposal_figure_3_1.png" descr="图3.1 自身VLM的显式记忆与子任务文本生成框架 / Figure 3.1 Explicit memory and subtask text generation using the VLA model’s own VLM。自绘拟研究框架；READ、WRITE、子任务文本使用自身VLM，不设置固定子任务库。左侧为RM65-B既有仿真，右侧白色类人机器人画面为AI概念场景，并非真机实验。" title="图3.1 自身VLM的显式记忆与子任务文本生成框架 / Figure 3.1 Explicit memory and subtask text generation using the VLA model’s own V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自身VLM的显式记忆与子任务文本生成框架 / Figure 3.1 Explicit memory and subtask text generation using the VLA model’s own VLM。自绘拟研究框架；READ、WRITE、子任务文本使用自身VLM，不设置固定子任务库。左侧为RM65-B既有仿真，右侧白色类人机器人画面为AI概念场景，并非真机实验。" title="图3.1 自身VLM的显式记忆与子任务文本生成框架 / Figure 3.1 Explicit memory and subtask text generation using the VLA model’s own VLM"/>
                          <pic:cNvPicPr>
                            <a:picLocks noChangeAspect="1"/>
                          </pic:cNvPicPr>
                        </pic:nvPicPr>
                        <pic:blipFill>
                          <a:blip r:embed="rId12"/>
                          <a:stretch>
                            <a:fillRect/>
                          </a:stretch>
                        </pic:blipFill>
                        <pic:spPr>
                          <a:xfrm>
                            <a:off x="0" y="0"/>
                            <a:ext cx="5687568" cy="3910203"/>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图3.1 自身VLM的显式记忆与子任务文本生成框架</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3.1 Explicit memory and subtask text generation using the VLA model’s own VLM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一构想不设置固定子任务候选库或技能ID分类头。首轮实验仅将动作能力限制为已经通过示范和行为验收的2—3类操作，文本仍可生成对象、操作与目标位置的组合。读写使用受限工具语法，是为了控制可比较的信息边界，而不是把自然语言子任务退化为固定类别选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先以监督数据建立合法读写与子任务输出，再以阶段回报条件训练共享VLM和动作专家。在联合基线有效后，才引入少量受控续跑产生的记忆偏好，检验其是否减少运动失败对记忆评价的污染。整体框架是实验基础，拟创新集中在物理信用的构造条件、学习作用及策略变化后的适用性。</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3.1.2 主要研究内容及拟解决的关键技术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一为任务要求驱动的VLA条件控制。整理MICA-VLA的指令锚选择、动作侧语义条件化及LACE和LIBERO-Para实验，明确同义措辞变化时应保持的行为，以及操作对象和避让角色交换时应改变的行为。分析参考选择与动作条件路由的互补作用，形成前期研究章节。PSM属于指令语义锚，不作为本课题episode进度记忆的同义概念。</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二为共享VLM的记忆、子任务与动作联合学习。构建固定目录、有限正文和可撤销事实的显式记忆接口，利用监督暖启动形成合法输出；高层文本和FAST动作token通过条件交叉熵更新共享VLM，连续专家通过知识隔离下的flow matching更新，独立价值模型根据阶段实际回报学习。重点解决高层与动作时间尺度、条件位置、工具正文loss mask及梯度归属等关键问题。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三为物理后果驱动的记忆信用与场景适应。在可重建的高层边界，只改变合法读写操作，固定后续策略版本和信息预算进行成对续跑；比较其对任务可完成性、时间和错误成本的影响，以可信差异构造读写辅助目标。在核心机制成立后，进一步检查动作专家改善是否改变旧偏好排序，以及有限刷新能否以合理成本维持评价有效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创新重点在于把记忆操作的评价落实到可比较的物理后果：通过可恢复边界和受控后续策略，区分“记忆正确但运动失败”与“记忆错误却被偶然补救”，研究怎样据此构造更可靠的读写学习信号。进一步把执行能力变化纳入信用有效期分析，检验何时需要刷新、刷新是否值得。这两项均是待实验验证的机制假设，分别对应信用可靠性和策略变化下的适用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解决的关键技术包括三个方面。首先是事实与信息边界：避免目录泄漏进度、未来真值进入actor，以及“选了子任务就写成完成”的捷径。其次是分路联合训练：区分文本、离散动作、连续动作和价值标签，保证主干能够学习，同时正确限制FM的反向路径。最后是信用可辨识性：区分记忆真实作用、运动随机性和物理恢复误差，并在同数据与同成本条件下评价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预期形成的成果包括前期条件控制方法及实验整理、共享VLM联合学习实现、干式多步骤评测协议，以及至少一项有充分对照的记忆信用结论。若强监督或普通联合RECAP已经以相同预算获得相同效果，应据结果收缩方法主张，而不是以增加模块维持预设的RL优势。</w:t>
            </w:r>
          </w:p>
        </w:tc>
      </w:tr>
      <w:tr>
        <w:tblPrEx>
          <w:tblCellMar>
            <w:top w:w="0" w:type="dxa"/>
            <w:left w:w="108" w:type="dxa"/>
            <w:bottom w:w="0" w:type="dxa"/>
            <w:right w:w="108" w:type="dxa"/>
          </w:tblCellMar>
        </w:tblPrEx>
        <w:trPr>
          <w:trHeight w:val="13824"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2．拟采取的研究方法、技术路线、实施方案及可行性分析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3.2.1 拟采用的研究方法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拟采用理论建模、基线实现和受控物理实验相结合的方法。首先将多步骤操作建模为具有显式内部记忆的部分可观测决策过程，借鉴时间抽象处理高层调用跨越多个控制步的特点[14,35]。理论部分用于明确输入、状态、训练目标与估计条件，不预先赋予压缩语言记忆严格Markov性或一般收敛性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其次，采用渐进基线分离不同机制。依次比较当前帧或短窗口策略、规则记忆、同架构监督记忆、联合RECAP以及信用辅助，控制模型容量、可见信息、技能和交互预算。对于配对信用，使用相同分支数据有无辅助目标的对照，避免把多采轨迹的收益归因于新los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3.2.2 技术路线</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技术路线分为四个相互衔接的阶段，以基础能力和比较证据作为进入下一阶段的条件，如图3.2所示。</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881755"/>
                  <wp:effectExtent l="0" t="0" r="8890" b="4445"/>
                  <wp:docPr id="5" name="proposal_figure_3_2.png" descr="图3.2 分阶段实验验证路线与收缩条件 / Figure 3.2 Staged experimental validation and criteria for narrowing the research scope。自绘研究计划，含未通过关键验收时的收缩条件。" title="图3.2 分阶段实验验证路线与收缩条件 / Figure 3.2 Staged experimental validation and criteria for narrowing the research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分阶段实验验证路线与收缩条件 / Figure 3.2 Staged experimental validation and criteria for narrowing the research scope。自绘研究计划，含未通过关键验收时的收缩条件。" title="图3.2 分阶段实验验证路线与收缩条件 / Figure 3.2 Staged experimental validation and criteria for narrowing the research scope"/>
                          <pic:cNvPicPr>
                            <a:picLocks noChangeAspect="1"/>
                          </pic:cNvPicPr>
                        </pic:nvPicPr>
                        <pic:blipFill>
                          <a:blip r:embed="rId13"/>
                          <a:stretch>
                            <a:fillRect/>
                          </a:stretch>
                        </pic:blipFill>
                        <pic:spPr>
                          <a:xfrm>
                            <a:off x="0" y="0"/>
                            <a:ext cx="5687568" cy="3881765"/>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图3.2 分阶段实验验证路线与收缩条件</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3.2 Staged experimental validation and criteria for narrowing the research scope</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阶段为本体与高层接口准备。复用现有RM65-B三路RGB、24维臂手动作和π0.5检查点，补齐取送与归位释放等流程技能；构造读写与子任务监督，验收合法文本、因果mask及FAST/KI训练路径。该阶段交付可重复的动作技能和高层SFT基线，避免在低层不可用时用高层回报掩盖执行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阶段为联合学习与记忆需求验证。构造当前观测近似相同、下一正确操作不同的历史条件，排除位置、时间和目录长度等捷径；实现独立价值与阶段质量标签，运行联合RECAP和监督、规则对照。只有证明任务确有历史依赖、联合训练能够工作，才进入信用研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阶段为物理续跑与记忆信用方法。验证公共起点重建及同操作重复续跑噪声，比较合法读写候选的下游效用；对可信偏好使用辅助训练，并与同分支数据、等成本普通rollout比较。若恢复误差主导差值，则先改进协议，不能据此生成主要信用标签。</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阶段为策略变化分析、综合评测与真机验证。在执行能力实际改善后测量旧偏好排序，比较固定与有限刷新；分析基础技能保持、整程可靠性及总资源成本。完成限定器皿流程的真机接口和迁移验证，整理失败案例与可复现材料，形成学位论文和答辩证据。</w:t>
            </w:r>
          </w:p>
          <w:p>
            <w:pPr>
              <w:keepNext/>
              <w:keepLines/>
              <w:pageBreakBefore/>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3.2.3 实施方案</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3.2.3.1 最小流程、数据与场景变化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小场景设置两个可区分空样品瓶A、B，一个核验区和两个归位区域。任务要求按给定顺序完成取送、停留核验和归位。核验与归位由环境事件协议判定，模型的“完成”文本不触发成功；真实进度计数仅用于奖励与评估，不输入actor。初版不模拟反应或液体动力学，而以该代理流程保留历史依赖与物理交接要求。</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任务设计先验证可观测信息是否足以区分即时动作，再有意构造必须依赖历史的边界。例如，A核验后归位与A尚未核验时可呈现相近画面，但下一目标应不同；若当前位置或任务计时已能泄漏答案，就不能据此证明记忆有效。扰动还应保留可恢复性，避免把物体推出工作空间或制造现有技能无法处理的状态，使任务失败能够用于分析条件利用，而非仅反映能力不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50条仿真示范主要支持抓起持稳，后续需补齐取送、归位释放与失败状态下重抓。每类技能先进行少量示范和独立回测，再在轨迹边界标注READ、WRITE和下一子任务。标签依据当时可见证据形成，保留未知状态，不用未来结果冒充当时已确定事实。全部数据记录原始图像、本体状态、高层输出、实际执行前缀、奖励和参数版本。</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3.2.3.2 显式记忆与共享VLM策略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记忆采用固定槽位目录，例如样品进度、当前持物、最近失败和待核实事实。READ只输出预算内槽位ID或NONE，工具返回对应正文；目录不因是否完成而增删槽位，避免泄漏进度。WRITE增加有证据的事实，CORRECT修正已有记录，REVOKE将失效事实标为未知，KEEP维持记录。每个episode结束清空记忆，不混入其他任务信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高层依次生成读集合R</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、写操作W</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和子任务文本ℓ</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，记为U</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。同一VLM的联合策略可按生成顺序分解为式（1）。不同阶段的条件依次加入检索结果和本轮更新后的可见记忆，不表示READ提前访问完整正文。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933065" cy="401320"/>
                  <wp:effectExtent l="0" t="0" r="635" b="17780"/>
                  <wp:docPr id="6" name="proposal_equation_1.png" descr="\begin{aligned}&#10;p_\theta(U_k\mid\cdot)&#10;&amp;=p_\theta(R_k\mid\cdot)\\&#10;&amp;\quad\times p_\theta(W_k\mid R_k,\cdot)\,&#10;p_\theta(\ell_k\mid R_k,W_k,\cdot)&#10;\end{aligned}\tag{1}" title="公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oposal_equation_1.png" descr="\begin{aligned}&#10;p_\theta(U_k\mid\cdot)&#10;&amp;=p_\theta(R_k\mid\cdot)\\&#10;&amp;\quad\times p_\theta(W_k\mid R_k,\cdot)\,&#10;p_\theta(\ell_k\mid R_k,W_k,\cdot)&#10;\end{aligned}\tag{1}" title="公式（1）"/>
                          <pic:cNvPicPr>
                            <a:picLocks noChangeAspect="1"/>
                          </pic:cNvPicPr>
                        </pic:nvPicPr>
                        <pic:blipFill>
                          <a:blip r:embed="rId14"/>
                          <a:stretch>
                            <a:fillRect/>
                          </a:stretch>
                        </pic:blipFill>
                        <pic:spPr>
                          <a:xfrm>
                            <a:off x="0" y="0"/>
                            <a:ext cx="2933446" cy="401320"/>
                          </a:xfrm>
                          <a:prstGeom prst="rect">
                            <a:avLst/>
                          </a:prstGeom>
                        </pic:spPr>
                      </pic:pic>
                    </a:graphicData>
                  </a:graphic>
                </wp:inline>
              </w:drawing>
            </w:r>
            <w:r>
              <w:rPr>
                <w:rFonts w:ascii="Times New Roman" w:hAnsi="Times New Roman" w:eastAsia="宋体" w:cs="Times New Roman"/>
                <w:sz w:val="24"/>
              </w:rPr>
              <w:t xml:space="preserve">  （1）</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子任务以自然语言自回归生成，可表达操作、对象和目标位置；连续专家使用生成子任务后的隐藏K/V作为条件，不读取完整未选记忆，也不读取FAST标签。固定目录和工具语法用于约束信息通道；首轮动作能力限制与文本生成范围分别验收，不以固定候选文本表代替高层生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3.2.3.3 阶段回报条件与知识隔离联合训练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奖励由整程完成收益、实际执行时间和操作错误成本组成，必要时为各方法设置一致的读写预算成本。高层评价从本次读写和子任务输出到下一决策边界的后果，动作层评价实际执行窗口。记高层持续控制步数为Δ</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，扩展状态为b̄</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，采用统一物理时钟计算高层优势候选，如式（2）所示；动作层使用相同形式并替换为其窗口长度。</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829560" cy="524510"/>
                  <wp:effectExtent l="0" t="0" r="0" b="8255"/>
                  <wp:docPr id="7" name="proposal_equation_2.png" descr="\hat A_k^{\mathrm H}&#10;=\sum_{j=0}^{\Delta_k-1}\gamma^j r_{t_k+j}&#10;+\gamma^{\Delta_k}V_{\mathrm H}(\bar b_{k+1})&#10;-V_{\mathrm H}(\bar b_k)\tag{2}" title="公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posal_equation_2.png" descr="\hat A_k^{\mathrm H}&#10;=\sum_{j=0}^{\Delta_k-1}\gamma^j r_{t_k+j}&#10;+\gamma^{\Delta_k}V_{\mathrm H}(\bar b_{k+1})&#10;-V_{\mathrm H}(\bar b_k)\tag{2}" title="公式（2）"/>
                          <pic:cNvPicPr>
                            <a:picLocks noChangeAspect="1"/>
                          </pic:cNvPicPr>
                        </pic:nvPicPr>
                        <pic:blipFill>
                          <a:blip r:embed="rId15"/>
                          <a:stretch>
                            <a:fillRect/>
                          </a:stretch>
                        </pic:blipFill>
                        <pic:spPr>
                          <a:xfrm>
                            <a:off x="0" y="0"/>
                            <a:ext cx="2830179" cy="524916"/>
                          </a:xfrm>
                          <a:prstGeom prst="rect">
                            <a:avLst/>
                          </a:prstGeom>
                        </pic:spPr>
                      </pic:pic>
                    </a:graphicData>
                  </a:graphic>
                </wp:inline>
              </w:drawing>
            </w:r>
            <w:r>
              <w:rPr>
                <w:rFonts w:ascii="Times New Roman" w:hAnsi="Times New Roman" w:eastAsia="宋体" w:cs="Times New Roman"/>
                <w:sz w:val="24"/>
              </w:rPr>
              <w:t xml:space="preserve">  （2）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依据优势与预先设定阈值形成阶段质量标签。高层正优势条件位于READ之前，动作条件位于子任务之后，使对应输出能够学习质量差别。独立价值模型拟使用一个编码主干和高层、动作阶段两个head，各自以实际Monte Carlo回报分箱进行交叉熵训练。终止状态不bootstrap，时间截断单独处理；混合经验估计的价值不自动等于当前策略的精确价值。</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联合策略目标保留高层条件交叉熵、FAST动作交叉熵、连续flow matching和示范监督锚定，形式见式（3）。各权重控制对应监督的相对作用，具体选择通过先导训练确定，并对比较方法保持一致。</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3719195" cy="181610"/>
                  <wp:effectExtent l="0" t="0" r="14605" b="8255"/>
                  <wp:docPr id="8" name="proposal_equation_3.png" descr="L_{\mathrm{base}}&#10;=\lambda_{\mathrm H}L_{\mathrm H}&#10;+\lambda_{\mathrm F}L_{\mathrm{FAST}}&#10;+\lambda_{\mathrm A}L_{\mathrm{FM}}&#10;+\lambda_{\mathrm S}L_{\mathrm{anchor}}&#10;+\lambda_{\mathrm V}L_{\mathrm V}&#10;\tag{3}" title="公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posal_equation_3.png" descr="L_{\mathrm{base}}&#10;=\lambda_{\mathrm H}L_{\mathrm H}&#10;+\lambda_{\mathrm F}L_{\mathrm{FAST}}&#10;+\lambda_{\mathrm A}L_{\mathrm{FM}}&#10;+\lambda_{\mathrm S}L_{\mathrm{anchor}}&#10;+\lambda_{\mathrm V}L_{\mathrm V}&#10;\tag{3}" title="公式（3）"/>
                          <pic:cNvPicPr>
                            <a:picLocks noChangeAspect="1"/>
                          </pic:cNvPicPr>
                        </pic:nvPicPr>
                        <pic:blipFill>
                          <a:blip r:embed="rId16"/>
                          <a:stretch>
                            <a:fillRect/>
                          </a:stretch>
                        </pic:blipFill>
                        <pic:spPr>
                          <a:xfrm>
                            <a:off x="0" y="0"/>
                            <a:ext cx="3719616" cy="182199"/>
                          </a:xfrm>
                          <a:prstGeom prst="rect">
                            <a:avLst/>
                          </a:prstGeom>
                        </pic:spPr>
                      </pic:pic>
                    </a:graphicData>
                  </a:graphic>
                </wp:inline>
              </w:drawing>
            </w:r>
            <w:r>
              <w:rPr>
                <w:rFonts w:ascii="Times New Roman" w:hAnsi="Times New Roman" w:eastAsia="宋体" w:cs="Times New Roman"/>
                <w:sz w:val="24"/>
              </w:rPr>
              <w:t xml:space="preserve">  （3）</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高层READ、WRITE和子任务token的条件CE更新共享VLM参数θ，工具正文只作上下文，不计生成CE。FAST标签来自记录动作的离散编码，同样通过CE更新θ，仅在训练中使用。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连续专家对记录动作加噪并预测速度场，通过FM更新参数φ；前向读取主干K/V，反向在该接口停止FM梯度。价值分箱CE仅更新独立参数ψ，优势以标签形式进入策略训练，而不由critic反传actor。训练分工见图3.3。</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4265295"/>
                  <wp:effectExtent l="0" t="0" r="8890" b="1905"/>
                  <wp:docPr id="9" name="proposal_figure_3_3.png" descr="图3.3 生成式高层与动作专家的训练目标及梯度流向 / Figure 3.3 Training objectives and gradient routing for high level generation and the action expert。自绘训练与梯度路径说明，拟方案，不代表已完成训练；机器人画面来自RM65-B既有仿真。" title="图3.3 生成式高层与动作专家的训练目标及梯度流向 / Figure 3.3 Training objectives and gradient routing for high level generation and the action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生成式高层与动作专家的训练目标及梯度流向 / Figure 3.3 Training objectives and gradient routing for high level generation and the action expert。自绘训练与梯度路径说明，拟方案，不代表已完成训练；机器人画面来自RM65-B既有仿真。" title="图3.3 生成式高层与动作专家的训练目标及梯度流向 / Figure 3.3 Training objectives and gradient routing for high level generation and the action expert"/>
                          <pic:cNvPicPr>
                            <a:picLocks noChangeAspect="1"/>
                          </pic:cNvPicPr>
                        </pic:nvPicPr>
                        <pic:blipFill>
                          <a:blip r:embed="rId17"/>
                          <a:stretch>
                            <a:fillRect/>
                          </a:stretch>
                        </pic:blipFill>
                        <pic:spPr>
                          <a:xfrm>
                            <a:off x="0" y="0"/>
                            <a:ext cx="5687568" cy="42656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图3.3 生成式高层与动作专家的训练目标及梯度流向</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3.3 Training objectives and gradient routing for high level generation and the action expert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训练先以示范暖启动读写和子任务生成，再引入阶段回报条件并保留同类示范监督。文本生成使用因果teacher forcing，推理时自身VLM逐token输出；离散采样、检索和确定性记忆更新不承担路径梯度。知识隔离不等于冻结主干，主干更新也可能改变动作条件，因此同时检查基础技能保持和高层行为。全参更新或LoRA根据实际显存与吞吐选择，不作为独立创新点。</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训练的验收分为输出、损失与行为三层。首先检查读写语法、引用槽位和子任务内容是否符合当前信息；其次用少量样本核对各loss是否只作用于相应生成片段及参数；最后固定测试任务，观察增加记忆或更新主干后基础技能是否保持。只有损失下降而行为恶化时，应先检查条件分布与监督冲突，不能把成功率下降简单解释为需要更多RL交互。</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3.2.3.4 物理后果记忆信用与有限刷新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在通过恢复验收的少量高层边界，比较合法读写操作u和参考操作u</w:t>
            </w:r>
            <w:r>
              <w:rPr>
                <w:rFonts w:ascii="Times New Roman" w:hAnsi="Times New Roman" w:eastAsia="宋体" w:cs="Times New Roman"/>
                <w:b w:val="0"/>
                <w:bCs w:val="0"/>
                <w:sz w:val="24"/>
                <w:vertAlign w:val="subscript"/>
              </w:rPr>
              <w:t>0</w:t>
            </w:r>
            <w:r>
              <w:rPr>
                <w:rFonts w:ascii="Times New Roman" w:hAnsi="Times New Roman" w:eastAsia="宋体" w:cs="Times New Roman"/>
                <w:b w:val="0"/>
                <w:bCs w:val="0"/>
                <w:sz w:val="24"/>
              </w:rPr>
              <w:t>，固定扩展起点x、后续策略参数κ</w:t>
            </w:r>
            <w:r>
              <w:rPr>
                <w:rFonts w:ascii="Times New Roman" w:hAnsi="Times New Roman" w:eastAsia="宋体" w:cs="Times New Roman"/>
                <w:b w:val="0"/>
                <w:bCs w:val="0"/>
                <w:sz w:val="24"/>
                <w:vertAlign w:val="subscript"/>
              </w:rPr>
              <w:t>r</w:t>
            </w:r>
            <w:r>
              <w:rPr>
                <w:rFonts w:ascii="Times New Roman" w:hAnsi="Times New Roman" w:eastAsia="宋体" w:cs="Times New Roman"/>
                <w:b w:val="0"/>
                <w:bCs w:val="0"/>
                <w:sz w:val="24"/>
              </w:rPr>
              <w:t>及信息预算，估计相对下游效用差，见式（4）。扩展起点包括物理、控制器、历史、记忆、随机状态和未执行动作缓存；固定策略参数而不固定未来决策，使记忆仍可通过后续动作改变结果。</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386965" cy="440055"/>
                  <wp:effectExtent l="0" t="0" r="13335" b="17145"/>
                  <wp:docPr id="10" name="proposal_equation_4.png" descr="\begin{aligned}&#10;\Delta^{\mathrm M}_{\kappa_r}(x;u,u_0)&#10;&amp;=\mathbb E\!\left[G\mid x,\operatorname{do}(u),\kappa_r\right]\\&#10;&amp;\quad-\mathbb E\!\left[G\mid x,\operatorname{do}(u_0),\kappa_r\right]&#10;\end{aligned}\tag{4}" title="公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posal_equation_4.png" descr="\begin{aligned}&#10;\Delta^{\mathrm M}_{\kappa_r}(x;u,u_0)&#10;&amp;=\mathbb E\!\left[G\mid x,\operatorname{do}(u),\kappa_r\right]\\&#10;&amp;\quad-\mathbb E\!\left[G\mid x,\operatorname{do}(u_0),\kappa_r\right]&#10;\end{aligned}\tag{4}" title="公式（4）"/>
                          <pic:cNvPicPr>
                            <a:picLocks noChangeAspect="1"/>
                          </pic:cNvPicPr>
                        </pic:nvPicPr>
                        <pic:blipFill>
                          <a:blip r:embed="rId18"/>
                          <a:stretch>
                            <a:fillRect/>
                          </a:stretch>
                        </pic:blipFill>
                        <pic:spPr>
                          <a:xfrm>
                            <a:off x="0" y="0"/>
                            <a:ext cx="2387000" cy="440105"/>
                          </a:xfrm>
                          <a:prstGeom prst="rect">
                            <a:avLst/>
                          </a:prstGeom>
                        </pic:spPr>
                      </pic:pic>
                    </a:graphicData>
                  </a:graphic>
                </wp:inline>
              </w:drawing>
            </w:r>
            <w:r>
              <w:rPr>
                <w:rFonts w:ascii="Times New Roman" w:hAnsi="Times New Roman" w:eastAsia="宋体" w:cs="Times New Roman"/>
                <w:sz w:val="24"/>
              </w:rPr>
              <w:t xml:space="preserve">  （4）</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比较前先重复相同操作，测量恢复误差和运动随机性；同seed重置或当前图像相似均不能替代物理可比性。候选对、续跑次数、随机条件及可信度规则在主实验前固定，优劣不清楚时不生成硬偏好。相对效用依赖所选参考操作和后续策略，不自动是无偏优势或单调改进保证。图3.4说明候选续跑及信用构造。</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09695"/>
                  <wp:effectExtent l="0" t="0" r="8890" b="14605"/>
                  <wp:docPr id="11" name="proposal_figure_3_4.png" descr="图3.4 基于物理续跑的记忆信用估计 / Figure 3.4 Memory credit estimation through physical continuation rollouts。自绘物理信用估计方案，非已运行或测得的轨迹；干式场景画面是AI概念示意，不代表真机实验。" title="图3.4 基于物理续跑的记忆信用估计 / Figure 3.4 Memory credit estimation through physical continuation rollo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posal_figure_3_4.png" descr="图3.4 基于物理续跑的记忆信用估计 / Figure 3.4 Memory credit estimation through physical continuation rollouts。自绘物理信用估计方案，非已运行或测得的轨迹；干式场景画面是AI概念示意，不代表真机实验。" title="图3.4 基于物理续跑的记忆信用估计 / Figure 3.4 Memory credit estimation through physical continuation rollouts"/>
                          <pic:cNvPicPr>
                            <a:picLocks noChangeAspect="1"/>
                          </pic:cNvPicPr>
                        </pic:nvPicPr>
                        <pic:blipFill>
                          <a:blip r:embed="rId19"/>
                          <a:stretch>
                            <a:fillRect/>
                          </a:stretch>
                        </pic:blipFill>
                        <pic:spPr>
                          <a:xfrm>
                            <a:off x="0" y="0"/>
                            <a:ext cx="5687568" cy="3910203"/>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图3.4 基于物理续跑的记忆信用估计</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3.4 Memory credit estimation through physical continuation rollouts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对可信的读写偏好对，拟采用式（5）的标准DPO式辅助目标。d</w:t>
            </w:r>
            <w:r>
              <w:rPr>
                <w:rFonts w:ascii="Times New Roman" w:hAnsi="Times New Roman" w:eastAsia="宋体" w:cs="Times New Roman"/>
                <w:b w:val="0"/>
                <w:bCs w:val="0"/>
                <w:sz w:val="24"/>
                <w:vertAlign w:val="subscript"/>
              </w:rPr>
              <w:t>θ</w:t>
            </w:r>
            <w:r>
              <w:rPr>
                <w:rFonts w:ascii="Times New Roman" w:hAnsi="Times New Roman" w:eastAsia="宋体" w:cs="Times New Roman"/>
                <w:b w:val="0"/>
                <w:bCs w:val="0"/>
                <w:sz w:val="24"/>
              </w:rPr>
              <w:t>(u)表示当前读写策略相对参考模型的对数概率比，只统计READ和WRITE生成概率；检索返回正文不计入。参考模型与参考物理操作u</w:t>
            </w:r>
            <w:r>
              <w:rPr>
                <w:rFonts w:ascii="Times New Roman" w:hAnsi="Times New Roman" w:eastAsia="宋体" w:cs="Times New Roman"/>
                <w:b w:val="0"/>
                <w:bCs w:val="0"/>
                <w:sz w:val="24"/>
                <w:vertAlign w:val="subscript"/>
              </w:rPr>
              <w:t>0</w:t>
            </w:r>
            <w:r>
              <w:rPr>
                <w:rFonts w:ascii="Times New Roman" w:hAnsi="Times New Roman" w:eastAsia="宋体" w:cs="Times New Roman"/>
                <w:b w:val="0"/>
                <w:bCs w:val="0"/>
                <w:sz w:val="24"/>
              </w:rPr>
              <w:t>是不同对象。辅助目标不直接监督子任务token，但共享参数更新仍可能间接影响子任务与动作条件。</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570480" cy="233045"/>
                  <wp:effectExtent l="0" t="0" r="0" b="15240"/>
                  <wp:docPr id="14" name="proposal_equation_5.png" descr="L_{\mathrm{pair}}=-w\log\sigma\!\left(\beta\left[d_\theta(u^{+})-d_\theta(u^{-})\right]\right)\tag{5}" title="公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posal_equation_5.png" descr="L_{\mathrm{pair}}=-w\log\sigma\!\left(\beta\left[d_\theta(u^{+})-d_\theta(u^{-})\right]\right)\tag{5}" title="公式（5）"/>
                          <pic:cNvPicPr>
                            <a:picLocks noChangeAspect="1"/>
                          </pic:cNvPicPr>
                        </pic:nvPicPr>
                        <pic:blipFill>
                          <a:blip r:embed="rId20"/>
                          <a:stretch>
                            <a:fillRect/>
                          </a:stretch>
                        </pic:blipFill>
                        <pic:spPr>
                          <a:xfrm>
                            <a:off x="0" y="0"/>
                            <a:ext cx="2570688" cy="233527"/>
                          </a:xfrm>
                          <a:prstGeom prst="rect">
                            <a:avLst/>
                          </a:prstGeom>
                        </pic:spPr>
                      </pic:pic>
                    </a:graphicData>
                  </a:graphic>
                </wp:inline>
              </w:drawing>
            </w:r>
            <w:r>
              <w:rPr>
                <w:rFonts w:ascii="Times New Roman" w:hAnsi="Times New Roman" w:eastAsia="宋体" w:cs="Times New Roman"/>
                <w:sz w:val="24"/>
              </w:rPr>
              <w:t xml:space="preserve">  （5）</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专家更新后，先测量相同候选的效用排序是否变化，再决定是否对少量高影响或高不确定样本刷新评价。比较固定旧偏好、有限刷新和相同预算普通新增rollout，将两侧续跑、公共前缀重放和刷新全部计入成本。若排序稳定则无需刷新；若普通采样更有效，应如实报告，不主张额外的交互效率优势。</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3.2.3.5 比较方法、指标与结果分析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主要对照为无长期记忆的动作RECAP、同通道监督读写与子任务、规则记忆、联合RECAP、相同分支数据但无偏好目标，以及同数据加入信用辅助。强监督和规则比较用于判断RL的必要性，后两者分离新增轨迹与信用目标的作用；等成本普通rollout用于评价额外续跑是否值得。</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指标包括整程成功率、可恢复扰动后的恢复率、错误完成记录率、重复与遗漏率，并报告基础技能成功率、执行时间、读写token和总物理步数。测试采用固定独立初态和多个训练种子，正式规模依据先导吞吐及置信区间需求预先登记。若任务存在可见进度捷径、低层尚不可用或恢复误差主导比较，应先修正任务和协议；若简单方法已经充分解决问题，则收缩信用机制主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结果分析按失败发生的位置组织：记录错误导致了错误选物，正确目标下出现了运动失败，或动作成功但完成判断未更新。对每类保留当时可见观测、记忆版本、生成文本和实际动作，以检验性能变化是否符合拟议机制。若辅助目标提高平均成功率却增加错误记录，应继续检查其是否利用偶然补救；若只在少数扰动有效，则将结论限定在对应条件，不扩展为普遍的自主进化能力。</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成本统计同时记录额外人工标注、教师或验收器调用及训练计算，避免只限制正常rollout步数，却将分支重放和教师监督作为免费资源。对照结果既回答成功率是否提高，也回答在可比总投入下，物理信用是否比继续收集示范或普通执行经验更有效。</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3.2.4 可行性分析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可行性方面，已有MICA器皿条件控制研究、RM65-B仿真接口、π0.5本体SFT与RoboTwin/RLinf计算链路，可以支撑后续分阶段实现。现有记录主要证明组件与计算过程，尚不能推出多步骤记忆学习已成功。高层自主文本、阶段价值拟合及可靠分支恢复需分别验收；先监督暖启动再运行联合基线，可降低同时调试全部模块的风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资源可行性方面，研究复用已登记GPU、RM65-B双臂灵巧手及图像采集条件。仿真保持24维臂手接口与既有控制时钟，真实相机安装、TCP和手部映射另行标定。并行环境数、更新范围和训练步数以实际显存、步速和排程决定，不预填未经测量的吞吐承诺。初始任务限制在少量空器皿技能，可将主要工作量集中到学习和比较本身。</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理论与实验可行性方面，部分可观测决策、时间抽象、回报条件策略与偏好学习提供现有基础[4–5,14,19,30–31,35]，本课题据此提出可检验的机制假设。相同信息、同数据和同成本的比较，以及对恢复误差和策略变化的独立诊断，有助于识别正面和负面结果。创新性仍需后续实验和近邻复核，而不是由框架组合预先保证。</w:t>
            </w:r>
          </w:p>
        </w:tc>
      </w:tr>
    </w:tbl>
    <w:p>
      <w:pPr>
        <w:keepNext/>
        <w:pageBreakBefore/>
        <w:rPr>
          <w:rFonts w:hint="eastAsia" w:eastAsia="黑体"/>
          <w:sz w:val="24"/>
        </w:rPr>
      </w:pPr>
      <w:r>
        <w:rPr>
          <w:rFonts w:hint="eastAsia" w:eastAsia="黑体"/>
          <w:sz w:val="24"/>
        </w:rPr>
        <w:t>四、研究基础</w:t>
      </w:r>
    </w:p>
    <w:tbl>
      <w:tblPr>
        <w:tblStyle w:val="3"/>
        <w:tblW w:w="9828" w:type="dxa"/>
        <w:jc w:val="center"/>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2800" w:hRule="atLeast"/>
          <w:jc w:val="center"/>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1．所需实验手段、研究条件和实验条件</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前期MICA-VLA匿名投稿稿件已形成指令锚检索与动作语义路由方法，在单SO-100平台17个LACE器皿任务上报告未见措辞平均成功率由42.1%提升至76.7%，并提供角色互换及LIBERO-Para实验。该结果属于稿件报告，不能作为RM65-B、执行历史或完整化学流程的验证。作者个人贡献和正式投稿状态按原始材料补充。</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RM65-B平台为双臂、每臂六轴，配双灵巧手。当前仿真数据与策略接口采用三路RGB和24维臂手映射，已有50条抓起持稳示范及π0.5全参SFT检查点，并接通RoboTwin与RLinf。</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已有零奖励PPO计算闭环和ACoB机制记录只证明相应计算与数据链路，不代表自主成功率提升；新的多步骤数据、高层生成和物理信用实验仍需开展。真实腕相机安装、标定及设备状态以资源卡和现场验收为准。</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计算资源优先使用已登记服务器GPU与本机RTX5090，实际可分配数量及训练预算在先导阶段核对。研究拟保存模型来源、数据清单、任务配置、奖励口径、参数版本和失败轨迹，采用独立测试初态与可复现脚本开展评测；详细代码版本和控制接口记录保留在配套研究笔记中。</w:t>
            </w:r>
          </w:p>
          <w:p>
            <w:pPr>
              <w:rPr>
                <w:rFonts w:hint="eastAsia" w:eastAsia="黑体"/>
                <w:sz w:val="24"/>
              </w:rPr>
            </w:pPr>
            <w:r>
              <w:rPr>
                <w:rFonts w:hint="eastAsia" w:eastAsia="黑体"/>
                <w:sz w:val="24"/>
              </w:rPr>
              <w:t>2．所需经费，包含经费来源、开支预算（工程设备、材料须填写名称、规格、数量）</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本课题预计经费共计10500元，拟从导师指导下的课题组科研项目经费中列支，具体来源与额度按审批落实。实验优先复用已配备的RM65-B双臂灵巧手、相机、GPU服务器及存储，不重复列支整机购置或常规训练设备费用。</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论文发表及会议注册预计6000元，用于研究成果投稿、发表与必要的学术注册；会议差旅预计2000元，按1次国内学术交流安排；研究耗材预计2000元，包括50mL和100mL空样品瓶各10个及标签、托盘和核验归位标识1套，预计800元，3D打印夹具、标定辅助件和相机支架1批，预计700元，USB3.0数据线3条及固定、清洁耗材1批，预计500元；文献复印与论文打印装订预计500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上述金额为开题阶段的预测预算，按干式样品流程及既有设备复用条件估算；实际支出在批准额度内随研究进展调整，耗材规格根据器皿尺寸和现场接口确定。</w:t>
            </w:r>
          </w:p>
        </w:tc>
      </w:tr>
    </w:tbl>
    <w:p>
      <w:pPr>
        <w:keepNext/>
        <w:pageBreakBefore/>
        <w:rPr>
          <w:rFonts w:hint="eastAsia" w:eastAsia="黑体"/>
          <w:sz w:val="24"/>
        </w:rPr>
      </w:pPr>
      <w:r>
        <w:rPr>
          <w:rFonts w:hint="eastAsia" w:eastAsia="黑体"/>
          <w:sz w:val="24"/>
        </w:rPr>
        <w:t>五、工作计划</w:t>
      </w:r>
    </w:p>
    <w:tbl>
      <w:tblPr>
        <w:tblStyle w:val="3"/>
        <w:tblW w:w="9845" w:type="dxa"/>
        <w:jc w:val="center"/>
        <w:tblLayout w:type="fixed"/>
        <w:tblCellMar>
          <w:top w:w="0" w:type="dxa"/>
          <w:left w:w="108" w:type="dxa"/>
          <w:bottom w:w="0" w:type="dxa"/>
          <w:right w:w="108" w:type="dxa"/>
        </w:tblCellMar>
      </w:tblPr>
      <w:tblGrid>
        <w:gridCol w:w="748"/>
        <w:gridCol w:w="3743"/>
        <w:gridCol w:w="849"/>
        <w:gridCol w:w="1231"/>
        <w:gridCol w:w="1304"/>
        <w:gridCol w:w="1970"/>
      </w:tblGrid>
      <w:tr>
        <w:tblPrEx>
          <w:tblCellMar>
            <w:top w:w="0" w:type="dxa"/>
            <w:left w:w="108" w:type="dxa"/>
            <w:bottom w:w="0" w:type="dxa"/>
            <w:right w:w="108" w:type="dxa"/>
          </w:tblCellMar>
        </w:tblPrEx>
        <w:trPr>
          <w:trHeight w:val="641" w:hRule="atLeast"/>
          <w:jc w:val="center"/>
        </w:trPr>
        <w:tc>
          <w:tcPr>
            <w:tcW w:w="748" w:type="dxa"/>
            <w:tcBorders>
              <w:top w:val="single" w:color="000000" w:sz="12" w:space="0"/>
              <w:left w:val="single" w:color="000000" w:sz="12" w:space="0"/>
              <w:bottom w:val="single" w:color="000000" w:sz="4" w:space="0"/>
              <w:right w:val="single" w:color="000000" w:sz="4" w:space="0"/>
            </w:tcBorders>
            <w:vAlign w:val="center"/>
          </w:tcPr>
          <w:p>
            <w:pPr>
              <w:jc w:val="center"/>
              <w:rPr>
                <w:rFonts w:hint="eastAsia" w:eastAsia="黑体"/>
              </w:rPr>
            </w:pPr>
            <w:r>
              <w:rPr>
                <w:rFonts w:hint="eastAsia" w:eastAsia="黑体"/>
              </w:rPr>
              <w:t>序号</w:t>
            </w:r>
          </w:p>
        </w:tc>
        <w:tc>
          <w:tcPr>
            <w:tcW w:w="3743"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阶段及内容</w:t>
            </w:r>
          </w:p>
        </w:tc>
        <w:tc>
          <w:tcPr>
            <w:tcW w:w="2080" w:type="dxa"/>
            <w:gridSpan w:val="2"/>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工作量估计</w:t>
            </w:r>
          </w:p>
          <w:p>
            <w:pPr>
              <w:jc w:val="center"/>
              <w:rPr>
                <w:rFonts w:hint="eastAsia" w:eastAsia="黑体"/>
              </w:rPr>
            </w:pPr>
            <w:r>
              <w:rPr>
                <w:rFonts w:hint="eastAsia" w:eastAsia="黑体"/>
              </w:rPr>
              <w:t>（时数）</w:t>
            </w:r>
          </w:p>
        </w:tc>
        <w:tc>
          <w:tcPr>
            <w:tcW w:w="1304"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起止日期</w:t>
            </w:r>
          </w:p>
        </w:tc>
        <w:tc>
          <w:tcPr>
            <w:tcW w:w="1970" w:type="dxa"/>
            <w:tcBorders>
              <w:top w:val="single" w:color="000000" w:sz="12" w:space="0"/>
              <w:left w:val="single" w:color="000000" w:sz="4" w:space="0"/>
              <w:bottom w:val="single" w:color="000000" w:sz="4" w:space="0"/>
              <w:right w:val="single" w:color="000000" w:sz="12" w:space="0"/>
            </w:tcBorders>
            <w:vAlign w:val="center"/>
          </w:tcPr>
          <w:p>
            <w:pPr>
              <w:jc w:val="center"/>
              <w:rPr>
                <w:rFonts w:hint="eastAsia" w:eastAsia="黑体"/>
              </w:rPr>
            </w:pPr>
            <w:r>
              <w:rPr>
                <w:rFonts w:hint="eastAsia" w:eastAsia="黑体"/>
              </w:rPr>
              <w:t>阶段成果形式</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核对研究问题与数据证据，完成本体、高层接口和任务协议设计</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100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接口与任务协议；数据和模型清单</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补齐取送、归位及重抓示范，训练并验收动作技能与高层SFT</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180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T0起第2—3个月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动作技能与高层监督基线</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3</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构造历史依赖任务，完成阶段价值与联合RECAP对照</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160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T0起第4—5个月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联合训练基线及记忆需求验证</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4</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验证物理恢复与续跑条件，训练记忆信用辅助目标并开展同数据、等成本比较</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T0起第6—8个月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信用机制实验及成本分析</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开展策略变化、有限刷新与限定真机迁移验证</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T0起第9—10个月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场景适应与迁移证据</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6</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汇总研究成果与失败案例，撰写、修改学位论文</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130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T0起第11—12个月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学位论文与可复现材料</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7</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准备答辩材料，核对实验与论文证据</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答辩材料</w:t>
            </w:r>
          </w:p>
        </w:tc>
      </w:tr>
      <w:tr>
        <w:tblPrEx>
          <w:tblCellMar>
            <w:top w:w="0" w:type="dxa"/>
            <w:left w:w="108" w:type="dxa"/>
            <w:bottom w:w="0" w:type="dxa"/>
            <w:right w:w="108" w:type="dxa"/>
          </w:tblCellMar>
        </w:tblPrEx>
        <w:trPr>
          <w:cantSplit/>
          <w:trHeight w:val="359" w:hRule="atLeast"/>
          <w:jc w:val="center"/>
        </w:trPr>
        <w:tc>
          <w:tcPr>
            <w:tcW w:w="748" w:type="dxa"/>
            <w:vMerge w:val="continue"/>
            <w:tcBorders>
              <w:top w:val="single" w:color="000000" w:sz="4" w:space="0"/>
              <w:left w:val="single" w:color="000000" w:sz="12" w:space="0"/>
              <w:bottom w:val="single" w:color="000000" w:sz="4" w:space="0"/>
              <w:right w:val="single" w:color="000000" w:sz="4" w:space="0"/>
            </w:tcBorders>
          </w:tcPr>
          <w:p>
            <w:pPr>
              <w:snapToGrid w:val="0"/>
              <w:rPr>
                <w:rFonts w:hint="eastAsia" w:eastAsia="黑体"/>
                <w:sz w:val="24"/>
              </w:rPr>
            </w:pPr>
          </w:p>
        </w:tc>
        <w:tc>
          <w:tcPr>
            <w:tcW w:w="3743"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849" w:type="dxa"/>
            <w:tcBorders>
              <w:top w:val="single" w:color="000000" w:sz="4" w:space="0"/>
              <w:left w:val="single" w:color="000000" w:sz="4" w:space="0"/>
              <w:bottom w:val="single" w:color="000000" w:sz="4" w:space="0"/>
              <w:right w:val="single" w:color="000000" w:sz="4" w:space="0"/>
            </w:tcBorders>
            <w:vAlign w:val="center"/>
          </w:tcPr>
          <w:p>
            <w:pPr>
              <w:jc w:val="center"/>
              <w:rPr>
                <w:rFonts w:hint="eastAsia" w:eastAsia="黑体"/>
                <w:sz w:val="24"/>
              </w:rPr>
            </w:pPr>
            <w:r>
              <w:rPr>
                <w:rFonts w:hint="eastAsia" w:eastAsia="黑体"/>
                <w:sz w:val="24"/>
              </w:rPr>
              <w:t>合计</w:t>
            </w:r>
          </w:p>
        </w:tc>
        <w:tc>
          <w:tcPr>
            <w:tcW w:w="1231" w:type="dxa"/>
            <w:tcBorders>
              <w:top w:val="single" w:color="000000" w:sz="4" w:space="0"/>
              <w:left w:val="single" w:color="000000" w:sz="4" w:space="0"/>
              <w:bottom w:val="single" w:color="000000" w:sz="4" w:space="0"/>
              <w:right w:val="single" w:color="000000" w:sz="4" w:space="0"/>
            </w:tcBorders>
          </w:tcPr>
          <w:p>
            <w:pPr>
              <w:snapToGrid w:val="0"/>
              <w:ind w:firstLine="0" w:firstLineChars="0"/>
              <w:jc w:val="center"/>
              <w:rPr>
                <w:rFonts w:hint="eastAsia" w:eastAsia="黑体"/>
                <w:sz w:val="24"/>
              </w:rPr>
            </w:pPr>
            <w:r>
              <w:rPr>
                <w:rFonts w:hint="eastAsia" w:eastAsia="黑体"/>
                <w:sz w:val="24"/>
              </w:rPr>
              <w:t>960</w:t>
            </w:r>
          </w:p>
        </w:tc>
        <w:tc>
          <w:tcPr>
            <w:tcW w:w="1304"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1970" w:type="dxa"/>
            <w:vMerge w:val="continue"/>
            <w:tcBorders>
              <w:top w:val="single" w:color="000000" w:sz="4" w:space="0"/>
              <w:left w:val="single" w:color="000000" w:sz="4" w:space="0"/>
              <w:bottom w:val="single" w:color="000000" w:sz="4" w:space="0"/>
              <w:right w:val="single" w:color="000000" w:sz="12" w:space="0"/>
            </w:tcBorders>
          </w:tcPr>
          <w:p>
            <w:pPr>
              <w:snapToGrid w:val="0"/>
              <w:rPr>
                <w:rFonts w:hint="eastAsia" w:eastAsia="黑体"/>
                <w:sz w:val="24"/>
              </w:rPr>
            </w:pPr>
          </w:p>
        </w:tc>
      </w:tr>
      <w:tr>
        <w:tblPrEx>
          <w:tblCellMar>
            <w:top w:w="0" w:type="dxa"/>
            <w:left w:w="108" w:type="dxa"/>
            <w:bottom w:w="0" w:type="dxa"/>
            <w:right w:w="108" w:type="dxa"/>
          </w:tblCellMar>
        </w:tblPrEx>
        <w:trPr>
          <w:cantSplit/>
          <w:trHeight w:val="1034" w:hRule="atLeast"/>
          <w:jc w:val="center"/>
        </w:trPr>
        <w:tc>
          <w:tcPr>
            <w:tcW w:w="9845" w:type="dxa"/>
            <w:gridSpan w:val="6"/>
            <w:tcBorders>
              <w:top w:val="single" w:color="000000" w:sz="4" w:space="0"/>
              <w:left w:val="single" w:color="000000" w:sz="12" w:space="0"/>
              <w:bottom w:val="single" w:color="000000" w:sz="12" w:space="0"/>
              <w:right w:val="single" w:color="000000" w:sz="12" w:space="0"/>
            </w:tcBorders>
          </w:tcPr>
          <w:p>
            <w:pPr>
              <w:snapToGrid w:val="0"/>
              <w:rPr>
                <w:rFonts w:hint="eastAsia" w:eastAsia="黑体"/>
                <w:sz w:val="24"/>
              </w:rPr>
            </w:pPr>
          </w:p>
          <w:p>
            <w:pPr>
              <w:ind w:left="0" w:leftChars="0" w:right="0" w:rightChars="0" w:firstLineChars="100"/>
              <w:rPr>
                <w:rFonts w:hint="eastAsia" w:eastAsia="黑体"/>
                <w:sz w:val="24"/>
              </w:rPr>
            </w:pPr>
            <w:r>
              <w:rPr>
                <w:rFonts w:hint="eastAsia" w:eastAsia="黑体"/>
                <w:sz w:val="24"/>
              </w:rPr>
              <w:t>本人签字：                            年   月   日</w:t>
            </w:r>
          </w:p>
        </w:tc>
      </w:tr>
    </w:tbl>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计划以开题通过日T0为起点，12个月、960小时为初步安排，具体年月日由本人及导师审定。按技能、高层接口、联合基线和恢复可靠性逐阶段验收，依据比较结果调整后续信用与真机工作范围。</w:t>
      </w:r>
    </w:p>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阶段成果以可核查材料验收：接口阶段保存输入输出样本和版本；基线阶段固定训练、测试初态与成功判据；信用阶段同时保存被采纳和被拒绝的偏好及其续跑证据。每一阶段预留结果复核和失败分析，避免只按完成训练次数推进进度。若联合基线尚未稳定，则优先保证同信息监督与规则比较，不提前扩大真机或刷新实验；若信用增量不成立，论文仍应完整呈现前期条件控制、联合学习及负面证据，并据实际工作调整后续研究范围。</w:t>
      </w:r>
    </w:p>
    <w:sectPr>
      <w:footerReference r:id="rId6" w:type="first"/>
      <w:footerReference r:id="rId5" w:type="default"/>
      <w:pgSz w:w="11906" w:h="16838"/>
      <w:pgMar w:top="1418" w:right="1134" w:bottom="1191"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0"/>
    <w:family w:val="modern"/>
    <w:pitch w:val="default"/>
    <w:sig w:usb0="20007A87" w:usb1="80000000" w:usb2="00000008" w:usb3="00000000" w:csb0="000001FF" w:csb1="00000000"/>
  </w:font>
  <w:font w:name="DejaVu Sans">
    <w:panose1 w:val="020B0603030804020204"/>
    <w:charset w:val="00"/>
    <w:family w:val="auto"/>
    <w:pitch w:val="default"/>
    <w:sig w:usb0="E7006EFF" w:usb1="D200FDFF" w:usb2="0A246029" w:usb3="0400200C" w:csb0="600001FF" w:csb1="DFFF0000"/>
  </w:font>
  <w:font w:name="Wingdings">
    <w:panose1 w:val="05000000000000000000"/>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Noto Sans">
    <w:panose1 w:val="020B0502040504020204"/>
    <w:charset w:val="00"/>
    <w:family w:val="auto"/>
    <w:pitch w:val="default"/>
    <w:sig w:usb0="E00002FF" w:usb1="4000201F" w:usb2="08000029" w:usb3="00100000" w:csb0="0000019F"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华文新魏">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 w:name="AR PL UKai TW">
    <w:panose1 w:val="02000503000000000000"/>
    <w:charset w:val="86"/>
    <w:family w:val="auto"/>
    <w:pitch w:val="default"/>
    <w:sig w:usb0="A00002FF" w:usb1="3ACFFDFF" w:usb2="00000036" w:usb3="00000000" w:csb0="2016009F" w:csb1="DFD70000"/>
  </w:font>
  <w:font w:name="AR PL UKai CN">
    <w:panose1 w:val="02000503000000000000"/>
    <w:charset w:val="86"/>
    <w:family w:val="auto"/>
    <w:pitch w:val="default"/>
    <w:sig w:usb0="A00002FF" w:usb1="3ACFFDFF" w:usb2="00000036" w:usb3="00000000" w:csb0="2016009F" w:csb1="DFD70000"/>
  </w:font>
  <w:font w:name="AR PL UMing TW">
    <w:panose1 w:val="020B0309010101010101"/>
    <w:charset w:val="86"/>
    <w:family w:val="auto"/>
    <w:pitch w:val="default"/>
    <w:sig w:usb0="A00002FF" w:usb1="3ACFFDFF" w:usb2="00000036" w:usb3="00000000" w:csb0="20160097" w:csb1="CFD60000"/>
  </w:font>
  <w:font w:name="Courier 10 Pitch">
    <w:panose1 w:val="00000000000000000000"/>
    <w:charset w:val="00"/>
    <w:family w:val="auto"/>
    <w:pitch w:val="default"/>
    <w:sig w:usb0="00000000" w:usb1="00000000" w:usb2="00000000" w:usb3="00000000" w:csb0="00000000" w:csb1="00000000"/>
  </w:font>
  <w:font w:name="DejaVu Serif">
    <w:panose1 w:val="02060603050605020204"/>
    <w:charset w:val="00"/>
    <w:family w:val="auto"/>
    <w:pitch w:val="default"/>
    <w:sig w:usb0="E50006FF" w:usb1="5200F9FB" w:usb2="0A040020" w:usb3="00000000" w:csb0="6000009F" w:csb1="DFD70000"/>
  </w:font>
  <w:font w:name="Liberation Mono">
    <w:panose1 w:val="02070409020205020404"/>
    <w:charset w:val="00"/>
    <w:family w:val="auto"/>
    <w:pitch w:val="default"/>
    <w:sig w:usb0="E0000AFF" w:usb1="400078FF" w:usb2="00000001" w:usb3="00000000" w:csb0="600001BF" w:csb1="DFF70000"/>
  </w:font>
  <w:font w:name="Nimbus Sans">
    <w:panose1 w:val="00000500000000000000"/>
    <w:charset w:val="00"/>
    <w:family w:val="auto"/>
    <w:pitch w:val="default"/>
    <w:sig w:usb0="00000287" w:usb1="00000800" w:usb2="00000000" w:usb3="00000000" w:csb0="6000009F" w:csb1="00000000"/>
  </w:font>
  <w:font w:name="Noto Looped Thai Bold">
    <w:panose1 w:val="020B0502040504020204"/>
    <w:charset w:val="00"/>
    <w:family w:val="auto"/>
    <w:pitch w:val="default"/>
    <w:sig w:usb0="01000000" w:usb1="00000000" w:usb2="00000000" w:usb3="00000000" w:csb0="00010000" w:csb1="00000000"/>
  </w:font>
  <w:font w:name="AR PL UMing CN">
    <w:panose1 w:val="020B0309010101010101"/>
    <w:charset w:val="86"/>
    <w:family w:val="auto"/>
    <w:pitch w:val="default"/>
    <w:sig w:usb0="A00002FF" w:usb1="3ACFFDFF" w:usb2="00000036" w:usb3="00000000" w:csb0="20160097" w:csb1="CFD60000"/>
  </w:font>
  <w:font w:name="AR PL UKai HK">
    <w:panose1 w:val="02000503000000000000"/>
    <w:charset w:val="86"/>
    <w:family w:val="auto"/>
    <w:pitch w:val="default"/>
    <w:sig w:usb0="A00002FF" w:usb1="3ACFFDFF" w:usb2="00000036" w:usb3="00000000" w:csb0="2016009F" w:csb1="DFD70000"/>
  </w:font>
  <w:font w:name="AR PL UKai TW MBE">
    <w:panose1 w:val="02000503000000000000"/>
    <w:charset w:val="86"/>
    <w:family w:val="auto"/>
    <w:pitch w:val="default"/>
    <w:sig w:usb0="A00002FF" w:usb1="3ACFFDFF" w:usb2="00000036" w:usb3="00000000" w:csb0="2016009F" w:csb1="DFD70000"/>
  </w:font>
  <w:font w:name="AR PL UMing HK">
    <w:panose1 w:val="020B0309010101010101"/>
    <w:charset w:val="86"/>
    <w:family w:val="auto"/>
    <w:pitch w:val="default"/>
    <w:sig w:usb0="A00002FF" w:usb1="3ACFFDFF" w:usb2="00000036" w:usb3="00000000" w:csb0="20160097" w:csb1="CFD60000"/>
  </w:font>
  <w:font w:name="AR PL UMing TW MBE">
    <w:panose1 w:val="020B0309010101010101"/>
    <w:charset w:val="86"/>
    <w:family w:val="auto"/>
    <w:pitch w:val="default"/>
    <w:sig w:usb0="A00002FF" w:usb1="3ACFFDFF" w:usb2="00000036" w:usb3="00000000" w:csb0="20160097" w:csb1="CFD60000"/>
  </w:font>
  <w:font w:name="DejaVu Math TeX Gyre">
    <w:panose1 w:val="02000503000000000000"/>
    <w:charset w:val="00"/>
    <w:family w:val="auto"/>
    <w:pitch w:val="default"/>
    <w:sig w:usb0="A10000EF" w:usb1="4A00F9EE" w:usb2="02000008" w:usb3="00000000" w:csb0="60000193" w:csb1="0DD40000"/>
  </w:font>
  <w:font w:name="DejaVu Sans Mono">
    <w:panose1 w:val="020B0609030804020204"/>
    <w:charset w:val="00"/>
    <w:family w:val="auto"/>
    <w:pitch w:val="default"/>
    <w:sig w:usb0="E70026FF" w:usb1="D200F9FB" w:usb2="02000028" w:usb3="00000000" w:csb0="600001DF" w:csb1="FFDF0000"/>
  </w:font>
  <w:font w:name="DejaVu Serif Condensed">
    <w:panose1 w:val="02060606050605020204"/>
    <w:charset w:val="00"/>
    <w:family w:val="auto"/>
    <w:pitch w:val="default"/>
    <w:sig w:usb0="E50006FF" w:usb1="5200F9FB" w:usb2="0A040020" w:usb3="00000000" w:csb0="6000009F" w:csb1="DFD70000"/>
  </w:font>
  <w:font w:name="Droid Sans Fallback">
    <w:panose1 w:val="020B0502000000000001"/>
    <w:charset w:val="86"/>
    <w:family w:val="auto"/>
    <w:pitch w:val="default"/>
    <w:sig w:usb0="910002FF" w:usb1="2BDFFCFB" w:usb2="00000036" w:usb3="00000000" w:csb0="203F01FF" w:csb1="D7FF0000"/>
  </w:font>
  <w:font w:name="FangSong_GB2312">
    <w:panose1 w:val="02010609030101010101"/>
    <w:charset w:val="86"/>
    <w:family w:val="auto"/>
    <w:pitch w:val="default"/>
    <w:sig w:usb0="00000001" w:usb1="080E0000" w:usb2="00000000" w:usb3="00000000" w:csb0="00040000" w:csb1="00000000"/>
  </w:font>
  <w:font w:name="FreeMono">
    <w:panose1 w:val="000F0409020205020404"/>
    <w:charset w:val="00"/>
    <w:family w:val="auto"/>
    <w:pitch w:val="default"/>
    <w:sig w:usb0="E400AEFF" w:usb1="C240FFFF" w:usb2="08249029" w:usb3="00100008" w:csb0="600001FF" w:csb1="FFFF0000"/>
  </w:font>
  <w:font w:name="FreeSerif">
    <w:panose1 w:val="02020603050405020304"/>
    <w:charset w:val="00"/>
    <w:family w:val="auto"/>
    <w:pitch w:val="default"/>
    <w:sig w:usb0="E5DFAFFF" w:usb1="C240FDFF" w:usb2="4B541B29" w:usb3="0400004B" w:csb0="600101FF" w:csb1="FFFF0000"/>
  </w:font>
  <w:font w:name="Liberation Sans">
    <w:panose1 w:val="020B0604020202020204"/>
    <w:charset w:val="00"/>
    <w:family w:val="auto"/>
    <w:pitch w:val="default"/>
    <w:sig w:usb0="E0000AFF" w:usb1="500078FF" w:usb2="00000021" w:usb3="00000000" w:csb0="600001BF" w:csb1="DFF70000"/>
  </w:font>
  <w:font w:name="Liberation Sans Narrow">
    <w:panose1 w:val="020B0606020202030204"/>
    <w:charset w:val="00"/>
    <w:family w:val="auto"/>
    <w:pitch w:val="default"/>
    <w:sig w:usb0="A00002AF" w:usb1="500078FB" w:usb2="00000000" w:usb3="00000000" w:csb0="6000009F" w:csb1="DFD70000"/>
  </w:font>
  <w:font w:name="Liberation Serif">
    <w:panose1 w:val="02020603050405020304"/>
    <w:charset w:val="00"/>
    <w:family w:val="auto"/>
    <w:pitch w:val="default"/>
    <w:sig w:usb0="E0000AFF" w:usb1="500078FF" w:usb2="00000021" w:usb3="00000000" w:csb0="600001BF" w:csb1="DFF70000"/>
  </w:font>
  <w:font w:name="Nimbus Mono PS">
    <w:panose1 w:val="00000000000000000000"/>
    <w:charset w:val="00"/>
    <w:family w:val="auto"/>
    <w:pitch w:val="default"/>
    <w:sig w:usb0="00000000" w:usb1="00000000" w:usb2="00000000" w:usb3="00000000" w:csb0="00000000" w:csb1="00000000"/>
  </w:font>
  <w:font w:name="Nimbus Sans Narrow">
    <w:panose1 w:val="00000000000000000000"/>
    <w:charset w:val="00"/>
    <w:family w:val="auto"/>
    <w:pitch w:val="default"/>
    <w:sig w:usb0="00000000" w:usb1="00000000" w:usb2="00000000" w:usb3="00000000" w:csb0="00000000" w:csb1="00000000"/>
  </w:font>
  <w:font w:name="Noto Color Emoji">
    <w:panose1 w:val="02000609000000000000"/>
    <w:charset w:val="00"/>
    <w:family w:val="auto"/>
    <w:pitch w:val="default"/>
    <w:sig w:usb0="00000001" w:usb1="00000000" w:usb2="00000000" w:usb3="00000000" w:csb0="00000001" w:csb1="00000000"/>
  </w:font>
  <w:font w:name="Noto Looped Lao Bold">
    <w:panose1 w:val="020B0502040504020204"/>
    <w:charset w:val="00"/>
    <w:family w:val="auto"/>
    <w:pitch w:val="default"/>
    <w:sig w:usb0="02000000" w:usb1="00000000" w:usb2="00000000" w:usb3="00000000" w:csb0="00000001" w:csb1="00000000"/>
  </w:font>
  <w:font w:name="Noto Kufi Arabic">
    <w:panose1 w:val="020B0504030804020204"/>
    <w:charset w:val="00"/>
    <w:family w:val="auto"/>
    <w:pitch w:val="default"/>
    <w:sig w:usb0="00002000" w:usb1="00000000" w:usb2="00000008" w:usb3="00000000" w:csb0="00000000" w:csb1="00080000"/>
  </w:font>
  <w:font w:name="Noto Looped Lao Regular">
    <w:panose1 w:val="020B0502040504020204"/>
    <w:charset w:val="00"/>
    <w:family w:val="auto"/>
    <w:pitch w:val="default"/>
    <w:sig w:usb0="02000000" w:usb1="00000000" w:usb2="00000000" w:usb3="00000000" w:csb0="00000001" w:csb1="00000000"/>
  </w:font>
  <w:font w:name="Noto Looped Thai Regular">
    <w:panose1 w:val="020B0502040504020204"/>
    <w:charset w:val="00"/>
    <w:family w:val="auto"/>
    <w:pitch w:val="default"/>
    <w:sig w:usb0="01000000" w:usb1="00000000" w:usb2="00000000" w:usb3="00000000" w:csb0="00010000" w:csb1="00000000"/>
  </w:font>
  <w:font w:name="Noto Naskh Arabic">
    <w:panose1 w:val="020B0502040504020204"/>
    <w:charset w:val="00"/>
    <w:family w:val="auto"/>
    <w:pitch w:val="default"/>
    <w:sig w:usb0="80002003" w:usb1="80002000" w:usb2="00000008" w:usb3="00000000" w:csb0="00000040" w:csb1="00000000"/>
  </w:font>
  <w:font w:name="Noto Rashi Hebrew">
    <w:panose1 w:val="02020502060505020204"/>
    <w:charset w:val="00"/>
    <w:family w:val="auto"/>
    <w:pitch w:val="default"/>
    <w:sig w:usb0="80000803" w:usb1="40000000" w:usb2="00000000" w:usb3="00000000" w:csb0="00000020" w:csb1="00000000"/>
  </w:font>
  <w:font w:name="Noto Sans Adlam">
    <w:panose1 w:val="00000000000000000000"/>
    <w:charset w:val="00"/>
    <w:family w:val="auto"/>
    <w:pitch w:val="default"/>
    <w:sig w:usb0="80002003" w:usb1="02000000" w:usb2="00000000" w:usb3="00000000" w:csb0="00000001" w:csb1="00000000"/>
  </w:font>
  <w:font w:name="Noto Sans Anatolian Hieroglyphs">
    <w:panose1 w:val="020B0502040504020204"/>
    <w:charset w:val="00"/>
    <w:family w:val="auto"/>
    <w:pitch w:val="default"/>
    <w:sig w:usb0="80000003" w:usb1="02000000" w:usb2="00000000" w:usb3="00000000" w:csb0="00000001" w:csb1="00000000"/>
  </w:font>
  <w:font w:name="Noto Sans Arabic">
    <w:panose1 w:val="020B0502040504020204"/>
    <w:charset w:val="00"/>
    <w:family w:val="auto"/>
    <w:pitch w:val="default"/>
    <w:sig w:usb0="80002043" w:usb1="80002000" w:usb2="00000008" w:usb3="00000000" w:csb0="00000040" w:csb1="00000000"/>
  </w:font>
  <w:font w:name="Noto Sans Bamum">
    <w:panose1 w:val="020B0502040504020204"/>
    <w:charset w:val="00"/>
    <w:family w:val="auto"/>
    <w:pitch w:val="default"/>
    <w:sig w:usb0="00000003" w:usb1="02000000" w:usb2="00000000" w:usb3="00000000" w:csb0="00000001" w:csb1="00000000"/>
  </w:font>
  <w:font w:name="Noto Sans Bengali">
    <w:panose1 w:val="020B0502040504020204"/>
    <w:charset w:val="00"/>
    <w:family w:val="auto"/>
    <w:pitch w:val="default"/>
    <w:sig w:usb0="80018023" w:usb1="00002042" w:usb2="00000000" w:usb3="00000000" w:csb0="00000001" w:csb1="00000000"/>
  </w:font>
  <w:font w:name="Noto Sans Buhid">
    <w:panose1 w:val="020B0502040504020204"/>
    <w:charset w:val="00"/>
    <w:family w:val="auto"/>
    <w:pitch w:val="default"/>
    <w:sig w:usb0="80000003" w:usb1="00002000" w:usb2="00100000" w:usb3="00000000" w:csb0="00000001" w:csb1="00000000"/>
  </w:font>
  <w:font w:name="Noto Sans CJK HK Black">
    <w:panose1 w:val="020B0A00000000000000"/>
    <w:charset w:val="88"/>
    <w:family w:val="auto"/>
    <w:pitch w:val="default"/>
    <w:sig w:usb0="30000083" w:usb1="2BDF3C10" w:usb2="00000016" w:usb3="00000000" w:csb0="603A0107" w:csb1="00000000"/>
  </w:font>
  <w:font w:name="Noto Sans CJK JP Black">
    <w:panose1 w:val="020B0A00000000000000"/>
    <w:charset w:val="86"/>
    <w:family w:val="auto"/>
    <w:pitch w:val="default"/>
    <w:sig w:usb0="30000083" w:usb1="2BDF3C10" w:usb2="00000016" w:usb3="00000000" w:csb0="602E0107" w:csb1="00000000"/>
  </w:font>
  <w:font w:name="Noto Sans CJK JP Thin">
    <w:panose1 w:val="020B0200000000000000"/>
    <w:charset w:val="86"/>
    <w:family w:val="auto"/>
    <w:pitch w:val="default"/>
    <w:sig w:usb0="30000083" w:usb1="2BDF3C10" w:usb2="00000016" w:usb3="00000000" w:csb0="602E0107" w:csb1="00000000"/>
  </w:font>
  <w:font w:name="Noto Sans CJK KR Medium">
    <w:panose1 w:val="020B0600000000000000"/>
    <w:charset w:val="86"/>
    <w:family w:val="auto"/>
    <w:pitch w:val="default"/>
    <w:sig w:usb0="30000083" w:usb1="2BDF3C10" w:usb2="00000016" w:usb3="00000000" w:csb0="602E0107" w:csb1="00000000"/>
  </w:font>
  <w:font w:name="Noto Sans CJK SC DemiLight">
    <w:panose1 w:val="020B0400000000000000"/>
    <w:charset w:val="86"/>
    <w:family w:val="auto"/>
    <w:pitch w:val="default"/>
    <w:sig w:usb0="30000083" w:usb1="2BDF3C10" w:usb2="00000016" w:usb3="00000000" w:csb0="602E0107" w:csb1="00000000"/>
  </w:font>
  <w:font w:name="Noto Sans CJK TC Black">
    <w:panose1 w:val="020B0A00000000000000"/>
    <w:charset w:val="88"/>
    <w:family w:val="auto"/>
    <w:pitch w:val="default"/>
    <w:sig w:usb0="30000083" w:usb1="2BDF3C10" w:usb2="00000016" w:usb3="00000000" w:csb0="603A0107" w:csb1="00000000"/>
  </w:font>
  <w:font w:name="Noto Sans Carian">
    <w:panose1 w:val="020B0502040504020204"/>
    <w:charset w:val="00"/>
    <w:family w:val="auto"/>
    <w:pitch w:val="default"/>
    <w:sig w:usb0="00000003" w:usb1="02000000" w:usb2="00000000" w:usb3="02000000" w:csb0="00000001" w:csb1="00000000"/>
  </w:font>
  <w:font w:name="Noto Sans Chakma">
    <w:panose1 w:val="020B0502040504020204"/>
    <w:charset w:val="00"/>
    <w:family w:val="auto"/>
    <w:pitch w:val="default"/>
    <w:sig w:usb0="80010003" w:usb1="02002000" w:usb2="00000400" w:usb3="00000000" w:csb0="00000001" w:csb1="00000000"/>
  </w:font>
  <w:font w:name="Noto Sans Coptic">
    <w:panose1 w:val="020B0502040504020204"/>
    <w:charset w:val="00"/>
    <w:family w:val="auto"/>
    <w:pitch w:val="default"/>
    <w:sig w:usb0="800001C3" w:usb1="02002000" w:usb2="00000001" w:usb3="00000000" w:csb0="00000001" w:csb1="00000000"/>
  </w:font>
  <w:font w:name="Noto Sans Cypriot">
    <w:panose1 w:val="020B0502040504020204"/>
    <w:charset w:val="00"/>
    <w:family w:val="auto"/>
    <w:pitch w:val="default"/>
    <w:sig w:usb0="00000003" w:usb1="02000000" w:usb2="00000000" w:usb3="00000800" w:csb0="00000001" w:csb1="00000000"/>
  </w:font>
  <w:font w:name="Noto Sans Egyptian Hieroglyphs">
    <w:panose1 w:val="020B0502040504020204"/>
    <w:charset w:val="00"/>
    <w:family w:val="auto"/>
    <w:pitch w:val="default"/>
    <w:sig w:usb0="80000003" w:usb1="02002000" w:usb2="00000000" w:usb3="00000000" w:csb0="00000001" w:csb1="00000000"/>
  </w:font>
  <w:font w:name="Noto Sans Gujarati">
    <w:panose1 w:val="020B0502040504020204"/>
    <w:charset w:val="00"/>
    <w:family w:val="auto"/>
    <w:pitch w:val="default"/>
    <w:sig w:usb0="80048003" w:usb1="00002042" w:usb2="00000000" w:usb3="00000000" w:csb0="00000001" w:csb1="00000000"/>
  </w:font>
  <w:font w:name="Noto Sans Hanifi Rohingya">
    <w:panose1 w:val="00000000000000000000"/>
    <w:charset w:val="00"/>
    <w:family w:val="auto"/>
    <w:pitch w:val="default"/>
    <w:sig w:usb0="80002003" w:usb1="02002000" w:usb2="00000000" w:usb3="00000000" w:csb0="00000001" w:csb1="00000000"/>
  </w:font>
  <w:font w:name="Noto Sans Imperial Aramaic">
    <w:panose1 w:val="020B0502040504020204"/>
    <w:charset w:val="00"/>
    <w:family w:val="auto"/>
    <w:pitch w:val="default"/>
    <w:sig w:usb0="00000003" w:usb1="02000000" w:usb2="00000000" w:usb3="00000000" w:csb0="00000001" w:csb1="00000000"/>
  </w:font>
  <w:font w:name="Noto Sans Kaithi">
    <w:panose1 w:val="020B0502040504020204"/>
    <w:charset w:val="00"/>
    <w:family w:val="auto"/>
    <w:pitch w:val="default"/>
    <w:sig w:usb0="80008003" w:usb1="02002000" w:usb2="00000000" w:usb3="00000000" w:csb0="00000001" w:csb1="00000000"/>
  </w:font>
  <w:font w:name="Noto Sans Khmer">
    <w:panose1 w:val="020B0502040504020204"/>
    <w:charset w:val="00"/>
    <w:family w:val="auto"/>
    <w:pitch w:val="default"/>
    <w:sig w:usb0="80000003" w:usb1="00002000" w:usb2="00010000" w:usb3="00000000" w:csb0="00000001" w:csb1="00000000"/>
  </w:font>
  <w:font w:name="Noto Sans Linear A">
    <w:panose1 w:val="020B0502040504020204"/>
    <w:charset w:val="00"/>
    <w:family w:val="auto"/>
    <w:pitch w:val="default"/>
    <w:sig w:usb0="00000003" w:usb1="02000000" w:usb2="00000000" w:usb3="00000000" w:csb0="00000001" w:csb1="00000000"/>
  </w:font>
  <w:font w:name="Noto Sans Lisu">
    <w:panose1 w:val="020B0502040504020204"/>
    <w:charset w:val="00"/>
    <w:family w:val="auto"/>
    <w:pitch w:val="default"/>
    <w:sig w:usb0="80000023" w:usb1="00010000" w:usb2="00000000" w:usb3="00000000" w:csb0="00000001" w:csb1="00000000"/>
  </w:font>
  <w:font w:name="Noto Sans Mandaic">
    <w:panose1 w:val="020B0502040504020204"/>
    <w:charset w:val="00"/>
    <w:family w:val="auto"/>
    <w:pitch w:val="default"/>
    <w:sig w:usb0="80002003" w:usb1="00002000" w:usb2="00000000" w:usb3="00000000" w:csb0="00000001" w:csb1="00000000"/>
  </w:font>
  <w:font w:name="Noto Sans Math">
    <w:panose1 w:val="020B0502040504020204"/>
    <w:charset w:val="00"/>
    <w:family w:val="auto"/>
    <w:pitch w:val="default"/>
    <w:sig w:usb0="800000C3" w:usb1="020064EC" w:usb2="02000010" w:usb3="00000000" w:csb0="00000001" w:csb1="00000000"/>
  </w:font>
  <w:font w:name="Noto Sans Miao">
    <w:panose1 w:val="020B0502040504020204"/>
    <w:charset w:val="00"/>
    <w:family w:val="auto"/>
    <w:pitch w:val="default"/>
    <w:sig w:usb0="00000003" w:usb1="02002000" w:usb2="00000000" w:usb3="00000000" w:csb0="00000001" w:csb1="00000000"/>
  </w:font>
  <w:font w:name="Noto Sans Mono">
    <w:panose1 w:val="020B0509040504020204"/>
    <w:charset w:val="00"/>
    <w:family w:val="auto"/>
    <w:pitch w:val="default"/>
    <w:sig w:usb0="E00002FF" w:usb1="0200FCFF" w:usb2="08000039" w:usb3="00100000" w:csb0="0000019F" w:csb1="DFD70000"/>
  </w:font>
  <w:font w:name="Noto Sans Mono CJK SC">
    <w:panose1 w:val="020B0500000000000000"/>
    <w:charset w:val="86"/>
    <w:family w:val="auto"/>
    <w:pitch w:val="default"/>
    <w:sig w:usb0="30000083" w:usb1="2BDF3C10" w:usb2="00000016" w:usb3="00000000" w:csb0="602E0107" w:csb1="00000000"/>
  </w:font>
  <w:font w:name="Noto Sans Mro">
    <w:panose1 w:val="020B0502040504020204"/>
    <w:charset w:val="00"/>
    <w:family w:val="auto"/>
    <w:pitch w:val="default"/>
    <w:sig w:usb0="00000003" w:usb1="02000000" w:usb2="00000000" w:usb3="00000000" w:csb0="00000001" w:csb1="00000000"/>
  </w:font>
  <w:font w:name="Noto Sans Myanmar">
    <w:panose1 w:val="020B0502040504020204"/>
    <w:charset w:val="00"/>
    <w:family w:val="auto"/>
    <w:pitch w:val="default"/>
    <w:sig w:usb0="80000003" w:usb1="00002000" w:usb2="08000400" w:usb3="00100000" w:csb0="00000001" w:csb1="00000000"/>
  </w:font>
  <w:font w:name="Noto Sans Old Italic">
    <w:panose1 w:val="020B0502040504020204"/>
    <w:charset w:val="00"/>
    <w:family w:val="auto"/>
    <w:pitch w:val="default"/>
    <w:sig w:usb0="00000003" w:usb1="02000000" w:usb2="00200000" w:usb3="00000000" w:csb0="00000001" w:csb1="00000000"/>
  </w:font>
  <w:font w:name="Noto Sans Old North Arabian">
    <w:panose1 w:val="020B0502040504020204"/>
    <w:charset w:val="00"/>
    <w:family w:val="auto"/>
    <w:pitch w:val="default"/>
    <w:sig w:usb0="00000003" w:usb1="02000000" w:usb2="00000000" w:usb3="00000000" w:csb0="00000001" w:csb1="00000000"/>
  </w:font>
  <w:font w:name="Noto Sans Old South Arabian">
    <w:panose1 w:val="020B0502040504020204"/>
    <w:charset w:val="00"/>
    <w:family w:val="auto"/>
    <w:pitch w:val="default"/>
    <w:sig w:usb0="00000003" w:usb1="02000000" w:usb2="00000000" w:usb3="00000000" w:csb0="00000001" w:csb1="00000000"/>
  </w:font>
  <w:font w:name="Noto Sans Old Turkic">
    <w:panose1 w:val="020B0502040504020204"/>
    <w:charset w:val="00"/>
    <w:family w:val="auto"/>
    <w:pitch w:val="default"/>
    <w:sig w:usb0="00000003" w:usb1="02000000" w:usb2="00000000" w:usb3="00000000" w:csb0="00000001" w:csb1="00000000"/>
  </w:font>
  <w:font w:name="Noto Sans PhagsPa">
    <w:panose1 w:val="020B0502040504020204"/>
    <w:charset w:val="00"/>
    <w:family w:val="auto"/>
    <w:pitch w:val="default"/>
    <w:sig w:usb0="80000003" w:usb1="00212000" w:usb2="0802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2" name="Frame1"/>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C2MAjvyQEAALM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15" name="Frame2"/>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wps:txbx>
                    <wps:bodyPr lIns="0" tIns="0" rIns="0" bIns="0" anchor="t">
                      <a:noAutofit/>
                    </wps:bodyPr>
                  </wps:wsp>
                </a:graphicData>
              </a:graphic>
            </wp:anchor>
          </w:drawing>
        </mc:Choice>
        <mc:Fallback>
          <w:pict>
            <v:shape id="Frame2"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BOlWA4yQEAALQ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v:textbox>
              <w10:wrap type="squar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autoHyphenation/>
  <w:hyphenationZone w:val="0"/>
  <w:compat>
    <w:doNotExpandShiftReturn/>
    <w:adjustLineHeightInTable/>
    <w:doNotBreakWrappedTables/>
    <w:compatSetting w:name="compatibilityMode" w:uri="http://schemas.microsoft.com/office/word" w:val="11"/>
  </w:compat>
  <w:rsids>
    <w:rsidRoot w:val="00000000"/>
    <w:rsid w:val="B9F67F4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jc w:val="center"/>
    </w:pPr>
    <w:rPr>
      <w:sz w:val="36"/>
    </w:rPr>
  </w:style>
  <w:style w:type="paragraph" w:styleId="5">
    <w:name w:val="caption"/>
    <w:basedOn w:val="1"/>
    <w:next w:val="1"/>
    <w:qFormat/>
    <w:uiPriority w:val="0"/>
    <w:pPr>
      <w:suppressLineNumbers/>
      <w:spacing w:before="120" w:after="120"/>
    </w:pPr>
    <w:rPr>
      <w:rFonts w:cs="Noto Sans"/>
      <w:i/>
      <w:iCs/>
      <w:sz w:val="24"/>
      <w:szCs w:val="24"/>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8">
    <w:name w:val="List"/>
    <w:basedOn w:val="4"/>
    <w:uiPriority w:val="0"/>
    <w:rPr>
      <w:rFonts w:cs="Noto Sans"/>
    </w:rPr>
  </w:style>
  <w:style w:type="character" w:styleId="9">
    <w:name w:val="page number"/>
    <w:basedOn w:val="10"/>
    <w:uiPriority w:val="0"/>
  </w:style>
  <w:style w:type="character" w:customStyle="1" w:styleId="10">
    <w:name w:val="默认段落字体"/>
    <w:qFormat/>
    <w:uiPriority w:val="0"/>
  </w:style>
  <w:style w:type="paragraph" w:customStyle="1" w:styleId="11">
    <w:name w:val="Heading"/>
    <w:basedOn w:val="1"/>
    <w:next w:val="4"/>
    <w:qFormat/>
    <w:uiPriority w:val="0"/>
    <w:pPr>
      <w:keepNext/>
      <w:spacing w:before="240" w:after="120"/>
    </w:pPr>
    <w:rPr>
      <w:rFonts w:ascii="Liberation Sans" w:hAnsi="Liberation Sans" w:eastAsia="Noto Sans CJK SC"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background-mem-fig1.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ScaleCrop>false</ScaleCrop>
  <LinksUpToDate>false</LinksUpToDate>
  <Application>WPS Office_11.1.0.11733_F1E327BC-269C-435d-A152-05C5408002CA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2004-11-22T17:36:00Z</dcterms:created>
  <dc:creator>admin123</dc:creator>
  <cp:lastModifiedBy>admin123</cp:lastModifiedBy>
  <cp:lastPrinted>2004-11-22T17:24:00Z</cp:lastPrinted>
  <dcterms:modified xsi:type="dcterms:W3CDTF">2026-10-18T19:04:02Z</dcterms:modified>
  <dc:title>    </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