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0"/>
        <w:spacing w:line="520" w:lineRule="exact" w:before="0" w:after="0"/>
        <w:jc w:val="right"/>
        <w:rPr>
          <w:rFonts w:eastAsia="Noto Sans CJK SC" w:hint="eastAsia" w:ascii="Liberation Sans" w:hAnsi="Liberation Sans" w:cs="Liberation Sans"/>
        </w:rPr>
      </w:pPr>
      <w:r>
        <w:rPr>
          <w:rFonts w:eastAsia="Noto Sans CJK SC" w:hint="eastAsia" w:ascii="Liberation Sans" w:hAnsi="Liberation Sans" w:cs="Liberation Sans"/>
        </w:rPr>
        <w:t>学号：待填写</w:t>
      </w:r>
    </w:p>
    <w:p>
      <w:pPr>
        <w:pStyle w:val="BodyText"/>
        <w:rPr>
          <w:rFonts w:ascii="Liberation Serif" w:hAnsi="Liberation Serif" w:eastAsia="Noto Serif CJK SC" w:hint="eastAsia" w:cs="Liberation Serif"/>
          <w:sz w:val="84"/>
          <w:szCs w:val="84"/>
        </w:rPr>
      </w:pPr>
      <w:r>
        <w:rPr/>
        <w:br/>
      </w:r>
      <w:r>
        <w:rPr>
          <w:rFonts w:eastAsia="Noto Serif CJK SC" w:hint="eastAsia" w:ascii="Liberation Serif" w:hAnsi="Liberation Serif" w:cs="Liberation Serif"/>
          <w:sz w:val="84"/>
          <w:szCs w:val="84"/>
        </w:rPr>
        <w:drawing>
          <wp:inline distT="0" distB="0" distL="0" distR="0">
            <wp:extent cx="2366645" cy="106108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2"/>
                    <a:srcRect l="32268" t="8388" r="2027" b="55324"/>
                    <a:stretch>
                      <a:fillRect/>
                    </a:stretch>
                  </pic:blipFill>
                  <pic:spPr bwMode="auto">
                    <a:xfrm>
                      <a:off x="0" y="0"/>
                      <a:ext cx="2366645" cy="1061085"/>
                    </a:xfrm>
                    <a:prstGeom prst="rect">
                      <a:avLst/>
                    </a:prstGeom>
                    <a:noFill/>
                  </pic:spPr>
                </pic:pic>
              </a:graphicData>
            </a:graphic>
          </wp:inline>
        </w:drawing>
      </w:r>
    </w:p>
    <w:p>
      <w:pPr>
        <w:pStyle w:val="Title"/>
        <w:snapToGrid w:val="0"/>
        <w:rPr>
          <w:rFonts w:ascii="Liberation Sans" w:hAnsi="Liberation Sans" w:eastAsia="Noto Sans CJK SC" w:hint="eastAsia" w:cs="Liberation Sans"/>
          <w:sz w:val="44"/>
          <w:szCs w:val="44"/>
        </w:rPr>
      </w:pPr>
      <w:r>
        <w:rPr>
          <w:rFonts w:ascii="Liberation Sans" w:hAnsi="Liberation Sans" w:hint="eastAsia" w:eastAsia="Noto Sans CJK SC" w:cs="Liberation Sans"/>
          <w:sz w:val="44"/>
          <w:szCs w:val="44"/>
        </w:rPr>
        <w:t>硕士学位论文或实践成果开题报告</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300" w:startChars="0" w:start="0" w:endChars="0" w:end="0" w:firstLine="0"/>
        <w:jc w:val="start"/>
        <w:textAlignment w:val="auto"/>
        <w:rPr>
          <w:rFonts w:ascii="Liberation Serif" w:hAnsi="Liberation Serif" w:eastAsia="Noto Serif CJK SC" w:cs="Liberation Serif" w:hint="eastAsia"/>
          <w:b/>
          <w:sz w:val="32"/>
          <w:szCs w:val="32"/>
        </w:rPr>
      </w:pPr>
      <w:r>
        <w:rPr>
          <w:rFonts w:ascii="Liberation Serif" w:hAnsi="Liberation Serif" w:cs="Liberation Serif" w:hint="eastAsia" w:eastAsia="Noto Serif CJK SC"/>
          <w:b/>
          <w:sz w:val="28"/>
          <w:szCs w:val="32"/>
        </w:rPr>
        <w:t>论文或实践成果题目：</w:t>
        <w:br/>
        <w:t>面向实验室操作的视觉语言动作模型多模态条件控制与场景适应方法研究</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500" w:startChars="0" w:start="0" w:endChars="0" w:end="0"/>
        <w:jc w:val="start"/>
        <w:textAlignment w:val="auto"/>
        <w:rPr>
          <w:rFonts w:ascii="Liberation Serif" w:hAnsi="Liberation Serif" w:eastAsia="Noto Serif CJK SC" w:cs="Liberation Serif" w:hint="eastAsia"/>
          <w:b/>
          <w:sz w:val="32"/>
          <w:u w:val="single"/>
        </w:rPr>
      </w:pPr>
      <w:r>
        <w:rPr>
          <w:rFonts w:ascii="Liberation Serif" w:hAnsi="Liberation Serif" w:cs="Liberation Serif" w:hint="eastAsia" w:eastAsia="Noto Serif CJK SC"/>
          <w:b/>
          <w:sz w:val="32"/>
        </w:rPr>
        <w:t>学 生 姓 名：待填写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0" w:firstLine="0" w:startChars="760" w:endChars="0" w:end="0"/>
        <w:jc w:val="start"/>
        <w:textAlignment w:val="auto"/>
        <w:rPr>
          <w:rFonts w:ascii="Liberation Serif" w:hAnsi="Liberation Serif" w:eastAsia="Noto Serif CJK SC" w:cs="Liberation Serif"/>
          <w:b/>
          <w:sz w:val="32"/>
          <w:u w:val="none"/>
        </w:rPr>
      </w:pPr>
      <w:r>
        <w:rPr>
          <w:rFonts w:ascii="Liberation Serif" w:hAnsi="Liberation Serif" w:cs="Liberation Serif" w:hint="eastAsia" w:eastAsia="Noto Serif CJK SC"/>
          <w:b/>
          <w:sz w:val="32"/>
          <w:u w:val="none"/>
        </w:rPr>
        <w:t>导 师 姓 名：待填写</w:t>
        <w:br/>
        <w:t>副导师姓名：待填写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500" w:startChars="0" w:start="0" w:endChars="0" w:end="0"/>
        <w:jc w:val="start"/>
        <w:textAlignment w:val="auto"/>
        <w:rPr>
          <w:rFonts w:ascii="Liberation Serif" w:hAnsi="Liberation Serif" w:eastAsia="Noto Serif CJK SC" w:cs="Liberation Serif" w:hint="eastAsia"/>
          <w:b/>
          <w:sz w:val="32"/>
        </w:rPr>
      </w:pPr>
      <w:r>
        <w:rPr>
          <w:rFonts w:ascii="Liberation Serif" w:hAnsi="Liberation Serif" w:cs="Liberation Serif" w:hint="eastAsia" w:eastAsia="Noto Serif CJK SC"/>
          <w:b/>
          <w:sz w:val="32"/>
        </w:rPr>
        <w:t>所属学科/类别名称：待填写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500" w:startChars="0" w:start="0" w:endChars="0" w:end="0"/>
        <w:jc w:val="start"/>
        <w:textAlignment w:val="auto"/>
        <w:rPr>
          <w:rFonts w:ascii="Liberation Serif" w:hAnsi="Liberation Serif" w:eastAsia="Noto Serif CJK SC" w:cs="Liberation Serif" w:hint="eastAsia"/>
          <w:b/>
          <w:sz w:val="32"/>
        </w:rPr>
      </w:pPr>
      <w:r>
        <w:rPr>
          <w:rFonts w:ascii="Liberation Serif" w:hAnsi="Liberation Serif" w:cs="Liberation Serif" w:hint="eastAsia" w:eastAsia="Noto Serif CJK SC"/>
          <w:b/>
          <w:sz w:val="32"/>
        </w:rPr>
        <w:t>所 属 学 院：待填写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500" w:startChars="0" w:start="0" w:endChars="0" w:end="0"/>
        <w:jc w:val="start"/>
        <w:textAlignment w:val="auto"/>
        <w:rPr>
          <w:rFonts w:ascii="Liberation Serif" w:hAnsi="Liberation Serif" w:eastAsia="Noto Serif CJK SC" w:cs="Liberation Serif" w:hint="eastAsia"/>
          <w:b/>
          <w:sz w:val="32"/>
          <w:u w:val="single"/>
        </w:rPr>
      </w:pPr>
      <w:r>
        <w:rPr>
          <w:rFonts w:ascii="Liberation Serif" w:hAnsi="Liberation Serif" w:cs="Liberation Serif" w:hint="eastAsia" w:eastAsia="Noto Serif CJK SC"/>
          <w:b/>
          <w:sz w:val="32"/>
        </w:rPr>
        <w:t>联 系 电 话：待填写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0"/>
        <w:spacing w:lineRule="exact" w:line="520" w:before="0" w:after="0"/>
        <w:ind w:firstLineChars="500" w:startChars="0" w:start="0" w:endChars="0" w:end="0"/>
        <w:jc w:val="start"/>
        <w:textAlignment w:val="auto"/>
        <w:rPr>
          <w:rFonts w:ascii="Liberation Serif" w:hAnsi="Liberation Serif" w:eastAsia="Noto Serif CJK SC" w:cs="Liberation Serif" w:hint="eastAsia"/>
          <w:b/>
          <w:sz w:val="32"/>
          <w:u w:val="single"/>
        </w:rPr>
      </w:pPr>
      <w:r>
        <w:rPr>
          <w:rFonts w:ascii="Liberation Serif" w:hAnsi="Liberation Serif" w:cs="Liberation Serif" w:hint="eastAsia" w:eastAsia="Noto Serif CJK SC"/>
          <w:b/>
          <w:sz w:val="32"/>
        </w:rPr>
        <w:t>开 题 时 间：待填写</w:t>
      </w:r>
    </w:p>
    <w:p>
      <w:pPr>
        <w:pStyle w:val="Normal"/>
        <w:tabs>
          <w:tab w:val="clear" w:pos="420"/>
          <w:tab w:val="left" w:pos="2700" w:leader="none"/>
        </w:tabs>
        <w:snapToGrid w:val="0"/>
        <w:jc w:val="center"/>
        <w:rPr>
          <w:rFonts w:ascii="Liberation Serif" w:hAnsi="Liberation Serif" w:eastAsia="Noto Serif CJK SC" w:cs="Liberation Serif" w:hint="eastAsia"/>
          <w:b w:val="false"/>
          <w:bCs/>
          <w:sz w:val="32"/>
        </w:rPr>
      </w:pPr>
      <w:r>
        <w:rPr>
          <w:rFonts w:ascii="Liberation Serif" w:hAnsi="Liberation Serif" w:cs="Liberation Serif" w:hint="eastAsia" w:eastAsia="Noto Serif CJK SC"/>
          <w:b w:val="false"/>
          <w:bCs/>
          <w:sz w:val="32"/>
        </w:rPr>
        <w:t>东北大学研究生院</w:t>
      </w:r>
    </w:p>
    <w:p>
      <w:pPr>
        <w:pStyle w:val="Normal"/>
        <w:tabs>
          <w:tab w:val="clear" w:pos="420"/>
          <w:tab w:val="left" w:pos="2700" w:leader="none"/>
        </w:tabs>
        <w:snapToGrid w:val="0"/>
        <w:jc w:val="center"/>
        <w:rPr>
          <w:rFonts w:ascii="Liberation Serif" w:hAnsi="Liberation Serif" w:eastAsia="Noto Serif CJK SC" w:cs="Liberation Serif" w:hint="eastAsia"/>
          <w:b w:val="false"/>
          <w:bCs/>
          <w:sz w:val="32"/>
        </w:rPr>
        <w:sectPr>
          <w:footerReference w:type="default" r:id="rId3"/>
          <w:footerReference w:type="first" r:id="rId4"/>
          <w:type w:val="nextPage"/>
          <w:pgSz w:w="11906" w:h="16838"/>
          <w:pgMar w:left="1134" w:right="1134" w:gutter="0" w:header="0" w:top="1418" w:footer="992" w:bottom="1191"/>
          <w:pgNumType w:start="0" w:fmt="decimal"/>
          <w:formProt w:val="false"/>
          <w:titlePg/>
          <w:textDirection w:val="lrTb"/>
          <w:docGrid w:type="lines" w:linePitch="312" w:charSpace="0"/>
        </w:sectPr>
      </w:pPr>
      <w:r>
        <w:rPr>
          <w:rFonts w:ascii="Liberation Serif" w:hAnsi="Liberation Serif" w:cs="Liberation Serif" w:hint="eastAsia" w:eastAsia="Noto Serif CJK SC"/>
          <w:b w:val="false"/>
          <w:bCs/>
          <w:sz w:val="32"/>
        </w:rPr>
        <w:t>年   月   日</w:t>
      </w:r>
    </w:p>
    <w:p>
      <w:pPr>
        <w:pStyle w:val="Normal"/>
        <w:snapToGrid w:val="0"/>
        <w:jc w:val="center"/>
        <w:rPr>
          <w:rFonts w:ascii="Liberation Serif" w:hAnsi="Liberation Serif" w:eastAsia="Noto Serif CJK SC" w:cs="Liberation Serif" w:hint="eastAsia"/>
          <w:b/>
          <w:bCs/>
          <w:sz w:val="44"/>
          <w:szCs w:val="44"/>
        </w:rPr>
      </w:pPr>
      <w:r>
        <w:rPr>
          <w:rFonts w:ascii="Liberation Serif" w:hAnsi="Liberation Serif" w:cs="Liberation Serif" w:hint="eastAsia" w:eastAsia="Noto Serif CJK SC"/>
          <w:b/>
          <w:bCs/>
          <w:sz w:val="44"/>
          <w:szCs w:val="44"/>
        </w:rPr>
        <w:t>填表说明</w:t>
      </w:r>
    </w:p>
    <w:p>
      <w:pPr>
        <w:pStyle w:val="Normal"/>
        <w:snapToGrid w:val="0"/>
        <w:ind w:firstLineChars="200" w:startChars="0" w:start="0" w:endChars="0" w:end="0"/>
        <w:rPr>
          <w:rFonts w:ascii="Liberation Serif" w:hAnsi="Liberation Serif" w:eastAsia="Noto Serif CJK SC" w:cs="Liberation Serif" w:hint="eastAsia"/>
          <w:sz w:val="32"/>
          <w:szCs w:val="32"/>
        </w:rPr>
      </w:pPr>
      <w:r>
        <w:rPr>
          <w:rFonts w:eastAsia="Noto Serif CJK SC" w:cs="Liberation Serif" w:hint="eastAsia" w:ascii="Liberation Serif" w:hAnsi="Liberation Serif"/>
          <w:sz w:val="32"/>
          <w:szCs w:val="32"/>
        </w:rPr>
        <w:t>1</w:t>
      </w:r>
      <w:r>
        <w:rPr>
          <w:rFonts w:ascii="Liberation Serif" w:hAnsi="Liberation Serif" w:cs="Liberation Serif" w:hint="eastAsia" w:eastAsia="Noto Serif CJK SC"/>
          <w:sz w:val="32"/>
          <w:szCs w:val="32"/>
        </w:rPr>
        <w:t>、本表一、二、三、四、五项在导师指导下准确、完整填写。</w:t>
      </w:r>
    </w:p>
    <w:p>
      <w:pPr>
        <w:pStyle w:val="Normal"/>
        <w:snapToGrid w:val="0"/>
        <w:ind w:firstLineChars="200" w:startChars="0" w:start="0" w:endChars="0" w:end="0"/>
        <w:rPr>
          <w:rFonts w:ascii="Liberation Serif" w:hAnsi="Liberation Serif" w:eastAsia="Noto Serif CJK SC" w:cs="Liberation Serif" w:hint="eastAsia"/>
          <w:sz w:val="32"/>
          <w:szCs w:val="32"/>
        </w:rPr>
      </w:pPr>
      <w:r>
        <w:rPr>
          <w:rFonts w:eastAsia="Noto Serif CJK SC" w:cs="Liberation Serif" w:hint="eastAsia" w:ascii="Liberation Serif" w:hAnsi="Liberation Serif"/>
          <w:sz w:val="32"/>
          <w:szCs w:val="32"/>
        </w:rPr>
        <w:t>2</w:t>
      </w:r>
      <w:r>
        <w:rPr>
          <w:rFonts w:ascii="Liberation Serif" w:hAnsi="Liberation Serif" w:cs="Liberation Serif" w:hint="eastAsia" w:eastAsia="Noto Serif CJK SC"/>
          <w:sz w:val="32"/>
          <w:szCs w:val="32"/>
        </w:rPr>
        <w:t>、学生在通过开题后一周内将该材料交到所在学院（部），并将电子版上传至研究生管理信息系统。</w:t>
      </w:r>
    </w:p>
    <w:p>
      <w:pPr>
        <w:pStyle w:val="Normal"/>
        <w:snapToGrid w:val="0"/>
        <w:ind w:firstLineChars="200" w:startChars="0" w:start="0" w:endChars="0" w:end="0"/>
        <w:rPr>
          <w:rFonts w:ascii="Liberation Serif" w:hAnsi="Liberation Serif" w:eastAsia="Noto Serif CJK SC" w:cs="Liberation Serif" w:hint="eastAsia"/>
          <w:sz w:val="32"/>
          <w:szCs w:val="32"/>
        </w:rPr>
      </w:pPr>
      <w:r>
        <w:rPr>
          <w:rFonts w:eastAsia="Noto Serif CJK SC" w:cs="Liberation Serif" w:hint="eastAsia" w:ascii="Liberation Serif" w:hAnsi="Liberation Serif"/>
          <w:sz w:val="32"/>
          <w:szCs w:val="32"/>
        </w:rPr>
        <w:t>3</w:t>
      </w:r>
      <w:r>
        <w:rPr>
          <w:rFonts w:ascii="Liberation Serif" w:hAnsi="Liberation Serif" w:cs="Liberation Serif" w:hint="eastAsia" w:eastAsia="Noto Serif CJK SC"/>
          <w:sz w:val="32"/>
          <w:szCs w:val="32"/>
        </w:rPr>
        <w:t>、学生入学后</w:t>
      </w:r>
      <w:r>
        <w:rPr>
          <w:rFonts w:eastAsia="Noto Serif CJK SC" w:cs="Liberation Serif" w:hint="eastAsia" w:ascii="Liberation Serif" w:hAnsi="Liberation Serif"/>
          <w:sz w:val="32"/>
          <w:szCs w:val="32"/>
        </w:rPr>
        <w:t>2</w:t>
      </w:r>
      <w:r>
        <w:rPr>
          <w:rFonts w:ascii="Liberation Serif" w:hAnsi="Liberation Serif" w:cs="Liberation Serif" w:hint="eastAsia" w:eastAsia="Noto Serif CJK SC"/>
          <w:sz w:val="32"/>
          <w:szCs w:val="32"/>
        </w:rPr>
        <w:t>年内应完成论文或实践成果开题报告。按有关规定，没有通过的，不能进入中期考核。</w:t>
      </w:r>
    </w:p>
    <w:p>
      <w:pPr>
        <w:pStyle w:val="Normal"/>
        <w:rPr>
          <w:rFonts w:hint="eastAsia" w:ascii="Liberation Serif" w:hAnsi="Liberation Serif" w:cs="Liberation Serif" w:eastAsia="Noto Serif CJK SC"/>
        </w:rPr>
      </w:pPr>
      <w:r>
        <w:rPr>
          <w:rFonts w:hint="eastAsia" w:ascii="Liberation Serif" w:hAnsi="Liberation Serif" w:cs="Liberation Serif" w:eastAsia="Noto Serif CJK SC"/>
        </w:rPr>
      </w:r>
      <w:r>
        <w:br w:type="page"/>
      </w:r>
    </w:p>
    <w:p>
      <w:pPr>
        <w:pStyle w:val="Normal"/>
        <w:keepNext w:val="1"/>
        <w:snapToGrid w:val="0"/>
        <w:rPr>
          <w:rFonts w:eastAsia="Noto Sans CJK SC" w:hint="eastAsia" w:ascii="Liberation Sans" w:hAnsi="Liberation Sans" w:cs="Liberation Sans"/>
          <w:sz w:val="24"/>
        </w:rPr>
      </w:pPr>
      <w:r>
        <w:rPr>
          <w:rFonts w:hint="eastAsia" w:eastAsia="Noto Sans CJK SC" w:ascii="Liberation Sans" w:hAnsi="Liberation Sans" w:cs="Liberation Sans"/>
          <w:sz w:val="24"/>
        </w:rPr>
        <w:t>一、立论依据</w:t>
      </w:r>
    </w:p>
    <w:tbl>
      <w:tblPr>
        <w:tblW w:w="9845" w:type="dxa"/>
        <w:jc w:val="center"/>
        <w:tblInd w:w="0" w:type="dxa"/>
        <w:tblLayout w:type="fixed"/>
        <w:tblCellMar>
          <w:top w:w="0" w:type="dxa"/>
          <w:start w:w="108" w:type="dxa"/>
          <w:bottom w:w="0" w:type="dxa"/>
          <w:end w:w="108" w:type="dxa"/>
        </w:tblCellMar>
      </w:tblPr>
      <w:tblGrid>
        <w:gridCol w:w="9845"/>
      </w:tblGrid>
      <w:tr>
        <w:trPr/>
        <w:tc>
          <w:tcPr>
            <w:tcW w:w="9845" w:type="dxa"/>
            <w:tcBorders>
              <w:top w:val="single" w:sz="12" w:space="0" w:color="000000"/>
              <w:start w:val="single" w:sz="12" w:space="0" w:color="000000"/>
              <w:bottom w:val="single" w:sz="12" w:space="0" w:color="000000"/>
              <w:end w:val="single" w:sz="12" w:space="0" w:color="000000"/>
            </w:tcBorders>
          </w:tcPr>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 课题来源与研究背景</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本课题拟结合已有实验室器皿语义控制研究和RealMan双臂灵巧手平台开展。正式科研项目名称、项目编号及课题来源类别待导师确认。</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实验室中的抓取、转移和放置，不仅要求机器人完成运动，还要求其操作正确对象、满足目标位置及避让要求。烧杯、量筒与试管可在不同指令中承担操作对象或障碍角色；同一操作要求也可能遇到不同物体位置、姿态和可达条件。因此，机器人需要同时使用任务要求和当前物理信息，避免把成功搬运等同于正确完成任务。</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视觉语言动作模型（Vision-Language-Action Model，VLA）利用预训练视觉语言表征与动作学习连接自然语言、图像及机器人控制。π0和π0.5通过flow matching生成连续动作序列，为精细操作与本体适配提供了基础[1-2]。小型模型SmolVLA降低了训练与部署成本[3]。然而，已有鲁棒性基准表明，标准条件下的较高表现与语言、场景变化下的可靠表现不能相互替代[11-12]。这些现象提示需要检验模型怎样使用条件，而不能仅以总成功率判断理解能力。</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 研究目的与问题范围</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本课题拟研究两个相互关联的问题：一是等价语言表达、目标角色及操作约束如何持续影响动作；二是在任务要求保持有效而物理条件变化时，策略如何利用执行反馈改善动作生成。前者以MICA-VLA前期成果为基础，后者以π0.5的本体SFT策略、RoboTwin仿真及RLinf交互训练为载体。</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研究首先限定在可观测、可重复的短程器皿操作，包括目标选择、抓起、转直、持续持握和指定位置转移。场景变化从初始位置和姿态开始，随后按实验结果扩展少量障碍布局和执行中扰动。完整化学反应流程、长程规程管理与持续部署学习不作为首阶段承诺，确保研究集中于低层条件动作生成。</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3. 理论意义与应用价值</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理论层面，拟区分“表征中具有相关信息”“动作端实际使用信息”与“执行结果满足要求”三个层次，并研究交互反馈对条件动作分布的作用。强化学习以执行后果而非单条示范动作误差评价行为，可能为多种可行轨迹及受扰状态的策略改进提供补充；其优势仍须通过相同预算的监督学习对照验证。</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应用层面，拟为实验室器皿操作建立目标满足与执行质量分开记录的协议，连接语言条件控制、仿真后训练及选定真机验证。预期价值在于提高受控场景变化下的可靠性及研究可复现性，而不是直接宣称机器人已能独立完成所有实验流程。</w:t>
            </w:r>
          </w:p>
        </w:tc>
      </w:tr>
    </w:tbl>
    <w:p>
      <w:pPr>
        <w:pStyle w:val="Normal"/>
        <w:keepNext w:val="1"/>
        <w:snapToGrid w:val="0"/>
        <w:rPr>
          <w:rFonts w:eastAsia="Noto Sans CJK SC" w:hint="eastAsia" w:ascii="Liberation Sans" w:hAnsi="Liberation Sans" w:cs="Liberation Sans"/>
          <w:sz w:val="24"/>
        </w:rPr>
      </w:pPr>
      <w:r>
        <w:rPr>
          <w:rFonts w:hint="eastAsia" w:eastAsia="Noto Sans CJK SC" w:ascii="Liberation Sans" w:hAnsi="Liberation Sans" w:cs="Liberation Sans"/>
          <w:sz w:val="24"/>
        </w:rPr>
        <w:t>二、文献综述</w:t>
      </w:r>
    </w:p>
    <w:tbl>
      <w:tblPr>
        <w:tblW w:w="9836" w:type="dxa"/>
        <w:jc w:val="start"/>
        <w:tblInd w:w="0" w:type="dxa"/>
        <w:tblLayout w:type="fixed"/>
        <w:tblCellMar>
          <w:top w:w="0" w:type="dxa"/>
          <w:start w:w="108" w:type="dxa"/>
          <w:bottom w:w="0" w:type="dxa"/>
          <w:end w:w="108" w:type="dxa"/>
        </w:tblCellMar>
      </w:tblPr>
      <w:tblGrid>
        <w:gridCol w:w="9836"/>
      </w:tblGrid>
      <w:tr>
        <w:trPr/>
        <w:tc>
          <w:tcPr>
            <w:tcW w:w="9836" w:type="dxa"/>
            <w:tcBorders>
              <w:top w:val="single" w:sz="12" w:space="0" w:color="000000"/>
              <w:start w:val="single" w:sz="12" w:space="0" w:color="000000"/>
              <w:bottom w:val="nil" w:sz="12" w:space="0" w:color="000000"/>
              <w:end w:val="single" w:sz="12" w:space="0" w:color="000000"/>
            </w:tcBorders>
          </w:tcPr>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 VLA架构与连续动作生成</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π0将预训练视觉语言模型与flow动作专家结合，π0.5进一步通过异构数据共同训练研究开放世界泛化[1-2]；SmolVLA以紧凑架构和较低训练成本支持机器人策略开发[3]。这类模型能够表达连续动作序列，但模型规模、生成分布与下游本体SFT数据覆盖共同影响表现，不能从架构直接推断特定本体的场景适应能力。</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本研究采用π0.5作为后续基座，原因是已有RealMan本体数据、训练检查点与物理仿真执行证据。MICA前期工作采用SmolVLA类动作学习接口；两个研究内容可以使用不同模型，围绕共同问题评价，不对跨基座、跨本体成功率直接作机制归因。</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 条件控制与鲁棒性评测</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LIBERO提供语言条件操作与知识迁移评测基础[15]，LIBERO-Para聚焦已知任务的措辞变化[12]，LIBERO-Plus控制多种语言及环境扰动[11]。这些工作将标准任务表现与条件变化表现区分开，也说明不同扰动类型应分别分析。</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CounterAlign利用示范构造观察、指令与动作之间的反事实监督，学习条件奖励并结合离线策略改进[9]。TEMPO分别优化条件投影与动作专家，研究模块之间的更新协调[10]。因此，多模态一致性奖励、接口与专家共同优化已经有直接近邻，本课题不能仅以“增加条件奖励”或“同时更新两个模块”作为新颖性依据。后续方法拟围绕可控物理变化及真实执行后果，进一步检验条件利用的有效性。</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3. 生成动作策略的强化学习后训练</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PPO以交互采样和裁剪代理目标进行策略更新[8]。DPPO将内部去噪与外部环境交互联系起来[7]，πRL针对flow策略提供Flow-SDE和Flow-Noise，使π系列模型可以开展PPO或GRPO后训练[5]。这些方法为本课题建立可运行基线，但普通PPO的成功率增益不自动证明新的条件控制机制。</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DSRL在冻结生成策略的情况下学习初始噪声分布，从已有可达行为中引导动作[6]。它与直接更新动作专家、输出端动作残差是不同路线。后续拟优先直接更新动作专家，以检验其对融合信息的使用；噪声引导或残差策略按实验需要作为对照。LoRA属于参数更新方式，是否采用由显存、梯度及模块诊断决定。</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4. 实验室具身系统与训练平台</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RoboChemist已经结合视觉语言规划、过程监测与VLA执行开展长程化学实验[13]；LabVLA研究实验室数据生成与基座训练[14]。因此，实验室应用、多步骤规划及增加实验室SFT数据本身不是本课题拟主张的算法创新。本课题聚焦任务要求与物理条件对动作的影响，将上层流程编排作为边界明确的系统功能。</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RoboTwin 2.0提供双臂数据生成、任务及域随机化环境[4]；RLinf-VLA为模型、算法和仿真器的交互训练提供基础设施[16]。当前自定义RealMan灵巧手接入需要独立验收动作合同、归一化、执行时钟和回报，不能以框架原始本体的结果代替本项目验证。</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5. 文献查阅范围及手段</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初步查阅覆盖2023年至2026年与本课题直接相关的VLA、条件控制、鲁棒性、生成策略强化学习和实验室机器人研究，并纳入2017年PPO基础文献。使用arXiv、RSS、PMLR、ICLR及CVF官方论文页、作者项目页、官方代码与文档进行定向检索；关键词包括VLA、flow matching、language grounding、scene perturbation、robot reinforcement learning和laboratory manipulation。</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本阶段核对代表文献元数据，并对当前基座、主算法与直接近邻选择性阅读方法和实验协议，形成16篇初步文献矩阵。后续补充中文检索、参考文献回溯及重要新工作。查阅范围不等于已完成系统综述，也不把预印本或作者录用声明改写为已核验正式论文集。</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主要参考文献</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 BLACK K, BROWN N, DRIESS D, et al. π₀: A Vision-Language-Action Flow Model for General Robot Control[C]//Proceedings of Robotics: Science and Systems. 2025. DOI: 10.15607/RSS.2025.XXI.010.</w:t>
              <w:br/>
              <w:t>https://roboticsproceedings.org/rss21/p010.html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[2] PHYSICAL INTELLIGENCE, BLACK K, BROWN N, et al. π₀.₅: a Vision-Language-Action Model with Open-World Generalization[EB/OL]. (2025-04-22)[2026-10-12]. arXiv:2504.16054v1.</w:t>
              <w:br/>
              <w:t>https://arxiv.org/abs/2504.16054v1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[3] SHUKOR M, AUBAKIROVA D, CAPUANO F, et al. SmolVLA: A Vision-Language-Action Model for Affordable and Efficient Robotics[EB/OL]. (2025-06-02)[2026-10-12]. arXiv:2506.01844v1.</w:t>
              <w:br/>
              <w:t>https://arxiv.org/abs/2506.01844v1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[4] CHEN T, CHEN Z, CHEN B, et al. RoboTwin 2.0: A Scalable Data Generator and Benchmark with Strong Domain Randomization for Robust Bimanual Robotic Manipulation[C]//Proceedings of the 43rd International Conference on Machine Learning. Proceedings of Machine Learning Research, 2026, 306: 13673-13699.</w:t>
              <w:br/>
              <w:t>https://proceedings.mlr.press/v306/chen26j.html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[5] CHEN K, LIU Z, ZHANG T, et al. πRL: Online RL Fine-tuning for Flow-based Vision-Language-Action Models[EB/OL]. (2025-10-29; v3修订于2026-01-29)[2026-10-12]. arXiv:2510.25889v3.</w:t>
              <w:br/>
              <w:t>https://arxiv.org/abs/2510.25889v3</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[6] WAGENMAKER A, ZHANG Y, NAKAMOTO M, et al. Steering Your Diffusion Policy with Latent Space Reinforcement Learning[C]//Proceedings of the 9th Conference on Robot Learning. Proceedings of Machine Learning Research, 2025, 305: 258-282.</w:t>
              <w:br/>
              <w:t>https://proceedings.mlr.press/v305/wagenmaker25a.html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[7] REN A Z, LIDARD J, ANKILE L L, et al. Diffusion Policy Policy Optimization[C]//International Conference on Learning Representations. 2025.</w:t>
              <w:br/>
              <w:t>https://proceedings.iclr.cc/paper_files/paper/2025/hash/c0749c39aaff9e9e4c91f7118bf21b1e-Abstract-Conference.html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[8] SCHULMAN J, WOLSKI F, DHARIWAL P, et al. Proximal Policy Optimization Algorithms[EB/OL]. (2017-07-20; v2修订于2017-08-28)[2026-10-12]. arXiv:1707.06347v2.</w:t>
              <w:br/>
              <w:t>https://arxiv.org/abs/1707.06347v2</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[9] KONDOH H, OTA K, KANEZAKI A, WU Y H. CounterAlign: Counterfactual Supervision for Vision-Language-Action Models[EB/OL]. (2026-08-22)[2026-10-12]. arXiv:2608.21740v1.</w:t>
              <w:br/>
              <w:t>https://arxiv.org/abs/2608.21740v1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[10] LIU Z, YANG Q. TEMPO: Semantic-Action Decoupled RL Post-Training for Vision-Language-Action Models[EB/OL]. (2026-08-07)[2026-10-12]. arXiv:2608.07314v1.</w:t>
              <w:br/>
              <w:t>https://arxiv.org/abs/2608.07314v1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[11] FEI S, WANG S, SHI J, et al. LIBERO-Plus: A Progressive Robustness Benchmark for Visual-Language-Action Models[C]//Proceedings of the IEEE/CVF Conference on Computer Vision and Pattern Recognition. 2026: 38574-38583.</w:t>
              <w:br/>
              <w:t>https://openaccess.thecvf.com/content/CVPR2026/html/Fei_LIBERO-Plus_A_Progressive_Robustness_Benchmark_for_Visual-Language-Action_Models_CVPR_2026_paper.html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[12] KIM C, KIM M, KANG M, KIM H, JUNG D. LIBERO-Para: A Diagnostic Benchmark and Metrics for Paraphrase Robustness in VLA Models[EB/OL]. (2026-03-30; v3修订于2026-09-26)[2026-10-12]. arXiv:2603.28301v3.</w:t>
              <w:br/>
              <w:t>https://arxiv.org/abs/2603.28301v3</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[13] ZHANG Z, YUE C, XU H, et al. RoboChemist: Long-Horizon and Safety-Compliant Robotic Chemical Experimentation[C]//Proceedings of the 9th Conference on Robot Learning. Proceedings of Machine Learning Research, 2025, 305: 3537-3568.</w:t>
              <w:br/>
              <w:t>https://proceedings.mlr.press/v305/zhang25i.html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[14] REN B, LIU X, CHEN X, et al. LabVLA: Grounding Vision-Language-Action Models in Scientific Laboratories[EB/OL]. (2026-06-11; v2修订于2026-06-15)[2026-10-12]. arXiv:2606.13578v2.</w:t>
              <w:br/>
              <w:t>https://arxiv.org/abs/2606.13578v2</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[15] LIU B, ZHU Y, GAO C, et al. LIBERO: Benchmarking Knowledge Transfer for Lifelong Robot Learning[C]//Advances in Neural Information Processing Systems. 2023, 36. Datasets and Benchmarks Track.</w:t>
              <w:br/>
              <w:t>https://papers.nips.cc/paper_files/paper/2023/hash/8c3c666820ea055a77726d66fc7d447f-Abstract-Datasets_and_Benchmarks.html</w:t>
            </w:r>
          </w:p>
        </w:tc>
      </w:tr>
      <w:tr>
        <w:trPr>
          <w:cantSplit/>
        </w:trPr>
        <w:tc>
          <w:tcPr>
            <w:tcW w:w="9836" w:type="dxa"/>
            <w:tcBorders>
              <w:top w:val="nil" w:sz="12" w:space="0" w:color="000000"/>
              <w:start w:val="single" w:sz="12" w:space="0" w:color="000000"/>
              <w:bottom w:val="single" w:sz="12" w:space="0" w:color="000000"/>
              <w:end w:val="single" w:sz="12" w:space="0" w:color="000000"/>
            </w:tcBorders>
          </w:tcPr>
          <w:p>
            <w:pPr>
              <w:pStyle w:val="Normal"/>
              <w:keepNext w:val="0"/>
              <w:keepLines w:val="1"/>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[16] ZANG H, WEI M, XU S, et al. RLinf-VLA: A Unified and Efficient Framework for Reinforcement Learning of Vision-Language-Action Models[EB/OL]. (2025-10-08; v3修订于2026-08-12)[2026-10-12]. arXiv:2510.06710v3.</w:t>
              <w:br/>
              <w:t>https://arxiv.org/abs/2510.06710v3</w:t>
            </w:r>
          </w:p>
        </w:tc>
      </w:tr>
    </w:tbl>
    <w:p>
      <w:pPr>
        <w:pStyle w:val="Normal"/>
        <w:keepNext w:val="1"/>
        <w:snapToGrid w:val="0"/>
        <w:rPr>
          <w:rFonts w:eastAsia="Noto Sans CJK SC" w:hint="eastAsia" w:ascii="Liberation Sans" w:hAnsi="Liberation Sans" w:cs="Liberation Sans"/>
          <w:sz w:val="24"/>
        </w:rPr>
      </w:pPr>
      <w:r>
        <w:rPr>
          <w:rFonts w:hint="eastAsia" w:eastAsia="Noto Sans CJK SC" w:ascii="Liberation Sans" w:hAnsi="Liberation Sans" w:cs="Liberation Sans"/>
          <w:sz w:val="24"/>
        </w:rPr>
        <w:t>三、研究内容</w:t>
      </w:r>
    </w:p>
    <w:tbl>
      <w:tblPr>
        <w:tblW w:w="9828" w:type="dxa"/>
        <w:jc w:val="start"/>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 研究构想与思路、主要研究内容及拟解决的关键技术</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1.1 总体构想</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语言规定目标、角色与操作约束，图像与本体状态反映当前执行条件。本课题围绕二者怎样共同影响动作开展研究：首先以指令参考选择和动作侧语义路由改善要求的行为有效性，再研究物理场景改变后怎样利用执行反馈改善条件动作分布。两个研究章不预设必须组合成同一个网络。</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1.2 主要研究内容</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研究内容一为语言条件控制方法。整理MICA-VLA的PSM指令锚记忆、SCE语义控制专家与DSR路由机制，在等价措辞、操作对象与避让对象角色变化中评价要求满足。保留LACE与LIBERO-Para原始协议、组件比较和适用范围，必要时补充原始统计及个人贡献说明。</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研究内容二为场景变化下动作策略适应。以现有π0.5 SFT检查点为起点，建立RLinf中的Flow-SDE PPO同协议基线；通过可控目标几何与动作条件诊断，区分数据覆盖、条件使用、执行频率和低层控制对失败的影响。根据诊断结果，探索执行反馈驱动的条件利用与动作生成协同适应机制，具体接口、训练目标和参数更新范围在基线后确定。</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研究内容三为联合评测。设计同场景改变要求、同要求改变相关物理条件和无关因素变化三类设置，记录操作完成、指令满足、碰撞、持握与终态精度。增加少量要求与场景同时变化的任务，评估原任务能力是否保留，并在满足标定及控制条件后选择少量实验室器皿真机操作验证。</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1.3 拟解决的关键问题</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第一，任务条件的行为有效性。模型应在同义表达下保持要求，在目标或角色改变时改变操作选择，在相关几何改变时调整动作，同时对无关变化保持稳定。需要建立对应的条件干预和行为指标，避免仅用注意力或特征可解码作为对齐证据。</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第二，有限示范下的反馈驱动适应。50条当前示范提供了动作学习起点，但覆盖有限。拟检验策略自身交互如何提供成功、失败与恢复状态，以及这些反馈怎样改善生成分布并保持原能力。RL是否优于同成本监督学习属于实验问题，而非前置结论。</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第三，跨框架学习闭环的可靠性。必须统一动作单位、24维物理映射、模型padding、归一化、预测长度、真实执行前缀、终态和回报，避免接口差异形成虚假的学习增益。</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1.4 已有贡献与拟创新点</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已有方法贡献是MICA将指令参考选择与动作侧反复条件化连接，并在稿件中报告表达、角色与避让任务评测。该项作为前期成果，不因纳入开题而改变投稿状态或扩大原实验范围。</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拟开展的方法贡献是探索以执行后果检验并改善动作端条件利用的机制，重点分析相关条件变化与动作调整之间的关系。可研究条件接口与动作专家的选择性更新及其反馈约束，但具体算法形式需结合普通PPO、CounterAlign、TEMPO等近邻对照确定。</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拟开展的评价贡献是建立任务要求与物理条件分开控制、可交叉分析的实验协议。PPO、LoRA、RLinf适配和实验室部署均属于基础方法或工程载体，不单独列为算法创新点。若普通PPO或同成本监督学习已解决目标问题，应据此调整方法贡献。</w:t>
            </w:r>
          </w:p>
        </w:tc>
      </w:tr>
    </w:tbl>
    <w:p>
      <w:pPr>
        <w:pStyle w:val="Normal"/>
        <w:keepNext w:val="1"/>
        <w:keepLines w:val="0"/>
        <w:widowControl w:val="1"/>
        <w:wordWrap w:val="0"/>
        <w:spacing w:before="0" w:after="20" w:line="30"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
          <w:szCs w:val="2"/>
        </w:rPr>
        <w:t/>
      </w:r>
    </w:p>
    <w:tbl>
      <w:tblPr>
        <w:tblW w:w="9828" w:type="dxa"/>
        <w:jc w:val="start"/>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 拟采取的研究方法、技术路线、实施方案及可行性分析</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2.1 技术路线</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总体路线为：前期方法与本体证据整理，固定SFT与评价协议，验收交互训练闭环，建立场景变化基线，诊断条件利用，设计针对性方法并进行消融，最后开展选定应用验证与论文整理。</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第一阶段优先采用Flow-SDE加PPO，冻结视觉语言主干，更新动作专家、动作侧投影与价值头。本地实现利用保存的随机去噪转移及概率计算策略更新，环境不需要可微。先保留无LoRA配置，待可训练模块、实际梯度和保存恢复验证后，再按需要比较专家限定的LoRA或轻量接口更新。</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2.2 交互训练与回报</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策略输入三路RGB、实测本体状态与有效任务指令，输出经现有变换恢复的24维臂手目标。仿真器执行真实动作前缀，返回新观察、回报、终止和截断；训练端保存采样链、旧概率及价值估计，计算优势并更新参数，然后将新权重同步给采样端。训练后独立评测实际保存的策略。</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仿真物体真值可用于计算任务回报，不作为部署actor的额外输入。优先校准抓起、转直及连续持握的真实判据，区分任务成功、失败和超时。当前native成功只检查部分位置与高度，不能代替保持要求；回报须通过视频、接触和姿态记录核对。若稀疏回报下受扰场景几乎全部失败，先采用轻扰动课程或可靠阶段反馈，而不单纯更换算法。</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2.3 实施方案与实验设计</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阶段一复用现有单瓶操作，小范围改变初始位置和姿态，统一预测H16、执行K、物理时限及终止规则，评测SFT与普通PPO。旧JAX演示使用K16，新增RLinf预设使用K1且时限更短，必须先在同一协议重测SFT，避免把控制频率变化算作RL收益。</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阶段二加入少量对象选择或角色要求，先确认基座具有可用成功起点，再构建要求与布局的配对测试。仅单对象和固定指令不能支撑完整多模态条件控制结论。阶段三按前期结果加入规定时刻和幅度的物理扰动；当前适配只有初态采样，动态事件需新增并验证。</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对照包括原SFT、同预算新增受扰或纠正数据SFT、普通Flow-SDE PPO及拟方法，按需要增加DSRL或动作残差。评价固定训练与留出场景，记录任务SR、条件满足、全轨迹碰撞、终态精度、持握或恢复时长、交互数及训练推理成本。正式比较拟采用至少3个独立训练种子和相同测试初态，报告各种子结果与不确定性；具体测试规模先由吞吐预实验确定，不能把同一模型的多次rollout当独立训练重复。</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2.4 可行性与调整方案</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前期MICA方法与实验、RealMan仿真数据、π0.5训练检查点及RLinf组件接入提供了基础。主要剩余门槛是JAX到PyTorch权重恢复、完整变换及模型采样、RLinf内SFT闭环、PPO真实更新与资源测量。首先完成小批更新、保存、重载和新权重同步，再扩大并行环境，降低整套实验同时失效的排查成本。</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方法结论以证据决定：若缩短执行chunk即可解决主要失败，研究重点应转向闭环时序；若等成本监督学习表现相当，应明确RL收益边界；若新增条件机制相对普通PPO没有独立增益，应保留负结果并收窄机制主张。仿真增益需要另外的真机验证，不自动视为现实适应能力。</w:t>
            </w:r>
          </w:p>
        </w:tc>
      </w:tr>
    </w:tbl>
    <w:p>
      <w:pPr>
        <w:pStyle w:val="Normal"/>
        <w:keepNext w:val="1"/>
        <w:snapToGrid w:val="0"/>
        <w:rPr>
          <w:rFonts w:eastAsia="Noto Sans CJK SC" w:hint="eastAsia" w:ascii="Liberation Sans" w:hAnsi="Liberation Sans" w:cs="Liberation Sans"/>
          <w:sz w:val="24"/>
        </w:rPr>
      </w:pPr>
      <w:r>
        <w:rPr>
          <w:rFonts w:hint="eastAsia" w:eastAsia="Noto Sans CJK SC" w:ascii="Liberation Sans" w:hAnsi="Liberation Sans" w:cs="Liberation Sans"/>
          <w:sz w:val="24"/>
        </w:rPr>
        <w:t>四、研究基础</w:t>
      </w:r>
    </w:p>
    <w:tbl>
      <w:tblPr>
        <w:tblW w:w="9828" w:type="dxa"/>
        <w:jc w:val="center"/>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1. 所需实验手段、研究条件和实验条件</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前期已形成MICA-VLA投稿稿件。稿件报告单SO-100平台17个LACE实验室器皿任务，未见措辞平均SR为76.7%，基线为42.1%；两项角色互换平均SR为86.0%，基线为14.0%，并包含LIBERO-Para及组件比较。这些为既有稿件结果，原始统计与个人贡献仍需整理，不是本次复现实测或RealMan结果。</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后续平台已有RM65-B双臂灵巧手的RoboTwin接口与50条物理仿真专家轨迹，包含11,098个观测动作对、三路RGB和24维动作映射；已在π0.5上开展本体全参数SFT并保存8万步检查点。该数据是仿真专家数据，不是50条真机数据。当前六个训练原起点的真实模型仿真回测中存在抓持成功和失败，提供了初步执行与问题诊断证据，尚不能代表完整数据集SR或受扰泛化率。</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RLinf与RoboTwin的RealMan接口已完成代码接入、79项合同或组件测试通过，另有3项因依赖缺失跳过。单环境组件获得真实图像、状态与运动时钟，但没有加载策略或进行RL更新。后续需验模型转换、同协议策略闭环及强化学习参数变化。</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硬件资源记录包括8张RTX A6000、8张RTX3090及本机RTX5090的历史核验或使用证据。其当前分配、空闲程度及RL峰值显存须在实验前协调测量。真机平台为每臂六轴的RM65-B及双灵巧手；现场相机安装、内外参、TCP和控制通信须单独验收。拟使用空器皿或低危替代物开展初期真机动作验证，不将仿真接触模型视为已完成实机校准。</w:t>
            </w:r>
          </w:p>
          <w:p>
            <w:pPr>
              <w:pStyle w:val="Normal"/>
              <w:keepNext w:val="1"/>
              <w:keepLines w:val="0"/>
              <w:widowControl w:val="1"/>
              <w:wordWrap w:val="0"/>
              <w:snapToGrid w:val="0"/>
              <w:spacing w:before="40" w:after="40" w:line="336"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4"/>
                <w:szCs w:val="24"/>
              </w:rPr>
              <w:t>2. 所需经费、经费来源与开支预算</w:t>
            </w:r>
          </w:p>
          <w:p>
            <w:pPr>
              <w:pStyle w:val="Normal"/>
              <w:keepNext w:val="0"/>
              <w:keepLines w:val="0"/>
              <w:widowControl w:val="1"/>
              <w:wordWrap w:val="0"/>
              <w:snapToGrid w:val="0"/>
              <w:spacing w:before="0" w:after="20" w:line="336" w:lineRule="exact"/>
              <w:ind w:firstLine="0" w:firstLineChars="200"/>
              <w:jc w:val="both"/>
              <w:rPr>
                <w:rFonts w:eastAsia="Noto Sans CJK SC" w:hint="eastAsia" w:ascii="Liberation Sans" w:hAnsi="Liberation Sans" w:cs="Liberation Sans"/>
                <w:sz w:val="24"/>
              </w:rPr>
            </w:pPr>
            <w:r>
              <w:rPr>
                <w:rFonts w:ascii="Liberation Serif" w:hAnsi="Liberation Serif" w:eastAsia="Noto Serif CJK SC" w:cs="Liberation Serif"/>
                <w:color w:val="000000"/>
                <w:sz w:val="24"/>
                <w:szCs w:val="24"/>
              </w:rPr>
              <w:t>经费来源及科研项目编号待导师确认。已有机器人、相机和计算设备优先复用，新增预算主要围绕器皿、夹具标识、连接材料及必要的存储备份。下表为拟准备的预算项目，数量为初步需求，不是已购置或批准经费；单价及总额待库存核对和询价后填写。</w:t>
            </w:r>
          </w:p>
          <w:tbl>
            <w:tblPr>
              <w:tblW w:w="8600"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700"/>
              <w:gridCol w:w="900"/>
              <w:gridCol w:w="3300"/>
            </w:tblGrid>
            <w:tr>
              <w:trPr>
                <w:cantSplit/>
                <w:tblHeader/>
              </w:trPr>
              <w:tc>
                <w:tcPr>
                  <w:tcW w:w="1700" w:type="dxa"/>
                  <w:shd w:fill="F2F2F2" w:val="clear"/>
                  <w:tcMar>
                    <w:top w:w="90" w:type="dxa"/>
                    <w:bottom w:w="90" w:type="dxa"/>
                    <w:left w:w="90" w:type="dxa"/>
                    <w:right w:w="90" w:type="dxa"/>
                  </w:tcMar>
                  <w:vAlign w:val="center"/>
                </w:tcPr>
                <w:p>
                  <w:pPr>
                    <w:pStyle w:val="Normal"/>
                    <w:keepNext w:val="1"/>
                    <w:keepLines w:val="0"/>
                    <w:widowControl w:val="1"/>
                    <w:wordWrap w:val="0"/>
                    <w:snapToGrid w:val="0"/>
                    <w:spacing w:before="40" w:after="4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1"/>
                      <w:szCs w:val="21"/>
                    </w:rPr>
                    <w:t>名称</w:t>
                  </w:r>
                </w:p>
              </w:tc>
              <w:tc>
                <w:tcPr>
                  <w:tcW w:w="2700" w:type="dxa"/>
                  <w:shd w:fill="F2F2F2" w:val="clear"/>
                  <w:tcMar>
                    <w:top w:w="90" w:type="dxa"/>
                    <w:bottom w:w="90" w:type="dxa"/>
                    <w:left w:w="90" w:type="dxa"/>
                    <w:right w:w="90" w:type="dxa"/>
                  </w:tcMar>
                  <w:vAlign w:val="center"/>
                </w:tcPr>
                <w:p>
                  <w:pPr>
                    <w:pStyle w:val="Normal"/>
                    <w:keepNext w:val="1"/>
                    <w:keepLines w:val="0"/>
                    <w:widowControl w:val="1"/>
                    <w:wordWrap w:val="0"/>
                    <w:snapToGrid w:val="0"/>
                    <w:spacing w:before="40" w:after="4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1"/>
                      <w:szCs w:val="21"/>
                    </w:rPr>
                    <w:t>规格或用途</w:t>
                  </w:r>
                </w:p>
              </w:tc>
              <w:tc>
                <w:tcPr>
                  <w:tcW w:w="900" w:type="dxa"/>
                  <w:shd w:fill="F2F2F2" w:val="clear"/>
                  <w:tcMar>
                    <w:top w:w="90" w:type="dxa"/>
                    <w:bottom w:w="90" w:type="dxa"/>
                    <w:left w:w="90" w:type="dxa"/>
                    <w:right w:w="90" w:type="dxa"/>
                  </w:tcMar>
                  <w:vAlign w:val="center"/>
                </w:tcPr>
                <w:p>
                  <w:pPr>
                    <w:pStyle w:val="Normal"/>
                    <w:keepNext w:val="1"/>
                    <w:keepLines w:val="0"/>
                    <w:widowControl w:val="1"/>
                    <w:wordWrap w:val="0"/>
                    <w:snapToGrid w:val="0"/>
                    <w:spacing w:before="40" w:after="4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b/>
                      <w:color w:val="000000"/>
                      <w:sz w:val="21"/>
                      <w:szCs w:val="21"/>
                    </w:rPr>
                    <w:t>初步数量</w:t>
                  </w:r>
                </w:p>
              </w:tc>
              <w:tc>
                <w:tcPr>
                  <w:tcW w:w="3300" w:type="dxa"/>
                  <w:shd w:fill="F2F2F2" w:val="clear"/>
                  <w:tcMar>
                    <w:top w:w="90" w:type="dxa"/>
                    <w:bottom w:w="90" w:type="dxa"/>
                    <w:left w:w="90" w:type="dxa"/>
                    <w:right w:w="90" w:type="dxa"/>
                  </w:tcMar>
                  <w:vAlign w:val="center"/>
                </w:tcPr>
                <w:p>
                  <w:pPr>
                    <w:pStyle w:val="Normal"/>
                    <w:keepNext w:val="1"/>
                    <w:keepLines w:val="0"/>
                    <w:widowControl w:val="1"/>
                    <w:wordWrap w:val="0"/>
                    <w:snapToGrid w:val="0"/>
                    <w:spacing w:before="40" w:after="4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b/>
                      <w:color w:val="000000"/>
                      <w:sz w:val="21"/>
                      <w:szCs w:val="21"/>
                    </w:rPr>
                    <w:t>预算与来源</w:t>
                  </w:r>
                </w:p>
              </w:tc>
            </w:tr>
            <w:tr>
              <w:trPr>
                <w:cantSplit/>
              </w:trPr>
              <w:tc>
                <w:tcPr>
                  <w:tcW w:w="1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实验器皿套装</w:t>
                  </w:r>
                </w:p>
              </w:tc>
              <w:tc>
                <w:tcPr>
                  <w:tcW w:w="2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烧杯、量筒、试管及试管架，尺寸与任务匹配</w:t>
                  </w:r>
                </w:p>
              </w:tc>
              <w:tc>
                <w:tcPr>
                  <w:tcW w:w="9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1套</w:t>
                  </w:r>
                </w:p>
              </w:tc>
              <w:tc>
                <w:tcPr>
                  <w:tcW w:w="33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库存优先，缺件询价</w:t>
                  </w:r>
                </w:p>
              </w:tc>
            </w:tr>
            <w:tr>
              <w:trPr>
                <w:cantSplit/>
              </w:trPr>
              <w:tc>
                <w:tcPr>
                  <w:tcW w:w="1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场景夹具与标识</w:t>
                  </w:r>
                </w:p>
              </w:tc>
              <w:tc>
                <w:tcPr>
                  <w:tcW w:w="2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器皿固定、目标区域标识、标定辅助件</w:t>
                  </w:r>
                </w:p>
              </w:tc>
              <w:tc>
                <w:tcPr>
                  <w:tcW w:w="9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1批</w:t>
                  </w:r>
                </w:p>
              </w:tc>
              <w:tc>
                <w:tcPr>
                  <w:tcW w:w="33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待设计与询价</w:t>
                  </w:r>
                </w:p>
              </w:tc>
            </w:tr>
            <w:tr>
              <w:trPr>
                <w:cantSplit/>
              </w:trPr>
              <w:tc>
                <w:tcPr>
                  <w:tcW w:w="1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控制与相机连接材料</w:t>
                  </w:r>
                </w:p>
              </w:tc>
              <w:tc>
                <w:tcPr>
                  <w:tcW w:w="2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数据线、支架及固定材料</w:t>
                  </w:r>
                </w:p>
              </w:tc>
              <w:tc>
                <w:tcPr>
                  <w:tcW w:w="9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1批</w:t>
                  </w:r>
                </w:p>
              </w:tc>
              <w:tc>
                <w:tcPr>
                  <w:tcW w:w="33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先核已有配置</w:t>
                  </w:r>
                </w:p>
              </w:tc>
            </w:tr>
            <w:tr>
              <w:trPr>
                <w:cantSplit/>
              </w:trPr>
              <w:tc>
                <w:tcPr>
                  <w:tcW w:w="1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数据备份介质</w:t>
                  </w:r>
                </w:p>
              </w:tc>
              <w:tc>
                <w:tcPr>
                  <w:tcW w:w="2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容量按轨迹、视频及检查点预算</w:t>
                  </w:r>
                </w:p>
              </w:tc>
              <w:tc>
                <w:tcPr>
                  <w:tcW w:w="9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按需</w:t>
                  </w:r>
                </w:p>
              </w:tc>
              <w:tc>
                <w:tcPr>
                  <w:tcW w:w="33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待核共享存储与采购需求</w:t>
                  </w:r>
                </w:p>
              </w:tc>
            </w:tr>
            <w:tr>
              <w:trPr>
                <w:cantSplit/>
              </w:trPr>
              <w:tc>
                <w:tcPr>
                  <w:tcW w:w="1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计算资源费用</w:t>
                  </w:r>
                </w:p>
              </w:tc>
              <w:tc>
                <w:tcPr>
                  <w:tcW w:w="27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已有GPU，排程与核算待确认</w:t>
                  </w:r>
                </w:p>
              </w:tc>
              <w:tc>
                <w:tcPr>
                  <w:tcW w:w="9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按需</w:t>
                  </w:r>
                </w:p>
              </w:tc>
              <w:tc>
                <w:tcPr>
                  <w:tcW w:w="3300" w:type="dxa"/>
                  <w:tcMar>
                    <w:top w:w="90" w:type="dxa"/>
                    <w:bottom w:w="90" w:type="dxa"/>
                    <w:left w:w="90" w:type="dxa"/>
                    <w:right w:w="90" w:type="dxa"/>
                  </w:tcMar>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待确认是否计费</w:t>
                  </w:r>
                </w:p>
              </w:tc>
            </w:tr>
          </w:tbl>
          <w:p>
            <w:pPr>
              <w:pStyle w:val="Normal"/>
              <w:keepNext w:val="0"/>
              <w:keepLines w:val="0"/>
              <w:widowControl w:val="1"/>
              <w:wordWrap w:val="0"/>
              <w:spacing w:before="0" w:after="20" w:line="90"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6"/>
                <w:szCs w:val="6"/>
              </w:rPr>
              <w:t/>
            </w:r>
          </w:p>
        </w:tc>
      </w:tr>
    </w:tbl>
    <w:p>
      <w:pPr>
        <w:pStyle w:val="Normal"/>
        <w:keepNext w:val="1"/>
        <w:snapToGrid w:val="0"/>
        <w:rPr>
          <w:rFonts w:eastAsia="Noto Sans CJK SC" w:hint="eastAsia" w:ascii="Liberation Sans" w:hAnsi="Liberation Sans" w:cs="Liberation Sans"/>
          <w:sz w:val="24"/>
        </w:rPr>
      </w:pPr>
      <w:r>
        <w:rPr>
          <w:rFonts w:hint="eastAsia" w:eastAsia="Noto Sans CJK SC" w:ascii="Liberation Sans" w:hAnsi="Liberation Sans" w:cs="Liberation Sans"/>
          <w:sz w:val="24"/>
        </w:rPr>
        <w:t>五、工作计划</w:t>
      </w:r>
    </w:p>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计划以开题通过日T0为起点，12个月与960小时均为初步估计，实际日期和投入待本人及导师审定。</w:t>
      </w:r>
    </w:p>
    <w:tbl>
      <w:tblPr>
        <w:tblW w:w="9845" w:type="dxa"/>
        <w:jc w:val="center"/>
        <w:tblInd w:w="0" w:type="dxa"/>
        <w:tblLayout w:type="fixed"/>
        <w:tblCellMar>
          <w:top w:w="0" w:type="dxa"/>
          <w:start w:w="108" w:type="dxa"/>
          <w:bottom w:w="0" w:type="dxa"/>
          <w:end w:w="108" w:type="dxa"/>
        </w:tblCellMar>
      </w:tblPr>
      <w:tblGrid>
        <w:gridCol w:w="748"/>
        <w:gridCol w:w="3743"/>
        <w:gridCol w:w="849"/>
        <w:gridCol w:w="1231"/>
        <w:gridCol w:w="1304"/>
        <w:gridCol w:w="1970"/>
      </w:tblGrid>
      <w:tr>
        <w:trPr>
          <w:tblHeader/>
        </w:trPr>
        <w:tc>
          <w:tcPr>
            <w:tcW w:w="748" w:type="dxa"/>
            <w:tcBorders>
              <w:top w:val="single" w:sz="12" w:space="0" w:color="000000"/>
              <w:start w:val="single" w:sz="12" w:space="0" w:color="000000"/>
              <w:bottom w:val="single" w:sz="4" w:space="0" w:color="000000"/>
              <w:end w:val="single" w:sz="4" w:space="0" w:color="000000"/>
            </w:tcBorders>
            <w:vAlign w:val="center"/>
          </w:tcPr>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序号</w:t>
            </w:r>
          </w:p>
        </w:tc>
        <w:tc>
          <w:tcPr>
            <w:tcW w:w="3743" w:type="dxa"/>
            <w:tcBorders>
              <w:top w:val="single" w:sz="12" w:space="0" w:color="000000"/>
              <w:start w:val="single" w:sz="4" w:space="0" w:color="000000"/>
              <w:bottom w:val="single" w:sz="4" w:space="0" w:color="000000"/>
              <w:end w:val="single" w:sz="4" w:space="0" w:color="000000"/>
            </w:tcBorders>
            <w:vAlign w:val="center"/>
          </w:tcPr>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阶段及内容</w:t>
            </w:r>
          </w:p>
        </w:tc>
        <w:tc>
          <w:tcPr>
            <w:tcW w:w="2080" w:type="dxa"/>
            <w:gridSpan w:val="2"/>
            <w:tcBorders>
              <w:top w:val="single" w:sz="12" w:space="0" w:color="000000"/>
              <w:start w:val="single" w:sz="4" w:space="0" w:color="000000"/>
              <w:bottom w:val="single" w:sz="4" w:space="0" w:color="000000"/>
              <w:end w:val="single" w:sz="4" w:space="0" w:color="000000"/>
            </w:tcBorders>
            <w:vAlign w:val="center"/>
          </w:tcPr>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工作量估计</w:t>
            </w:r>
          </w:p>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（时数）</w:t>
            </w:r>
          </w:p>
        </w:tc>
        <w:tc>
          <w:tcPr>
            <w:tcW w:w="1304" w:type="dxa"/>
            <w:tcBorders>
              <w:top w:val="single" w:sz="12" w:space="0" w:color="000000"/>
              <w:start w:val="single" w:sz="4" w:space="0" w:color="000000"/>
              <w:bottom w:val="single" w:sz="4" w:space="0" w:color="000000"/>
              <w:end w:val="single" w:sz="4" w:space="0" w:color="000000"/>
            </w:tcBorders>
            <w:vAlign w:val="center"/>
          </w:tcPr>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起止日期</w:t>
            </w:r>
          </w:p>
        </w:tc>
        <w:tc>
          <w:tcPr>
            <w:tcW w:w="1970" w:type="dxa"/>
            <w:tcBorders>
              <w:top w:val="single" w:sz="12" w:space="0" w:color="000000"/>
              <w:start w:val="single" w:sz="4" w:space="0" w:color="000000"/>
              <w:bottom w:val="single" w:sz="4" w:space="0" w:color="000000"/>
              <w:end w:val="single" w:sz="12" w:space="0" w:color="000000"/>
            </w:tcBorders>
            <w:vAlign w:val="center"/>
          </w:tcPr>
          <w:p>
            <w:pPr>
              <w:pStyle w:val="Normal"/>
              <w:snapToGrid w:val="0"/>
              <w:jc w:val="center"/>
              <w:rPr>
                <w:rFonts w:eastAsia="Noto Sans CJK SC" w:hint="eastAsia" w:ascii="Liberation Sans" w:hAnsi="Liberation Sans" w:cs="Liberation Sans"/>
              </w:rPr>
            </w:pPr>
            <w:r>
              <w:rPr>
                <w:rFonts w:hint="eastAsia" w:eastAsia="Noto Sans CJK SC" w:ascii="Liberation Sans" w:hAnsi="Liberation Sans" w:cs="Liberation Sans"/>
              </w:rPr>
              <w:t>阶段成果形式</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文献、MICA与数据证据整理，固定任务及评价协议</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100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T0至第1个月末</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文献矩阵、前期方法章、基线协议</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2</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模型转换、RLinf策略闭环与小批PPO更新验收</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160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第2至第3个月</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可复现闭环、资源与回报校验记录</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3</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标准与受扰SFT/PPO基线，条件利用诊断</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160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第4至第5个月</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留出评测、失败分类、问题收窄</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4</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拟方法设计、实现、模块及成本消融</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220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第6至第8个月</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方法实现、对照与消融结果</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5</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选定器皿任务真机适配与应用验证</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140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第9至第10个月</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实机校准记录、任务验证与边界</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6</w:t>
            </w:r>
          </w:p>
        </w:tc>
        <w:tc>
          <w:tcPr>
            <w:tcW w:w="3743"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结果复核、学位论文写作与答辩材料整理</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180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第11至第12个月</w:t>
            </w:r>
          </w:p>
        </w:tc>
        <w:tc>
          <w:tcPr>
            <w:tcW w:w="1970" w:type="dxa"/>
            <w:vAlign w:val="center"/>
          </w:tcPr>
          <w:p>
            <w:pPr>
              <w:pStyle w:val="Normal"/>
              <w:keepNext w:val="0"/>
              <w:keepLines w:val="0"/>
              <w:widowControl w:val="1"/>
              <w:wordWrap w:val="0"/>
              <w:snapToGrid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学位论文、图表、答辩材料</w:t>
            </w:r>
          </w:p>
        </w:tc>
      </w:tr>
      <w:tr>
        <w:trPr>
          <w:cantSplit/>
        </w:trPr>
        <w:tc>
          <w:tcPr>
            <w:tcW w:w="748"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合计</w:t>
            </w:r>
          </w:p>
        </w:tc>
        <w:tc>
          <w:tcPr>
            <w:tcW w:w="3743" w:type="dxa"/>
            <w:vAlign w:val="center"/>
          </w:tcPr>
          <w:p>
            <w:pPr>
              <w:pStyle w:val="Normal"/>
              <w:keepNext w:val="0"/>
              <w:keepLines w:val="0"/>
              <w:widowControl w:val="1"/>
              <w:wordWrap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
            </w:r>
          </w:p>
        </w:tc>
        <w:tc>
          <w:tcPr>
            <w:tcW w:w="2080" w:type="dxa"/>
            <w:gridSpan w:val="2"/>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960</w:t>
            </w:r>
          </w:p>
        </w:tc>
        <w:tc>
          <w:tcPr>
            <w:tcW w:w="1304" w:type="dxa"/>
            <w:vAlign w:val="center"/>
          </w:tcPr>
          <w:p>
            <w:pPr>
              <w:pStyle w:val="Normal"/>
              <w:keepNext w:val="0"/>
              <w:keepLines w:val="0"/>
              <w:widowControl w:val="1"/>
              <w:wordWrap w:val="0"/>
              <w:snapToGrid w:val="0"/>
              <w:spacing w:before="0" w:after="20" w:line="315" w:lineRule="exact"/>
              <w:ind w:firstLine="0" w:firstLineChars="0"/>
              <w:jc w:val="center"/>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具体年月日待填写</w:t>
            </w:r>
          </w:p>
        </w:tc>
        <w:tc>
          <w:tcPr>
            <w:tcW w:w="1970" w:type="dxa"/>
            <w:vAlign w:val="center"/>
          </w:tcPr>
          <w:p>
            <w:pPr>
              <w:pStyle w:val="Normal"/>
              <w:keepNext w:val="0"/>
              <w:keepLines w:val="0"/>
              <w:widowControl w:val="1"/>
              <w:wordWrap w:val="0"/>
              <w:spacing w:before="0" w:after="20" w:line="315" w:lineRule="exact"/>
              <w:ind w:firstLine="0" w:firstLineChars="0"/>
              <w:jc w:val="left"/>
              <w:rPr>
                <w:rFonts w:eastAsia="Noto Sans CJK SC" w:hint="eastAsia" w:ascii="Liberation Sans" w:hAnsi="Liberation Sans" w:cs="Liberation Sans"/>
                <w:sz w:val="24"/>
              </w:rPr>
            </w:pPr>
            <w:r>
              <w:rPr>
                <w:rFonts w:ascii="Liberation Serif" w:hAnsi="Liberation Serif" w:eastAsia="Noto Serif CJK SC" w:cs="Liberation Serif"/>
                <w:color w:val="000000"/>
                <w:sz w:val="21"/>
                <w:szCs w:val="21"/>
              </w:rPr>
              <w:t/>
            </w:r>
          </w:p>
        </w:tc>
      </w:tr>
      <w:tr>
        <w:trPr>
          <w:cantSplit/>
        </w:trPr>
        <w:tc>
          <w:tcPr>
            <w:tcW w:w="9845" w:type="dxa"/>
            <w:gridSpan w:val="6"/>
            <w:tcBorders>
              <w:top w:val="single" w:sz="4" w:space="0" w:color="000000"/>
              <w:start w:val="single" w:sz="12" w:space="0" w:color="000000"/>
              <w:bottom w:val="single" w:sz="12" w:space="0" w:color="000000"/>
              <w:end w:val="single" w:sz="12" w:space="0" w:color="000000"/>
            </w:tcBorders>
          </w:tcPr>
          <w:p>
            <w:pPr>
              <w:pStyle w:val="Normal"/>
              <w:snapToGrid w:val="false"/>
              <w:rPr>
                <w:rFonts w:eastAsia="Noto Sans CJK SC" w:hint="eastAsia" w:ascii="Liberation Sans" w:hAnsi="Liberation Sans" w:cs="Liberation Sans"/>
                <w:sz w:val="24"/>
              </w:rPr>
            </w:pPr>
            <w:r>
              <w:rPr>
                <w:rFonts w:eastAsia="Noto Sans CJK SC" w:hint="eastAsia" w:ascii="Liberation Sans" w:hAnsi="Liberation Sans" w:cs="Liberation Sans"/>
                <w:sz w:val="24"/>
              </w:rPr>
            </w:r>
          </w:p>
          <w:p>
            <w:pPr>
              <w:pStyle w:val="Normal"/>
              <w:snapToGrid w:val="0"/>
              <w:ind w:firstLineChars="100" w:startChars="0" w:start="0" w:endChars="0" w:end="0"/>
              <w:rPr>
                <w:rFonts w:eastAsia="Noto Sans CJK SC" w:hint="eastAsia" w:ascii="Liberation Sans" w:hAnsi="Liberation Sans" w:cs="Liberation Sans"/>
                <w:sz w:val="24"/>
              </w:rPr>
            </w:pPr>
            <w:r>
              <w:rPr>
                <w:rFonts w:hint="eastAsia" w:eastAsia="Noto Sans CJK SC" w:ascii="Liberation Sans" w:hAnsi="Liberation Sans" w:cs="Liberation Sans"/>
                <w:sz w:val="24"/>
              </w:rPr>
              <w:t>本人签字：                            年   月   日</w:t>
            </w:r>
          </w:p>
        </w:tc>
      </w:tr>
    </w:tbl>
    <w:sectPr>
      <w:footerReference w:type="default" r:id="rId5"/>
      <w:footerReference w:type="first" r:id="rId6"/>
      <w:type w:val="nextPage"/>
      <w:pgSz w:w="11906" w:h="16838"/>
      <w:pgMar w:left="1134" w:right="1134" w:gutter="0" w:header="0" w:top="1418" w:footer="992" w:bottom="1191"/>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Noto Serif CJK SC">
    <w:charset w:val="01"/>
    <w:family w:val="roman"/>
    <w:pitch w:val="variable"/>
  </w:font>
  <w:font w:name="Noto Sans CJK SC">
    <w:charset w:val="01"/>
    <w:family w:val="swiss"/>
    <w:pitch w:val="variable"/>
  </w:font>
  <w:font w:name="Liberation Serif">
    <w:charset w:val="01"/>
    <w:family w:val="roman"/>
    <w:pitch w:val="variable"/>
  </w:font>
  <w:font w:name="Liberation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2" name="Frame1"/>
              <a:graphic xmlns:a="http://schemas.openxmlformats.org/drawingml/2006/main">
                <a:graphicData uri="http://schemas.microsoft.com/office/word/2010/wordprocessingShape">
                  <wps:wsp>
                    <wps:cNvSpPr txBox="1"/>
                    <wps:spPr>
                      <a:xfrm>
                        <a:off x="0" y="0"/>
                        <a:ext cx="229235" cy="153670"/>
                      </a:xfrm>
                      <a:prstGeom prst="rect"/>
                      <a:solidFill>
                        <a:srgbClr val="FFFFFF">
                          <a:alpha val="0"/>
                        </a:srgbClr>
                      </a:solidFill>
                    </wps:spPr>
                    <wps:txbx>
                      <w:txbxContent>
                        <w:p>
                          <w:pPr>
                            <w:pStyle w:val="Footer"/>
                            <w:rPr>
                              <w:rStyle w:val="PageNumber"/>
                              <w:sz w:val="21"/>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w:t>
                          </w:r>
                          <w:r>
                            <w:rPr>
                              <w:rStyle w:val="PageNumber"/>
                              <w:sz w:val="21"/>
                            </w:rPr>
                            <w:fldChar w:fldCharType="end"/>
                          </w:r>
                        </w:p>
                      </w:txbxContent>
                    </wps:txbx>
                    <wps:bodyPr anchor="t" lIns="0" tIns="0" rIns="0" bIns="0">
                      <a:noAutofit/>
                    </wps:bodyPr>
                  </wps:wsp>
                </a:graphicData>
              </a:graphic>
            </wp:anchor>
          </w:drawing>
        </mc:Choice>
        <mc:Fallback>
          <w:pict>
            <v:rect fillcolor="#FFFFFF" style="position:absolute;rotation:-0;width:18.05pt;height:12.1pt;mso-wrap-distance-left:0pt;mso-wrap-distance-right:0pt;mso-wrap-distance-top:0pt;mso-wrap-distance-bottom:0pt;margin-top:-0.9pt;mso-position-vertical:center;mso-position-vertical-relative:text;margin-left:306.05pt;mso-position-horizontal-relative:page">
              <v:fill opacity="0f"/>
              <v:textbox inset="0in,0in,0in,0in">
                <w:txbxContent>
                  <w:p>
                    <w:pPr>
                      <w:pStyle w:val="Footer"/>
                      <w:rPr>
                        <w:rStyle w:val="PageNumber"/>
                        <w:sz w:val="21"/>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w:t>
                    </w:r>
                    <w:r>
                      <w:rPr>
                        <w:rStyle w:val="PageNumber"/>
                        <w:sz w:val="21"/>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3" name="Frame2"/>
              <a:graphic xmlns:a="http://schemas.openxmlformats.org/drawingml/2006/main">
                <a:graphicData uri="http://schemas.microsoft.com/office/word/2010/wordprocessingShape">
                  <wps:wsp>
                    <wps:cNvSpPr txBox="1"/>
                    <wps:spPr>
                      <a:xfrm>
                        <a:off x="0" y="0"/>
                        <a:ext cx="229235" cy="153670"/>
                      </a:xfrm>
                      <a:prstGeom prst="rect"/>
                      <a:solidFill>
                        <a:srgbClr val="FFFFFF">
                          <a:alpha val="0"/>
                        </a:srgbClr>
                      </a:solidFill>
                    </wps:spPr>
                    <wps:txbx>
                      <w:txbxContent>
                        <w:p>
                          <w:pPr>
                            <w:pStyle w:val="Footer"/>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10</w:t>
                          </w:r>
                          <w:r>
                            <w:rPr>
                              <w:rStyle w:val="PageNumber"/>
                              <w:sz w:val="21"/>
                            </w:rPr>
                            <w:fldChar w:fldCharType="end"/>
                          </w:r>
                        </w:p>
                      </w:txbxContent>
                    </wps:txbx>
                    <wps:bodyPr anchor="t" lIns="0" tIns="0" rIns="0" bIns="0">
                      <a:noAutofit/>
                    </wps:bodyPr>
                  </wps:wsp>
                </a:graphicData>
              </a:graphic>
            </wp:anchor>
          </w:drawing>
        </mc:Choice>
        <mc:Fallback>
          <w:pict>
            <v:rect fillcolor="#FFFFFF" style="position:absolute;rotation:-0;width:18.05pt;height:12.1pt;mso-wrap-distance-left:0pt;mso-wrap-distance-right:0pt;mso-wrap-distance-top:0pt;mso-wrap-distance-bottom:0pt;margin-top:-0.9pt;mso-position-vertical:center;mso-position-vertical-relative:text;margin-left:306.05pt;mso-position-horizontal-relative:page">
              <v:fill opacity="0f"/>
              <v:textbox inset="0in,0in,0in,0in">
                <w:txbxContent>
                  <w:p>
                    <w:pPr>
                      <w:pStyle w:val="Footer"/>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10</w:t>
                    </w:r>
                    <w:r>
                      <w:rPr>
                        <w:rStyle w:val="PageNumber"/>
                        <w:sz w:val="21"/>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oto Sans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Liberation Serif" w:hAnsi="Liberation Serif" w:eastAsia="Noto Serif CJK SC" w:cs="Liberation Serif"/>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jc w:val="center"/>
    </w:pPr>
    <w:rPr>
      <w:sz w:val="36"/>
    </w:rPr>
  </w:style>
  <w:style w:type="paragraph" w:styleId="List">
    <w:name w:val="List"/>
    <w:basedOn w:val="BodyText"/>
    <w:pPr/>
    <w:rPr>
      <w:rFonts w:cs="Liberation Sans" w:ascii="Liberation Sans" w:hAnsi="Liberation Sans" w:eastAsia="Noto Sans CJK SC"/>
    </w:rPr>
  </w:style>
  <w:style w:type="paragraph" w:styleId="Caption">
    <w:name w:val="caption"/>
    <w:basedOn w:val="Normal"/>
    <w:qFormat/>
    <w:pPr>
      <w:suppressLineNumbers/>
      <w:spacing w:before="120" w:after="120"/>
    </w:pPr>
    <w:rPr>
      <w:rFonts w:cs="Liberation Sans" w:ascii="Liberation Sans" w:hAnsi="Liberation Sans" w:eastAsia="Noto Sans CJK SC"/>
      <w:i/>
      <w:iCs/>
      <w:sz w:val="24"/>
      <w:szCs w:val="24"/>
    </w:rPr>
  </w:style>
  <w:style w:type="paragraph" w:styleId="Index">
    <w:name w:val="Index"/>
    <w:basedOn w:val="Normal"/>
    <w:qFormat/>
    <w:pPr>
      <w:suppressLineNumbers/>
    </w:pPr>
    <w:rPr>
      <w:rFonts w:cs="Liberation Sans" w:ascii="Liberation Sans" w:hAnsi="Liberation Sans" w:eastAsia="Noto Sans CJK SC"/>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Title">
    <w:name w:val="Title"/>
    <w:basedOn w:val="BodyText"/>
    <w:rPr>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2004-11-22T09:36:00Z</dcterms:created>
  <dc:creator>vip</dc:creator>
  <dc:description/>
  <dc:language>en-US</dc:language>
  <cp:lastModifiedBy>白菜花开</cp:lastModifiedBy>
  <cp:lastPrinted>2004-11-22T09:24:00Z</cp:lastPrinted>
  <dcterms:modified xsi:type="dcterms:W3CDTF">2026-03-11T15:32:46Z</dcterms:modified>
  <cp:revision>7</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BFC0F8820E4B495C9E297E8C5DF6B378_12</vt:lpwstr>
  </property>
  <property fmtid="{D5CDD505-2E9C-101B-9397-08002B2CF9AE}" pid="3" name="KSOProductBuildVer">
    <vt:lpwstr>2052-12.1.0.25225</vt:lpwstr>
  </property>
  <property fmtid="{D5CDD505-2E9C-101B-9397-08002B2CF9AE}" pid="4" name="KSOTemplateDocerSaveRecord">
    <vt:lpwstr>eyJoZGlkIjoiM2QwMzdmMmU5MDc0OTQ5MWQ5MGMyNDFiYzViZjgyOGMiLCJ1c2VySWQiOiIxMTQ1NzA0ODAyIn0=</vt:lpwstr>
  </property>
</Properties>
</file>