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eastAsia="黑体" w:hint="eastAsia"/>
        </w:rPr>
        <w:spacing w:line="520" w:lineRule="exact" w:before="0" w:after="0"/>
        <w:jc w:val="right"/>
      </w:pPr>
      <w:r>
        <w:rPr>
          <w:rFonts w:eastAsia="黑体" w:hint="eastAsia"/>
        </w:rPr>
        <w:t>学号：待填写</w:t>
      </w:r>
    </w:p>
    <w:p>
      <w:pPr>
        <w:pStyle w:val="BodyText"/>
        <w:rPr>
          <w:rFonts w:ascii="华文新魏" w:hAnsi="华文新魏" w:eastAsia="宋体" w:hint="eastAsia"/>
          <w:sz w:val="84"/>
          <w:szCs w:val="84"/>
        </w:rPr>
      </w:pPr>
      <w:r>
        <w:rPr/>
        <w:br/>
      </w:r>
      <w:r>
        <w:rPr>
          <w:rFonts w:eastAsia="宋体" w:hint="eastAsia" w:ascii="华文新魏" w:hAnsi="华文新魏"/>
          <w:sz w:val="84"/>
          <w:szCs w:val="84"/>
        </w:rPr>
        <w:drawing>
          <wp:inline distT="0" distB="0" distL="0" distR="0">
            <wp:extent cx="2366645" cy="1061085"/>
            <wp:effectExtent l="0" t="0" r="0" b="0"/>
            <wp:docPr id="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pic:cNvPicPr>
                      <a:picLocks noChangeAspect="1" noChangeArrowheads="1"/>
                    </pic:cNvPicPr>
                  </pic:nvPicPr>
                  <pic:blipFill>
                    <a:blip r:embed="rId2"/>
                    <a:srcRect l="32268" t="8388" r="2027" b="55324"/>
                    <a:stretch>
                      <a:fillRect/>
                    </a:stretch>
                  </pic:blipFill>
                  <pic:spPr bwMode="auto">
                    <a:xfrm>
                      <a:off x="0" y="0"/>
                      <a:ext cx="2366645" cy="1061085"/>
                    </a:xfrm>
                    <a:prstGeom prst="rect">
                      <a:avLst/>
                    </a:prstGeom>
                    <a:noFill/>
                  </pic:spPr>
                </pic:pic>
              </a:graphicData>
            </a:graphic>
          </wp:inline>
        </w:drawing>
      </w:r>
    </w:p>
    <w:p>
      <w:pPr>
        <w:pStyle w:val="Title"/>
        <w:rPr>
          <w:rFonts w:ascii="黑体" w:hAnsi="黑体" w:eastAsia="黑体" w:hint="eastAsia"/>
          <w:sz w:val="44"/>
          <w:szCs w:val="44"/>
        </w:rPr>
      </w:pPr>
      <w:r>
        <w:rPr>
          <w:rFonts w:ascii="黑体" w:hAnsi="黑体" w:hint="eastAsia" w:eastAsia="黑体"/>
          <w:sz w:val="44"/>
          <w:szCs w:val="44"/>
        </w:rPr>
        <w:t>硕士学位论文或实践成果开题报告</w:t>
      </w:r>
    </w:p>
    <w:p>
      <w:pPr>
        <w:pStyle w:val="Normal"/>
        <w:keepNext w:val="false"/>
        <w:keepLines w:val="false"/>
        <w:pageBreakBefore w:val="false"/>
        <w:widowControl w:val="false"/>
        <w:tabs>
          <w:tab w:val="clear" w:pos="420"/>
          <w:tab w:val="left" w:pos="2340" w:leader="none"/>
          <w:tab w:val="left" w:pos="5940" w:leader="none"/>
        </w:tabs>
        <w:kinsoku w:val="true"/>
        <w:overflowPunct w:val="true"/>
        <w:autoSpaceDE w:val="true"/>
        <w:bidi w:val="0"/>
        <w:snapToGrid w:val="false"/>
        <w:spacing w:lineRule="exact" w:line="520" w:before="0" w:after="0"/>
        <w:ind w:firstLineChars="300" w:startChars="0" w:start="0" w:endChars="0" w:end="0" w:firstLine="0"/>
        <w:jc w:val="start"/>
        <w:textAlignment w:val="auto"/>
        <w:rPr>
          <w:rFonts w:ascii="仿宋_GB2312" w:hAnsi="仿宋_GB2312" w:eastAsia="仿宋_GB2312" w:cs="仿宋_GB2312" w:hint="eastAsia"/>
          <w:b/>
          <w:sz w:val="32"/>
          <w:szCs w:val="32"/>
        </w:rPr>
      </w:pPr>
      <w:r>
        <w:rPr>
          <w:rFonts w:ascii="仿宋_GB2312" w:hAnsi="仿宋_GB2312" w:cs="仿宋_GB2312" w:hint="eastAsia" w:eastAsia="仿宋_GB2312"/>
          <w:b/>
          <w:sz w:val="28"/>
          <w:szCs w:val="32"/>
        </w:rPr>
        <w:t>论文或实践成果题目：</w:t>
        <w:br/>
        <w:t>面向实验室操作的视觉语言动作模型多模态条件控制与场景适应方法研究</w:t>
      </w:r>
    </w:p>
    <w:p>
      <w:pPr>
        <w:pStyle w:val="Normal"/>
        <w:keepNext w:val="false"/>
        <w:keepLines w:val="false"/>
        <w:pageBreakBefore w:val="false"/>
        <w:widowControl w:val="false"/>
        <w:tabs>
          <w:tab w:val="clear" w:pos="420"/>
          <w:tab w:val="left" w:pos="2340" w:leader="none"/>
          <w:tab w:val="left" w:pos="5940" w:leader="none"/>
        </w:tabs>
        <w:kinsoku w:val="true"/>
        <w:overflowPunct w:val="true"/>
        <w:autoSpaceDE w:val="true"/>
        <w:bidi w:val="0"/>
        <w:snapToGrid w:val="false"/>
        <w:spacing w:lineRule="exact" w:line="520" w:before="0" w:after="0"/>
        <w:ind w:firstLineChars="500" w:startChars="0" w:start="0" w:endChars="0" w:end="0"/>
        <w:jc w:val="start"/>
        <w:textAlignment w:val="auto"/>
        <w:rPr>
          <w:rFonts w:ascii="仿宋_GB2312" w:hAnsi="仿宋_GB2312" w:eastAsia="仿宋_GB2312" w:cs="仿宋_GB2312" w:hint="eastAsia"/>
          <w:b/>
          <w:sz w:val="32"/>
          <w:u w:val="single"/>
        </w:rPr>
      </w:pPr>
      <w:r>
        <w:rPr>
          <w:rFonts w:ascii="仿宋_GB2312" w:hAnsi="仿宋_GB2312" w:cs="仿宋_GB2312" w:hint="eastAsia" w:eastAsia="仿宋_GB2312"/>
          <w:b/>
          <w:sz w:val="32"/>
        </w:rPr>
        <w:t>学 生 姓 名：待填写</w:t>
      </w:r>
    </w:p>
    <w:p>
      <w:pPr>
        <w:pStyle w:val="Normal"/>
        <w:keepNext w:val="false"/>
        <w:keepLines w:val="false"/>
        <w:pageBreakBefore w:val="false"/>
        <w:widowControl w:val="false"/>
        <w:tabs>
          <w:tab w:val="clear" w:pos="420"/>
          <w:tab w:val="left" w:pos="2340" w:leader="none"/>
          <w:tab w:val="left" w:pos="5940" w:leader="none"/>
        </w:tabs>
        <w:kinsoku w:val="true"/>
        <w:overflowPunct w:val="true"/>
        <w:autoSpaceDE w:val="true"/>
        <w:bidi w:val="0"/>
        <w:snapToGrid w:val="false"/>
        <w:spacing w:lineRule="exact" w:line="520" w:before="0" w:after="0"/>
        <w:ind w:firstLineChars="0" w:firstLine="0" w:startChars="760" w:endChars="0" w:end="0"/>
        <w:jc w:val="start"/>
        <w:textAlignment w:val="auto"/>
        <w:rPr>
          <w:rFonts w:ascii="仿宋_GB2312" w:hAnsi="仿宋_GB2312" w:eastAsia="仿宋_GB2312" w:cs="仿宋_GB2312"/>
          <w:b/>
          <w:sz w:val="32"/>
          <w:u w:val="none"/>
        </w:rPr>
      </w:pPr>
      <w:r>
        <w:rPr>
          <w:rFonts w:ascii="仿宋_GB2312" w:hAnsi="仿宋_GB2312" w:cs="仿宋_GB2312" w:hint="eastAsia" w:eastAsia="仿宋_GB2312"/>
          <w:b/>
          <w:sz w:val="32"/>
          <w:u w:val="none"/>
        </w:rPr>
        <w:t>导 师 姓 名：待填写</w:t>
        <w:br/>
        <w:t>副导师姓名：待填写</w:t>
      </w:r>
    </w:p>
    <w:p>
      <w:pPr>
        <w:pStyle w:val="Normal"/>
        <w:keepNext w:val="false"/>
        <w:keepLines w:val="false"/>
        <w:pageBreakBefore w:val="false"/>
        <w:widowControl w:val="false"/>
        <w:tabs>
          <w:tab w:val="clear" w:pos="420"/>
          <w:tab w:val="left" w:pos="2340" w:leader="none"/>
          <w:tab w:val="left" w:pos="5940" w:leader="none"/>
        </w:tabs>
        <w:kinsoku w:val="true"/>
        <w:overflowPunct w:val="true"/>
        <w:autoSpaceDE w:val="true"/>
        <w:bidi w:val="0"/>
        <w:snapToGrid w:val="false"/>
        <w:spacing w:lineRule="exact" w:line="520" w:before="0" w:after="0"/>
        <w:ind w:firstLineChars="500" w:startChars="0" w:start="0" w:endChars="0" w:end="0"/>
        <w:jc w:val="start"/>
        <w:textAlignment w:val="auto"/>
        <w:rPr>
          <w:rFonts w:ascii="仿宋_GB2312" w:hAnsi="仿宋_GB2312" w:eastAsia="仿宋_GB2312" w:cs="仿宋_GB2312" w:hint="eastAsia"/>
          <w:b/>
          <w:sz w:val="32"/>
        </w:rPr>
      </w:pPr>
      <w:r>
        <w:rPr>
          <w:rFonts w:ascii="仿宋_GB2312" w:hAnsi="仿宋_GB2312" w:cs="仿宋_GB2312" w:hint="eastAsia" w:eastAsia="仿宋_GB2312"/>
          <w:b/>
          <w:sz w:val="32"/>
        </w:rPr>
        <w:t>所属学科/类别名称：待填写</w:t>
      </w:r>
    </w:p>
    <w:p>
      <w:pPr>
        <w:pStyle w:val="Normal"/>
        <w:keepNext w:val="false"/>
        <w:keepLines w:val="false"/>
        <w:pageBreakBefore w:val="false"/>
        <w:widowControl w:val="false"/>
        <w:tabs>
          <w:tab w:val="clear" w:pos="420"/>
          <w:tab w:val="left" w:pos="2340" w:leader="none"/>
          <w:tab w:val="left" w:pos="5940" w:leader="none"/>
        </w:tabs>
        <w:kinsoku w:val="true"/>
        <w:overflowPunct w:val="true"/>
        <w:autoSpaceDE w:val="true"/>
        <w:bidi w:val="0"/>
        <w:snapToGrid w:val="false"/>
        <w:spacing w:lineRule="exact" w:line="520" w:before="0" w:after="0"/>
        <w:ind w:firstLineChars="500" w:startChars="0" w:start="0" w:endChars="0" w:end="0"/>
        <w:jc w:val="start"/>
        <w:textAlignment w:val="auto"/>
        <w:rPr>
          <w:rFonts w:ascii="仿宋_GB2312" w:hAnsi="仿宋_GB2312" w:eastAsia="仿宋_GB2312" w:cs="仿宋_GB2312" w:hint="eastAsia"/>
          <w:b/>
          <w:sz w:val="32"/>
        </w:rPr>
      </w:pPr>
      <w:r>
        <w:rPr>
          <w:rFonts w:ascii="仿宋_GB2312" w:hAnsi="仿宋_GB2312" w:cs="仿宋_GB2312" w:hint="eastAsia" w:eastAsia="仿宋_GB2312"/>
          <w:b/>
          <w:sz w:val="32"/>
        </w:rPr>
        <w:t>所 属 学 院：待填写</w:t>
      </w:r>
    </w:p>
    <w:p>
      <w:pPr>
        <w:pStyle w:val="Normal"/>
        <w:keepNext w:val="false"/>
        <w:keepLines w:val="false"/>
        <w:pageBreakBefore w:val="false"/>
        <w:widowControl w:val="false"/>
        <w:tabs>
          <w:tab w:val="clear" w:pos="420"/>
          <w:tab w:val="left" w:pos="2340" w:leader="none"/>
          <w:tab w:val="left" w:pos="5940" w:leader="none"/>
        </w:tabs>
        <w:kinsoku w:val="true"/>
        <w:overflowPunct w:val="true"/>
        <w:autoSpaceDE w:val="true"/>
        <w:bidi w:val="0"/>
        <w:snapToGrid w:val="false"/>
        <w:spacing w:lineRule="exact" w:line="520" w:before="0" w:after="0"/>
        <w:ind w:firstLineChars="500" w:startChars="0" w:start="0" w:endChars="0" w:end="0"/>
        <w:jc w:val="start"/>
        <w:textAlignment w:val="auto"/>
        <w:rPr>
          <w:rFonts w:ascii="仿宋_GB2312" w:hAnsi="仿宋_GB2312" w:eastAsia="仿宋_GB2312" w:cs="仿宋_GB2312" w:hint="eastAsia"/>
          <w:b/>
          <w:sz w:val="32"/>
          <w:u w:val="single"/>
        </w:rPr>
      </w:pPr>
      <w:r>
        <w:rPr>
          <w:rFonts w:ascii="仿宋_GB2312" w:hAnsi="仿宋_GB2312" w:cs="仿宋_GB2312" w:hint="eastAsia" w:eastAsia="仿宋_GB2312"/>
          <w:b/>
          <w:sz w:val="32"/>
        </w:rPr>
        <w:t>联 系 电 话：待填写</w:t>
      </w:r>
    </w:p>
    <w:p>
      <w:pPr>
        <w:pStyle w:val="Normal"/>
        <w:keepNext w:val="false"/>
        <w:keepLines w:val="false"/>
        <w:pageBreakBefore w:val="false"/>
        <w:widowControl w:val="false"/>
        <w:tabs>
          <w:tab w:val="clear" w:pos="420"/>
          <w:tab w:val="left" w:pos="2340" w:leader="none"/>
          <w:tab w:val="left" w:pos="5940" w:leader="none"/>
        </w:tabs>
        <w:kinsoku w:val="true"/>
        <w:overflowPunct w:val="true"/>
        <w:autoSpaceDE w:val="true"/>
        <w:bidi w:val="0"/>
        <w:snapToGrid w:val="false"/>
        <w:spacing w:lineRule="exact" w:line="520" w:before="0" w:after="0"/>
        <w:ind w:firstLineChars="500" w:startChars="0" w:start="0" w:endChars="0" w:end="0"/>
        <w:jc w:val="start"/>
        <w:textAlignment w:val="auto"/>
        <w:rPr>
          <w:rFonts w:ascii="仿宋_GB2312" w:hAnsi="仿宋_GB2312" w:eastAsia="仿宋_GB2312" w:cs="仿宋_GB2312" w:hint="eastAsia"/>
          <w:b/>
          <w:sz w:val="32"/>
          <w:u w:val="single"/>
        </w:rPr>
      </w:pPr>
      <w:r>
        <w:rPr>
          <w:rFonts w:ascii="仿宋_GB2312" w:hAnsi="仿宋_GB2312" w:cs="仿宋_GB2312" w:hint="eastAsia" w:eastAsia="仿宋_GB2312"/>
          <w:b/>
          <w:sz w:val="32"/>
        </w:rPr>
        <w:t>开 题 时 间：待填写</w:t>
      </w:r>
    </w:p>
    <w:p>
      <w:pPr>
        <w:pStyle w:val="Normal"/>
        <w:tabs>
          <w:tab w:val="clear" w:pos="420"/>
          <w:tab w:val="left" w:pos="2700" w:leader="none"/>
        </w:tabs>
        <w:jc w:val="center"/>
        <w:rPr>
          <w:rFonts w:ascii="仿宋_GB2312" w:hAnsi="仿宋_GB2312" w:eastAsia="仿宋_GB2312" w:cs="仿宋_GB2312" w:hint="eastAsia"/>
          <w:b w:val="false"/>
          <w:bCs/>
          <w:sz w:val="32"/>
        </w:rPr>
      </w:pPr>
      <w:r>
        <w:rPr>
          <w:rFonts w:ascii="仿宋_GB2312" w:hAnsi="仿宋_GB2312" w:cs="仿宋_GB2312" w:hint="eastAsia" w:eastAsia="仿宋_GB2312"/>
          <w:b w:val="false"/>
          <w:bCs/>
          <w:sz w:val="32"/>
        </w:rPr>
        <w:t>东北大学研究生院</w:t>
      </w:r>
    </w:p>
    <w:p>
      <w:pPr>
        <w:pStyle w:val="Normal"/>
        <w:tabs>
          <w:tab w:val="clear" w:pos="420"/>
          <w:tab w:val="left" w:pos="2700" w:leader="none"/>
        </w:tabs>
        <w:jc w:val="center"/>
        <w:rPr>
          <w:rFonts w:ascii="仿宋_GB2312" w:hAnsi="仿宋_GB2312" w:eastAsia="仿宋_GB2312" w:cs="仿宋_GB2312" w:hint="eastAsia"/>
          <w:b w:val="false"/>
          <w:bCs/>
          <w:sz w:val="32"/>
        </w:rPr>
        <w:sectPr>
          <w:footerReference w:type="default" r:id="rId3"/>
          <w:footerReference w:type="first" r:id="rId4"/>
          <w:type w:val="nextPage"/>
          <w:pgSz w:w="11906" w:h="16838"/>
          <w:pgMar w:left="1134" w:right="1134" w:gutter="0" w:header="0" w:top="1418" w:footer="992" w:bottom="1191"/>
          <w:pgNumType w:start="0" w:fmt="decimal"/>
          <w:formProt w:val="false"/>
          <w:titlePg/>
          <w:textDirection w:val="lrTb"/>
          <w:docGrid w:type="lines" w:linePitch="312" w:charSpace="0"/>
        </w:sectPr>
      </w:pPr>
      <w:r>
        <w:rPr>
          <w:rFonts w:ascii="仿宋_GB2312" w:hAnsi="仿宋_GB2312" w:cs="仿宋_GB2312" w:hint="eastAsia" w:eastAsia="仿宋_GB2312"/>
          <w:b w:val="false"/>
          <w:bCs/>
          <w:sz w:val="32"/>
        </w:rPr>
        <w:t>年   月   日</w:t>
      </w:r>
    </w:p>
    <w:p>
      <w:pPr>
        <w:pStyle w:val="Normal"/>
        <w:jc w:val="center"/>
        <w:rPr>
          <w:rFonts w:ascii="仿宋_GB2312" w:hAnsi="仿宋_GB2312" w:eastAsia="仿宋_GB2312" w:cs="仿宋_GB2312" w:hint="eastAsia"/>
          <w:b/>
          <w:bCs/>
          <w:sz w:val="44"/>
          <w:szCs w:val="44"/>
        </w:rPr>
      </w:pPr>
      <w:r>
        <w:rPr>
          <w:rFonts w:ascii="仿宋_GB2312" w:hAnsi="仿宋_GB2312" w:cs="仿宋_GB2312" w:hint="eastAsia" w:eastAsia="仿宋_GB2312"/>
          <w:b/>
          <w:bCs/>
          <w:sz w:val="44"/>
          <w:szCs w:val="44"/>
        </w:rPr>
        <w:t>填表说明</w:t>
      </w:r>
    </w:p>
    <w:p>
      <w:pPr>
        <w:pStyle w:val="Normal"/>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、本表一、二、三、四、五项在导师指导下准确、完整填写。</w:t>
      </w:r>
    </w:p>
    <w:p>
      <w:pPr>
        <w:pStyle w:val="Normal"/>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2</w:t>
      </w:r>
      <w:r>
        <w:rPr>
          <w:rFonts w:ascii="仿宋_GB2312" w:hAnsi="仿宋_GB2312" w:cs="仿宋_GB2312" w:hint="eastAsia" w:eastAsia="仿宋_GB2312"/>
          <w:sz w:val="32"/>
          <w:szCs w:val="32"/>
        </w:rPr>
        <w:t>、学生在通过开题后一周内将该材料交到所在学院（部），并将电子版上传至研究生管理信息系统。</w:t>
      </w:r>
    </w:p>
    <w:p>
      <w:pPr>
        <w:pStyle w:val="Normal"/>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3</w:t>
      </w:r>
      <w:r>
        <w:rPr>
          <w:rFonts w:ascii="仿宋_GB2312" w:hAnsi="仿宋_GB2312" w:cs="仿宋_GB2312" w:hint="eastAsia" w:eastAsia="仿宋_GB2312"/>
          <w:sz w:val="32"/>
          <w:szCs w:val="32"/>
        </w:rPr>
        <w:t>、学生入学后</w:t>
      </w:r>
      <w:r>
        <w:rPr>
          <w:rFonts w:eastAsia="仿宋_GB2312" w:cs="仿宋_GB2312" w:hint="eastAsia" w:ascii="仿宋_GB2312" w:hAnsi="仿宋_GB2312"/>
          <w:sz w:val="32"/>
          <w:szCs w:val="32"/>
        </w:rPr>
        <w:t>2</w:t>
      </w:r>
      <w:r>
        <w:rPr>
          <w:rFonts w:ascii="仿宋_GB2312" w:hAnsi="仿宋_GB2312" w:cs="仿宋_GB2312" w:hint="eastAsia" w:eastAsia="仿宋_GB2312"/>
          <w:sz w:val="32"/>
          <w:szCs w:val="32"/>
        </w:rPr>
        <w:t>年内应完成论文或实践成果开题报告。按有关规定，没有通过的，不能进入中期考核。</w:t>
      </w:r>
    </w:p>
    <w:p>
      <w:pPr>
        <w:pStyle w:val="Normal"/>
        <w:rPr>
          <w:rFonts w:hint="eastAsia"/>
        </w:rPr>
      </w:pPr>
      <w:r>
        <w:rPr>
          <w:rFonts w:hint="eastAsia"/>
        </w:rPr>
      </w:r>
      <w:r>
        <w:br w:type="page"/>
      </w:r>
    </w:p>
    <w:p>
      <w:pPr>
        <w:pStyle w:val="Normal"/>
        <w:rPr>
          <w:rFonts w:eastAsia="黑体" w:hint="eastAsia"/>
          <w:sz w:val="24"/>
        </w:rPr>
        <w:keepNext w:val="1"/>
      </w:pPr>
      <w:r>
        <w:rPr>
          <w:rFonts w:hint="eastAsia" w:eastAsia="黑体"/>
          <w:sz w:val="24"/>
        </w:rPr>
        <w:t>一、立论依据</w:t>
      </w:r>
    </w:p>
    <w:tbl>
      <w:tblPr>
        <w:tblW w:w="9845" w:type="dxa"/>
        <w:jc w:val="center"/>
        <w:tblInd w:w="0" w:type="dxa"/>
        <w:tblLayout w:type="fixed"/>
        <w:tblCellMar>
          <w:top w:w="0" w:type="dxa"/>
          <w:start w:w="108" w:type="dxa"/>
          <w:bottom w:w="0" w:type="dxa"/>
          <w:end w:w="108" w:type="dxa"/>
        </w:tblCellMar>
      </w:tblPr>
      <w:tblGrid>
        <w:gridCol w:w="9845"/>
      </w:tblGrid>
      <w:tr>
        <w:trPr/>
        <w:tc>
          <w:tcPr>
            <w:tcW w:w="9845" w:type="dxa"/>
            <w:tcBorders>
              <w:top w:val="single" w:sz="12" w:space="0" w:color="000000"/>
              <w:start w:val="single" w:sz="12" w:space="0" w:color="000000"/>
              <w:bottom w:val="single" w:sz="12" w:space="0" w:color="000000"/>
              <w:end w:val="single" w:sz="12" w:space="0" w:color="000000"/>
            </w:tcBorders>
          </w:tcPr>
          <w:p>
            <w:pPr>
              <w:pStyle w:val="Normal"/>
              <w:spacing w:before="40" w:after="40" w:line="336" w:lineRule="exact"/>
              <w:rPr>
                <w:rFonts w:eastAsia="黑体" w:hint="eastAsia"/>
                <w:sz w:val="24"/>
              </w:rPr>
              <w:ind w:firstLine="0" w:firstLineChars="0"/>
              <w:jc w:val="left"/>
              <w:keepNext w:val="1"/>
              <w:keepLines w:val="0"/>
              <w:widowControl w:val="1"/>
              <w:wordWrap w:val="0"/>
            </w:pPr>
            <w:r>
              <w:rPr>
                <w:rFonts w:ascii="Times New Roman" w:hAnsi="Times New Roman" w:eastAsia="仿宋_GB2312"/>
                <w:sz w:val="24"/>
                <w:szCs w:val="24"/>
                <w:color w:val="000000"/>
                <w:b/>
              </w:rPr>
              <w:t>1. 课题来源与研究背景</w:t>
            </w:r>
          </w:p>
          <w:p>
            <w:pPr>
              <w:pStyle w:val="Normal"/>
              <w:spacing w:before="0" w:after="20" w:line="336" w:lineRule="exact"/>
              <w:rPr>
                <w:rFonts w:eastAsia="黑体" w:hint="eastAsia"/>
                <w:sz w:val="24"/>
              </w:rPr>
              <w:ind w:firstLine="0" w:firstLineChars="200"/>
              <w:jc w:val="both"/>
              <w:keepNext w:val="0"/>
              <w:keepLines w:val="0"/>
              <w:widowControl w:val="1"/>
              <w:wordWrap w:val="0"/>
            </w:pPr>
            <w:r>
              <w:rPr>
                <w:rFonts w:ascii="Times New Roman" w:hAnsi="Times New Roman" w:eastAsia="仿宋_GB2312"/>
                <w:sz w:val="24"/>
                <w:szCs w:val="24"/>
                <w:color w:val="000000"/>
              </w:rPr>
              <w:t>本课题拟结合已有实验室器皿语义控制研究和RealMan双臂灵巧手平台开展。正式科研项目名称、项目编号及课题来源类别待导师确认。</w:t>
            </w:r>
          </w:p>
          <w:p>
            <w:pPr>
              <w:pStyle w:val="Normal"/>
              <w:spacing w:before="0" w:after="20" w:line="336" w:lineRule="exact"/>
              <w:rPr>
                <w:rFonts w:eastAsia="黑体" w:hint="eastAsia"/>
                <w:sz w:val="24"/>
              </w:rPr>
              <w:ind w:firstLine="0" w:firstLineChars="200"/>
              <w:jc w:val="both"/>
              <w:keepNext w:val="0"/>
              <w:keepLines w:val="0"/>
              <w:widowControl w:val="1"/>
              <w:wordWrap w:val="0"/>
            </w:pPr>
            <w:r>
              <w:rPr>
                <w:rFonts w:ascii="Times New Roman" w:hAnsi="Times New Roman" w:eastAsia="仿宋_GB2312"/>
                <w:sz w:val="24"/>
                <w:szCs w:val="24"/>
                <w:color w:val="000000"/>
              </w:rPr>
              <w:t>实验室中的抓取、转移和放置，不仅要求机器人完成运动，还要求其操作正确对象、满足目标位置及避让要求。烧杯、量筒与试管可在不同指令中承担操作对象或障碍角色；同一操作要求也可能遇到不同物体位置、姿态和可达条件。因此，机器人需要同时使用任务要求和当前物理信息，避免把成功搬运等同于正确完成任务。</w:t>
            </w:r>
          </w:p>
          <w:p>
            <w:pPr>
              <w:pStyle w:val="Normal"/>
              <w:spacing w:before="0" w:after="20" w:line="336" w:lineRule="exact"/>
              <w:rPr>
                <w:rFonts w:eastAsia="黑体" w:hint="eastAsia"/>
                <w:sz w:val="24"/>
              </w:rPr>
              <w:ind w:firstLine="0" w:firstLineChars="200"/>
              <w:jc w:val="both"/>
              <w:keepNext w:val="0"/>
              <w:keepLines w:val="0"/>
              <w:widowControl w:val="1"/>
              <w:wordWrap w:val="0"/>
            </w:pPr>
            <w:r>
              <w:rPr>
                <w:rFonts w:ascii="Times New Roman" w:hAnsi="Times New Roman" w:eastAsia="仿宋_GB2312"/>
                <w:sz w:val="24"/>
                <w:szCs w:val="24"/>
                <w:color w:val="000000"/>
              </w:rPr>
              <w:t>视觉语言动作模型（Vision-Language-Action Model，VLA）利用预训练视觉语言表征与动作学习连接自然语言、图像及机器人控制。π0和π0.5通过flow matching生成连续动作序列，为精细操作与本体适配提供了基础[1-2]。小型模型SmolVLA降低了训练与部署成本[3]。然而，已有鲁棒性基准表明，标准条件下的较高表现与语言、场景变化下的可靠表现不能相互替代[11-12]。这些现象提示需要检验模型怎样使用条件，而不能仅以总成功率判断理解能力。</w:t>
            </w:r>
          </w:p>
          <w:p>
            <w:pPr>
              <w:pStyle w:val="Normal"/>
              <w:spacing w:before="40" w:after="40" w:line="336" w:lineRule="exact"/>
              <w:rPr>
                <w:rFonts w:eastAsia="黑体" w:hint="eastAsia"/>
                <w:sz w:val="24"/>
              </w:rPr>
              <w:ind w:firstLine="0" w:firstLineChars="0"/>
              <w:jc w:val="left"/>
              <w:keepNext w:val="1"/>
              <w:keepLines w:val="0"/>
              <w:widowControl w:val="1"/>
              <w:wordWrap w:val="0"/>
            </w:pPr>
            <w:r>
              <w:rPr>
                <w:rFonts w:ascii="Times New Roman" w:hAnsi="Times New Roman" w:eastAsia="仿宋_GB2312"/>
                <w:sz w:val="24"/>
                <w:szCs w:val="24"/>
                <w:color w:val="000000"/>
                <w:b/>
              </w:rPr>
              <w:t>2. 研究目的与问题范围</w:t>
            </w:r>
          </w:p>
          <w:p>
            <w:pPr>
              <w:pStyle w:val="Normal"/>
              <w:spacing w:before="0" w:after="20" w:line="336" w:lineRule="exact"/>
              <w:rPr>
                <w:rFonts w:eastAsia="黑体" w:hint="eastAsia"/>
                <w:sz w:val="24"/>
              </w:rPr>
              <w:ind w:firstLine="0" w:firstLineChars="200"/>
              <w:jc w:val="both"/>
              <w:keepNext w:val="0"/>
              <w:keepLines w:val="0"/>
              <w:widowControl w:val="1"/>
              <w:wordWrap w:val="0"/>
            </w:pPr>
            <w:r>
              <w:rPr>
                <w:rFonts w:ascii="Times New Roman" w:hAnsi="Times New Roman" w:eastAsia="仿宋_GB2312"/>
                <w:sz w:val="24"/>
                <w:szCs w:val="24"/>
                <w:color w:val="000000"/>
              </w:rPr>
              <w:t>本课题拟研究两个相互关联的问题：一是等价语言表达、目标角色及操作约束如何持续影响动作；二是在任务要求保持有效而物理条件变化时，策略如何利用执行反馈改善动作生成。前者以MICA-VLA前期成果为基础，后者以π0.5的本体SFT策略、RoboTwin仿真及RLinf交互训练为载体。</w:t>
            </w:r>
          </w:p>
          <w:p>
            <w:pPr>
              <w:pStyle w:val="Normal"/>
              <w:spacing w:before="0" w:after="20" w:line="336" w:lineRule="exact"/>
              <w:rPr>
                <w:rFonts w:eastAsia="黑体" w:hint="eastAsia"/>
                <w:sz w:val="24"/>
              </w:rPr>
              <w:ind w:firstLine="0" w:firstLineChars="200"/>
              <w:jc w:val="both"/>
              <w:keepNext w:val="0"/>
              <w:keepLines w:val="0"/>
              <w:widowControl w:val="1"/>
              <w:wordWrap w:val="0"/>
            </w:pPr>
            <w:r>
              <w:rPr>
                <w:rFonts w:ascii="Times New Roman" w:hAnsi="Times New Roman" w:eastAsia="仿宋_GB2312"/>
                <w:sz w:val="24"/>
                <w:szCs w:val="24"/>
                <w:color w:val="000000"/>
              </w:rPr>
              <w:t>研究首先限定在可观测、可重复的短程器皿操作，包括目标选择、抓起、转直、持续持握和指定位置转移。场景变化从初始位置和姿态开始，随后按实验结果扩展少量障碍布局和执行中扰动。完整化学反应流程、长程规程管理与持续部署学习不作为首阶段承诺，确保研究集中于低层条件动作生成。</w:t>
            </w:r>
          </w:p>
          <w:p>
            <w:pPr>
              <w:pStyle w:val="Normal"/>
              <w:spacing w:before="40" w:after="40" w:line="336" w:lineRule="exact"/>
              <w:rPr>
                <w:rFonts w:eastAsia="黑体" w:hint="eastAsia"/>
                <w:sz w:val="24"/>
              </w:rPr>
              <w:ind w:firstLine="0" w:firstLineChars="0"/>
              <w:jc w:val="left"/>
              <w:keepNext w:val="1"/>
              <w:keepLines w:val="0"/>
              <w:widowControl w:val="1"/>
              <w:wordWrap w:val="0"/>
            </w:pPr>
            <w:r>
              <w:rPr>
                <w:rFonts w:ascii="Times New Roman" w:hAnsi="Times New Roman" w:eastAsia="仿宋_GB2312"/>
                <w:sz w:val="24"/>
                <w:szCs w:val="24"/>
                <w:color w:val="000000"/>
                <w:b/>
              </w:rPr>
              <w:t>3. 理论意义与应用价值</w:t>
            </w:r>
          </w:p>
          <w:p>
            <w:pPr>
              <w:pStyle w:val="Normal"/>
              <w:spacing w:before="0" w:after="20" w:line="336" w:lineRule="exact"/>
              <w:rPr>
                <w:rFonts w:eastAsia="黑体" w:hint="eastAsia"/>
                <w:sz w:val="24"/>
              </w:rPr>
              <w:ind w:firstLine="0" w:firstLineChars="200"/>
              <w:jc w:val="both"/>
              <w:keepNext w:val="0"/>
              <w:keepLines w:val="0"/>
              <w:widowControl w:val="1"/>
              <w:wordWrap w:val="0"/>
            </w:pPr>
            <w:r>
              <w:rPr>
                <w:rFonts w:ascii="Times New Roman" w:hAnsi="Times New Roman" w:eastAsia="仿宋_GB2312"/>
                <w:sz w:val="24"/>
                <w:szCs w:val="24"/>
                <w:color w:val="000000"/>
              </w:rPr>
              <w:t>理论层面，拟区分“表征中具有相关信息”“动作端实际使用信息”与“执行结果满足要求”三个层次，并研究交互反馈对条件动作分布的作用。强化学习以执行后果而非单条示范动作误差评价行为，可能为多种可行轨迹及受扰状态的策略改进提供补充；其优势仍须通过相同预算的监督学习对照验证。</w:t>
            </w:r>
          </w:p>
          <w:p>
            <w:pPr>
              <w:pStyle w:val="Normal"/>
              <w:spacing w:before="0" w:after="20" w:line="336" w:lineRule="exact"/>
              <w:rPr>
                <w:rFonts w:eastAsia="黑体" w:hint="eastAsia"/>
                <w:sz w:val="24"/>
              </w:rPr>
              <w:ind w:firstLine="0" w:firstLineChars="200"/>
              <w:jc w:val="both"/>
              <w:keepNext w:val="0"/>
              <w:keepLines w:val="0"/>
              <w:widowControl w:val="1"/>
              <w:wordWrap w:val="0"/>
            </w:pPr>
            <w:r>
              <w:rPr>
                <w:rFonts w:ascii="Times New Roman" w:hAnsi="Times New Roman" w:eastAsia="仿宋_GB2312"/>
                <w:sz w:val="24"/>
                <w:szCs w:val="24"/>
                <w:color w:val="000000"/>
              </w:rPr>
              <w:t>应用层面，拟为实验室器皿操作建立目标满足与执行质量分开记录的协议，连接语言条件控制、仿真后训练及选定真机验证。预期价值在于提高受控场景变化下的可靠性及研究可复现性，而不是直接宣称机器人已能独立完成所有实验流程。</w:t>
            </w:r>
          </w:p>
        </w:tc>
      </w:tr>
    </w:tbl>
    <w:p>
      <w:pPr>
        <w:pStyle w:val="Normal"/>
        <w:rPr>
          <w:rFonts w:eastAsia="黑体" w:hint="eastAsia"/>
          <w:sz w:val="24"/>
        </w:rPr>
        <w:keepNext w:val="1"/>
      </w:pPr>
      <w:r>
        <w:rPr>
          <w:rFonts w:hint="eastAsia" w:eastAsia="黑体"/>
          <w:sz w:val="24"/>
        </w:rPr>
        <w:t>二、文献综述</w:t>
      </w:r>
    </w:p>
    <w:tbl>
      <w:tblPr>
        <w:tblW w:w="9836" w:type="dxa"/>
        <w:jc w:val="start"/>
        <w:tblInd w:w="0" w:type="dxa"/>
        <w:tblLayout w:type="fixed"/>
        <w:tblCellMar>
          <w:top w:w="0" w:type="dxa"/>
          <w:start w:w="108" w:type="dxa"/>
          <w:bottom w:w="0" w:type="dxa"/>
          <w:end w:w="108" w:type="dxa"/>
        </w:tblCellMar>
      </w:tblPr>
      <w:tblGrid>
        <w:gridCol w:w="9836"/>
      </w:tblGrid>
      <w:tr>
        <w:trPr>
          <w:trHeight w:val="13532" w:hRule="atLeast"/>
        </w:trPr>
        <w:tc>
          <w:tcPr>
            <w:tcW w:w="9836" w:type="dxa"/>
            <w:tcBorders>
              <w:top w:val="single" w:sz="12" w:space="0" w:color="000000"/>
              <w:start w:val="single" w:sz="12" w:space="0" w:color="000000"/>
              <w:bottom w:val="nil" w:sz="12" w:space="0" w:color="000000"/>
              <w:end w:val="single" w:sz="12" w:space="0" w:color="000000"/>
            </w:tcBorders>
          </w:tcPr>
          <w:p>
            <w:pPr>
              <w:pStyle w:val="Normal"/>
              <w:spacing w:before="40" w:after="40" w:line="336" w:lineRule="exact"/>
              <w:rPr>
                <w:rFonts w:eastAsia="黑体" w:hint="eastAsia"/>
                <w:sz w:val="24"/>
              </w:rPr>
              <w:ind w:firstLine="0" w:firstLineChars="0"/>
              <w:jc w:val="left"/>
              <w:keepNext w:val="1"/>
              <w:keepLines w:val="0"/>
              <w:widowControl w:val="1"/>
              <w:wordWrap w:val="0"/>
            </w:pPr>
            <w:r>
              <w:rPr>
                <w:rFonts w:ascii="Times New Roman" w:hAnsi="Times New Roman" w:eastAsia="仿宋_GB2312"/>
                <w:sz w:val="24"/>
                <w:szCs w:val="24"/>
                <w:color w:val="000000"/>
                <w:b/>
              </w:rPr>
              <w:t>1. VLA架构与连续动作生成</w:t>
            </w:r>
          </w:p>
          <w:p>
            <w:pPr>
              <w:pStyle w:val="Normal"/>
              <w:spacing w:before="0" w:after="20" w:line="336" w:lineRule="exact"/>
              <w:rPr>
                <w:rFonts w:eastAsia="黑体" w:hint="eastAsia"/>
                <w:sz w:val="24"/>
              </w:rPr>
              <w:ind w:firstLine="0" w:firstLineChars="200"/>
              <w:jc w:val="both"/>
              <w:keepNext w:val="0"/>
              <w:keepLines w:val="0"/>
              <w:widowControl w:val="1"/>
              <w:wordWrap w:val="0"/>
            </w:pPr>
            <w:r>
              <w:rPr>
                <w:rFonts w:ascii="Times New Roman" w:hAnsi="Times New Roman" w:eastAsia="仿宋_GB2312"/>
                <w:sz w:val="24"/>
                <w:szCs w:val="24"/>
                <w:color w:val="000000"/>
              </w:rPr>
              <w:t>π0将预训练视觉语言模型与flow动作专家结合，π0.5进一步通过异构数据共同训练研究开放世界泛化[1-2]；SmolVLA以紧凑架构和较低训练成本支持机器人策略开发[3]。这类模型能够表达连续动作序列，但模型规模、生成分布与下游本体SFT数据覆盖共同影响表现，不能从架构直接推断特定本体的场景适应能力。</w:t>
            </w:r>
          </w:p>
          <w:p>
            <w:pPr>
              <w:pStyle w:val="Normal"/>
              <w:spacing w:before="0" w:after="20" w:line="336" w:lineRule="exact"/>
              <w:rPr>
                <w:rFonts w:eastAsia="黑体" w:hint="eastAsia"/>
                <w:sz w:val="24"/>
              </w:rPr>
              <w:ind w:firstLine="0" w:firstLineChars="200"/>
              <w:jc w:val="both"/>
              <w:keepNext w:val="0"/>
              <w:keepLines w:val="0"/>
              <w:widowControl w:val="1"/>
              <w:wordWrap w:val="0"/>
            </w:pPr>
            <w:r>
              <w:rPr>
                <w:rFonts w:ascii="Times New Roman" w:hAnsi="Times New Roman" w:eastAsia="仿宋_GB2312"/>
                <w:sz w:val="24"/>
                <w:szCs w:val="24"/>
                <w:color w:val="000000"/>
              </w:rPr>
              <w:t>本研究采用π0.5作为后续基座，原因是已有RealMan本体数据、训练检查点与物理仿真执行证据。MICA前期工作采用SmolVLA类动作学习接口；两个研究内容可以使用不同模型，围绕共同问题评价，不对跨基座、跨本体成功率直接作机制归因。</w:t>
            </w:r>
          </w:p>
          <w:p>
            <w:pPr>
              <w:pStyle w:val="Normal"/>
              <w:spacing w:before="40" w:after="40" w:line="336" w:lineRule="exact"/>
              <w:rPr>
                <w:rFonts w:eastAsia="黑体" w:hint="eastAsia"/>
                <w:sz w:val="24"/>
              </w:rPr>
              <w:ind w:firstLine="0" w:firstLineChars="0"/>
              <w:jc w:val="left"/>
              <w:keepNext w:val="1"/>
              <w:keepLines w:val="0"/>
              <w:widowControl w:val="1"/>
              <w:wordWrap w:val="0"/>
            </w:pPr>
            <w:r>
              <w:rPr>
                <w:rFonts w:ascii="Times New Roman" w:hAnsi="Times New Roman" w:eastAsia="仿宋_GB2312"/>
                <w:sz w:val="24"/>
                <w:szCs w:val="24"/>
                <w:color w:val="000000"/>
                <w:b/>
              </w:rPr>
              <w:t>2. 条件控制与鲁棒性评测</w:t>
            </w:r>
          </w:p>
          <w:p>
            <w:pPr>
              <w:pStyle w:val="Normal"/>
              <w:spacing w:before="0" w:after="20" w:line="336" w:lineRule="exact"/>
              <w:rPr>
                <w:rFonts w:eastAsia="黑体" w:hint="eastAsia"/>
                <w:sz w:val="24"/>
              </w:rPr>
              <w:ind w:firstLine="0" w:firstLineChars="200"/>
              <w:jc w:val="both"/>
              <w:keepNext w:val="0"/>
              <w:keepLines w:val="0"/>
              <w:widowControl w:val="1"/>
              <w:wordWrap w:val="0"/>
            </w:pPr>
            <w:r>
              <w:rPr>
                <w:rFonts w:ascii="Times New Roman" w:hAnsi="Times New Roman" w:eastAsia="仿宋_GB2312"/>
                <w:sz w:val="24"/>
                <w:szCs w:val="24"/>
                <w:color w:val="000000"/>
              </w:rPr>
              <w:t>LIBERO提供语言条件操作与知识迁移评测基础[15]，LIBERO-Para聚焦已知任务的措辞变化[12]，LIBERO-Plus控制多种语言及环境扰动[11]。这些工作将标准任务表现与条件变化表现区分开，也说明不同扰动类型应分别分析。</w:t>
            </w:r>
          </w:p>
          <w:p>
            <w:pPr>
              <w:pStyle w:val="Normal"/>
              <w:spacing w:before="0" w:after="20" w:line="336" w:lineRule="exact"/>
              <w:rPr>
                <w:rFonts w:eastAsia="黑体" w:hint="eastAsia"/>
                <w:sz w:val="24"/>
              </w:rPr>
              <w:ind w:firstLine="0" w:firstLineChars="200"/>
              <w:jc w:val="both"/>
              <w:keepNext w:val="0"/>
              <w:keepLines w:val="0"/>
              <w:widowControl w:val="1"/>
              <w:wordWrap w:val="0"/>
            </w:pPr>
            <w:r>
              <w:rPr>
                <w:rFonts w:ascii="Times New Roman" w:hAnsi="Times New Roman" w:eastAsia="仿宋_GB2312"/>
                <w:sz w:val="24"/>
                <w:szCs w:val="24"/>
                <w:color w:val="000000"/>
              </w:rPr>
              <w:t>CounterAlign利用示范构造观察、指令与动作之间的反事实监督，学习条件奖励并结合离线策略改进[9]。TEMPO分别优化条件投影与动作专家，研究模块之间的更新协调[10]。因此，多模态一致性奖励、接口与专家共同优化已经有直接近邻，本课题不能仅以“增加条件奖励”或“同时更新两个模块”作为新颖性依据。后续方法拟围绕可控物理变化及真实执行后果，进一步检验条件利用的有效性。</w:t>
            </w:r>
          </w:p>
          <w:p>
            <w:pPr>
              <w:pStyle w:val="Normal"/>
              <w:spacing w:before="40" w:after="40" w:line="336" w:lineRule="exact"/>
              <w:rPr>
                <w:rFonts w:eastAsia="黑体" w:hint="eastAsia"/>
                <w:sz w:val="24"/>
              </w:rPr>
              <w:ind w:firstLine="0" w:firstLineChars="0"/>
              <w:jc w:val="left"/>
              <w:keepNext w:val="1"/>
              <w:keepLines w:val="0"/>
              <w:widowControl w:val="1"/>
              <w:wordWrap w:val="0"/>
            </w:pPr>
            <w:r>
              <w:rPr>
                <w:rFonts w:ascii="Times New Roman" w:hAnsi="Times New Roman" w:eastAsia="仿宋_GB2312"/>
                <w:sz w:val="24"/>
                <w:szCs w:val="24"/>
                <w:color w:val="000000"/>
                <w:b/>
              </w:rPr>
              <w:t>3. 生成动作策略的强化学习后训练</w:t>
            </w:r>
          </w:p>
          <w:p>
            <w:pPr>
              <w:pStyle w:val="Normal"/>
              <w:spacing w:before="0" w:after="20" w:line="336" w:lineRule="exact"/>
              <w:rPr>
                <w:rFonts w:eastAsia="黑体" w:hint="eastAsia"/>
                <w:sz w:val="24"/>
              </w:rPr>
              <w:ind w:firstLine="0" w:firstLineChars="200"/>
              <w:jc w:val="both"/>
              <w:keepNext w:val="0"/>
              <w:keepLines w:val="0"/>
              <w:widowControl w:val="1"/>
              <w:wordWrap w:val="0"/>
            </w:pPr>
            <w:r>
              <w:rPr>
                <w:rFonts w:ascii="Times New Roman" w:hAnsi="Times New Roman" w:eastAsia="仿宋_GB2312"/>
                <w:sz w:val="24"/>
                <w:szCs w:val="24"/>
                <w:color w:val="000000"/>
              </w:rPr>
              <w:t>PPO以交互采样和裁剪代理目标进行策略更新[8]。DPPO将内部去噪与外部环境交互联系起来[7]，πRL针对flow策略提供Flow-SDE和Flow-Noise，使π系列模型可以开展PPO或GRPO后训练[5]。这些方法为本课题建立可运行基线，但普通PPO的成功率增益不自动证明新的条件控制机制。</w:t>
            </w:r>
          </w:p>
          <w:p>
            <w:pPr>
              <w:pStyle w:val="Normal"/>
              <w:spacing w:before="0" w:after="20" w:line="336" w:lineRule="exact"/>
              <w:rPr>
                <w:rFonts w:eastAsia="黑体" w:hint="eastAsia"/>
                <w:sz w:val="24"/>
              </w:rPr>
              <w:ind w:firstLine="0" w:firstLineChars="200"/>
              <w:jc w:val="both"/>
              <w:keepNext w:val="0"/>
              <w:keepLines w:val="0"/>
              <w:widowControl w:val="1"/>
              <w:wordWrap w:val="0"/>
            </w:pPr>
            <w:r>
              <w:rPr>
                <w:rFonts w:ascii="Times New Roman" w:hAnsi="Times New Roman" w:eastAsia="仿宋_GB2312"/>
                <w:sz w:val="24"/>
                <w:szCs w:val="24"/>
                <w:color w:val="000000"/>
              </w:rPr>
              <w:t>DSRL在冻结生成策略的情况下学习初始噪声分布，从已有可达行为中引导动作[6]。它与直接更新动作专家、输出端动作残差是不同路线。后续拟优先直接更新动作专家，以检验其对融合信息的使用；噪声引导或残差策略按实验需要作为对照。LoRA属于参数更新方式，是否采用由显存、梯度及模块诊断决定。</w:t>
            </w:r>
          </w:p>
          <w:p>
            <w:pPr>
              <w:pStyle w:val="Normal"/>
              <w:spacing w:before="40" w:after="40" w:line="336" w:lineRule="exact"/>
              <w:rPr>
                <w:rFonts w:eastAsia="黑体" w:hint="eastAsia"/>
                <w:sz w:val="24"/>
              </w:rPr>
              <w:ind w:firstLine="0" w:firstLineChars="0"/>
              <w:jc w:val="left"/>
              <w:keepNext w:val="1"/>
              <w:keepLines w:val="0"/>
              <w:widowControl w:val="1"/>
              <w:wordWrap w:val="0"/>
            </w:pPr>
            <w:r>
              <w:rPr>
                <w:rFonts w:ascii="Times New Roman" w:hAnsi="Times New Roman" w:eastAsia="仿宋_GB2312"/>
                <w:sz w:val="24"/>
                <w:szCs w:val="24"/>
                <w:color w:val="000000"/>
                <w:b/>
              </w:rPr>
              <w:t>4. 实验室具身系统与训练平台</w:t>
            </w:r>
          </w:p>
          <w:p>
            <w:pPr>
              <w:pStyle w:val="Normal"/>
              <w:spacing w:before="0" w:after="20" w:line="336" w:lineRule="exact"/>
              <w:rPr>
                <w:rFonts w:eastAsia="黑体" w:hint="eastAsia"/>
                <w:sz w:val="24"/>
              </w:rPr>
              <w:ind w:firstLine="0" w:firstLineChars="200"/>
              <w:jc w:val="both"/>
              <w:keepNext w:val="0"/>
              <w:keepLines w:val="0"/>
              <w:widowControl w:val="1"/>
              <w:wordWrap w:val="0"/>
            </w:pPr>
            <w:r>
              <w:rPr>
                <w:rFonts w:ascii="Times New Roman" w:hAnsi="Times New Roman" w:eastAsia="仿宋_GB2312"/>
                <w:sz w:val="24"/>
                <w:szCs w:val="24"/>
                <w:color w:val="000000"/>
              </w:rPr>
              <w:t>RoboChemist已经结合视觉语言规划、过程监测与VLA执行开展长程化学实验[13]；LabVLA研究实验室数据生成与基座训练[14]。因此，实验室应用、多步骤规划及增加实验室SFT数据本身不是本课题拟主张的算法创新。本课题聚焦任务要求与物理条件对动作的影响，将上层流程编排作为边界明确的系统功能。</w:t>
            </w:r>
          </w:p>
          <w:p>
            <w:pPr>
              <w:pStyle w:val="Normal"/>
              <w:spacing w:before="0" w:after="20" w:line="336" w:lineRule="exact"/>
              <w:rPr>
                <w:rFonts w:eastAsia="黑体" w:hint="eastAsia"/>
                <w:sz w:val="24"/>
              </w:rPr>
              <w:ind w:firstLine="0" w:firstLineChars="200"/>
              <w:jc w:val="both"/>
              <w:keepNext w:val="0"/>
              <w:keepLines w:val="0"/>
              <w:widowControl w:val="1"/>
              <w:wordWrap w:val="0"/>
            </w:pPr>
            <w:r>
              <w:rPr>
                <w:rFonts w:ascii="Times New Roman" w:hAnsi="Times New Roman" w:eastAsia="仿宋_GB2312"/>
                <w:sz w:val="24"/>
                <w:szCs w:val="24"/>
                <w:color w:val="000000"/>
              </w:rPr>
              <w:t>RoboTwin 2.0提供双臂数据生成、任务及域随机化环境[4]；RLinf-VLA为模型、算法和仿真器的交互训练提供基础设施[16]。当前自定义RealMan灵巧手接入需要独立验收动作合同、归一化、执行时钟和回报，不能以框架原始本体的结果代替本项目验证。</w:t>
            </w:r>
          </w:p>
          <w:p>
            <w:pPr>
              <w:pStyle w:val="Normal"/>
              <w:spacing w:before="40" w:after="40" w:line="336" w:lineRule="exact"/>
              <w:rPr>
                <w:rFonts w:eastAsia="黑体" w:hint="eastAsia"/>
                <w:sz w:val="24"/>
              </w:rPr>
              <w:ind w:firstLine="0" w:firstLineChars="0"/>
              <w:jc w:val="left"/>
              <w:keepNext w:val="1"/>
              <w:keepLines w:val="0"/>
              <w:widowControl w:val="1"/>
              <w:wordWrap w:val="0"/>
            </w:pPr>
            <w:r>
              <w:rPr>
                <w:rFonts w:ascii="Times New Roman" w:hAnsi="Times New Roman" w:eastAsia="仿宋_GB2312"/>
                <w:sz w:val="24"/>
                <w:szCs w:val="24"/>
                <w:color w:val="000000"/>
                <w:b/>
              </w:rPr>
              <w:t>5. 文献查阅范围及手段</w:t>
            </w:r>
          </w:p>
          <w:p>
            <w:pPr>
              <w:pStyle w:val="Normal"/>
              <w:spacing w:before="0" w:after="20" w:line="336" w:lineRule="exact"/>
              <w:rPr>
                <w:rFonts w:eastAsia="黑体" w:hint="eastAsia"/>
                <w:sz w:val="24"/>
              </w:rPr>
              <w:ind w:firstLine="0" w:firstLineChars="200"/>
              <w:jc w:val="both"/>
              <w:keepNext w:val="0"/>
              <w:keepLines w:val="0"/>
              <w:widowControl w:val="1"/>
              <w:wordWrap w:val="0"/>
            </w:pPr>
            <w:r>
              <w:rPr>
                <w:rFonts w:ascii="Times New Roman" w:hAnsi="Times New Roman" w:eastAsia="仿宋_GB2312"/>
                <w:sz w:val="24"/>
                <w:szCs w:val="24"/>
                <w:color w:val="000000"/>
              </w:rPr>
              <w:t>初步查阅覆盖2023年至2026年与本课题直接相关的VLA、条件控制、鲁棒性、生成策略强化学习和实验室机器人研究，并纳入2017年PPO基础文献。使用arXiv、RSS、PMLR、ICLR及CVF官方论文页、作者项目页、官方代码与文档进行定向检索；关键词包括VLA、flow matching、language grounding、scene perturbation、robot reinforcement learning和laboratory manipulation。</w:t>
            </w:r>
          </w:p>
          <w:p>
            <w:pPr>
              <w:pStyle w:val="Normal"/>
              <w:spacing w:before="0" w:after="20" w:line="336" w:lineRule="exact"/>
              <w:rPr>
                <w:rFonts w:eastAsia="黑体" w:hint="eastAsia"/>
                <w:sz w:val="24"/>
              </w:rPr>
              <w:ind w:firstLine="0" w:firstLineChars="200"/>
              <w:jc w:val="both"/>
              <w:keepNext w:val="0"/>
              <w:keepLines w:val="0"/>
              <w:widowControl w:val="1"/>
              <w:wordWrap w:val="0"/>
            </w:pPr>
            <w:r>
              <w:rPr>
                <w:rFonts w:ascii="Times New Roman" w:hAnsi="Times New Roman" w:eastAsia="仿宋_GB2312"/>
                <w:sz w:val="24"/>
                <w:szCs w:val="24"/>
                <w:color w:val="000000"/>
              </w:rPr>
              <w:t>本阶段核对代表文献元数据，并对当前基座、主算法与直接近邻选择性阅读方法和实验协议，形成16篇初步文献矩阵。后续补充中文检索、参考文献回溯及重要新工作。查阅范围不等于已完成系统综述，也不把预印本或作者录用声明改写为已核验正式论文集。</w:t>
            </w:r>
          </w:p>
          <w:p>
            <w:pPr>
              <w:pStyle w:val="Normal"/>
              <w:spacing w:before="40" w:after="40" w:line="336" w:lineRule="exact"/>
              <w:rPr>
                <w:rFonts w:eastAsia="黑体" w:hint="eastAsia"/>
                <w:sz w:val="24"/>
              </w:rPr>
              <w:ind w:firstLine="0" w:firstLineChars="0"/>
              <w:jc w:val="left"/>
              <w:keepNext w:val="1"/>
              <w:keepLines w:val="0"/>
              <w:widowControl w:val="1"/>
              <w:wordWrap w:val="0"/>
            </w:pPr>
            <w:r>
              <w:rPr>
                <w:rFonts w:ascii="Times New Roman" w:hAnsi="Times New Roman" w:eastAsia="仿宋_GB2312"/>
                <w:sz w:val="24"/>
                <w:szCs w:val="24"/>
                <w:color w:val="000000"/>
                <w:b/>
              </w:rPr>
              <w:t>主要参考文献</w:t>
            </w:r>
          </w:p>
        </w:tc>
      </w:tr>
      <w:tr>
        <w:trPr>
          <w:cantSplit/>
        </w:trPr>
        <w:tc>
          <w:tcPr>
            <w:tcW w:w="9836" w:type="dxa"/>
            <w:tcBorders>
              <w:top w:val="nil" w:sz="12" w:space="0" w:color="000000"/>
              <w:start w:val="single" w:sz="12" w:space="0" w:color="000000"/>
              <w:bottom w:val="nil" w:sz="12" w:space="0" w:color="000000"/>
              <w:end w:val="single" w:sz="12" w:space="0" w:color="000000"/>
            </w:tcBorders>
          </w:tcPr>
          <w:p>
            <w:pPr>
              <w:pStyle w:val="Normal"/>
              <w:spacing w:before="0" w:after="20" w:line="315" w:lineRule="exact"/>
              <w:rPr>
                <w:rFonts w:eastAsia="黑体" w:hint="eastAsia"/>
                <w:sz w:val="24"/>
              </w:rPr>
              <w:ind w:firstLine="0" w:firstLineChars="0"/>
              <w:jc w:val="left"/>
              <w:keepNext w:val="0"/>
              <w:keepLines w:val="1"/>
              <w:widowControl w:val="1"/>
              <w:wordWrap w:val="0"/>
            </w:pPr>
            <w:r>
              <w:rPr>
                <w:rFonts w:ascii="Times New Roman" w:hAnsi="Times New Roman" w:eastAsia="仿宋_GB2312"/>
                <w:sz w:val="21"/>
                <w:szCs w:val="21"/>
                <w:color w:val="000000"/>
              </w:rPr>
              <w:t>[1] BLACK K, BROWN N, DRIESS D, et al. π₀: A Vision-Language-Action Flow Model for General Robot Control[C]//Proceedings of Robotics: Science and Systems. 2025. DOI: 10.15607/RSS.2025.XXI.010.</w:t>
              <w:br/>
              <w:t>https://roboticsproceedings.org/rss21/p010.html</w:t>
            </w:r>
          </w:p>
        </w:tc>
      </w:tr>
      <w:tr>
        <w:trPr>
          <w:cantSplit/>
        </w:trPr>
        <w:tc>
          <w:tcPr>
            <w:tcW w:w="9836" w:type="dxa"/>
            <w:tcBorders>
              <w:top w:val="nil" w:sz="12" w:space="0" w:color="000000"/>
              <w:start w:val="single" w:sz="12" w:space="0" w:color="000000"/>
              <w:bottom w:val="nil" w:sz="12" w:space="0" w:color="000000"/>
              <w:end w:val="single" w:sz="12" w:space="0" w:color="000000"/>
            </w:tcBorders>
          </w:tcPr>
          <w:p>
            <w:pPr>
              <w:pStyle w:val="Normal"/>
              <w:spacing w:before="0" w:after="20" w:line="315" w:lineRule="exact"/>
              <w:rPr>
                <w:rFonts w:eastAsia="黑体" w:hint="eastAsia"/>
                <w:sz w:val="24"/>
              </w:rPr>
              <w:ind w:firstLine="0" w:firstLineChars="0"/>
              <w:jc w:val="left"/>
              <w:keepNext w:val="0"/>
              <w:keepLines w:val="1"/>
              <w:widowControl w:val="1"/>
              <w:wordWrap w:val="0"/>
            </w:pPr>
            <w:r>
              <w:rPr>
                <w:rFonts w:ascii="Times New Roman" w:hAnsi="Times New Roman" w:eastAsia="仿宋_GB2312"/>
                <w:sz w:val="21"/>
                <w:szCs w:val="21"/>
                <w:color w:val="000000"/>
              </w:rPr>
              <w:t>[2] PHYSICAL INTELLIGENCE, BLACK K, BROWN N, et al. π₀.₅: a Vision-Language-Action Model with Open-World Generalization[EB/OL]. (2025-04-22)[2026-10-12]. arXiv:2504.16054v1.</w:t>
              <w:br/>
              <w:t>https://arxiv.org/abs/2504.16054v1</w:t>
            </w:r>
          </w:p>
        </w:tc>
      </w:tr>
      <w:tr>
        <w:trPr>
          <w:cantSplit/>
        </w:trPr>
        <w:tc>
          <w:tcPr>
            <w:tcW w:w="9836" w:type="dxa"/>
            <w:tcBorders>
              <w:top w:val="nil" w:sz="12" w:space="0" w:color="000000"/>
              <w:start w:val="single" w:sz="12" w:space="0" w:color="000000"/>
              <w:bottom w:val="nil" w:sz="12" w:space="0" w:color="000000"/>
              <w:end w:val="single" w:sz="12" w:space="0" w:color="000000"/>
            </w:tcBorders>
          </w:tcPr>
          <w:p>
            <w:pPr>
              <w:pStyle w:val="Normal"/>
              <w:spacing w:before="0" w:after="20" w:line="315" w:lineRule="exact"/>
              <w:rPr>
                <w:rFonts w:eastAsia="黑体" w:hint="eastAsia"/>
                <w:sz w:val="24"/>
              </w:rPr>
              <w:ind w:firstLine="0" w:firstLineChars="0"/>
              <w:jc w:val="left"/>
              <w:keepNext w:val="0"/>
              <w:keepLines w:val="1"/>
              <w:widowControl w:val="1"/>
              <w:wordWrap w:val="0"/>
            </w:pPr>
            <w:r>
              <w:rPr>
                <w:rFonts w:ascii="Times New Roman" w:hAnsi="Times New Roman" w:eastAsia="仿宋_GB2312"/>
                <w:sz w:val="21"/>
                <w:szCs w:val="21"/>
                <w:color w:val="000000"/>
              </w:rPr>
              <w:t>[3] SHUKOR M, AUBAKIROVA D, CAPUANO F, et al. SmolVLA: A Vision-Language-Action Model for Affordable and Efficient Robotics[EB/OL]. (2025-06-02)[2026-10-12]. arXiv:2506.01844v1.</w:t>
              <w:br/>
              <w:t>https://arxiv.org/abs/2506.01844v1</w:t>
            </w:r>
          </w:p>
        </w:tc>
      </w:tr>
      <w:tr>
        <w:trPr>
          <w:cantSplit/>
        </w:trPr>
        <w:tc>
          <w:tcPr>
            <w:tcW w:w="9836" w:type="dxa"/>
            <w:tcBorders>
              <w:top w:val="nil" w:sz="12" w:space="0" w:color="000000"/>
              <w:start w:val="single" w:sz="12" w:space="0" w:color="000000"/>
              <w:bottom w:val="nil" w:sz="12" w:space="0" w:color="000000"/>
              <w:end w:val="single" w:sz="12" w:space="0" w:color="000000"/>
            </w:tcBorders>
          </w:tcPr>
          <w:p>
            <w:pPr>
              <w:pStyle w:val="Normal"/>
              <w:spacing w:before="0" w:after="20" w:line="315" w:lineRule="exact"/>
              <w:rPr>
                <w:rFonts w:eastAsia="黑体" w:hint="eastAsia"/>
                <w:sz w:val="24"/>
              </w:rPr>
              <w:ind w:firstLine="0" w:firstLineChars="0"/>
              <w:jc w:val="left"/>
              <w:keepNext w:val="0"/>
              <w:keepLines w:val="1"/>
              <w:widowControl w:val="1"/>
              <w:wordWrap w:val="0"/>
            </w:pPr>
            <w:r>
              <w:rPr>
                <w:rFonts w:ascii="Times New Roman" w:hAnsi="Times New Roman" w:eastAsia="仿宋_GB2312"/>
                <w:sz w:val="21"/>
                <w:szCs w:val="21"/>
                <w:color w:val="000000"/>
              </w:rPr>
              <w:t>[4] CHEN T, CHEN Z, CHEN B, et al. RoboTwin 2.0: A Scalable Data Generator and Benchmark with Strong Domain Randomization for Robust Bimanual Robotic Manipulation[C]//Proceedings of the 43rd International Conference on Machine Learning. Proceedings of Machine Learning Research, 2026, 306: 13673-13699.</w:t>
              <w:br/>
              <w:t>https://proceedings.mlr.press/v306/chen26j.html</w:t>
            </w:r>
          </w:p>
        </w:tc>
      </w:tr>
      <w:tr>
        <w:trPr>
          <w:cantSplit/>
        </w:trPr>
        <w:tc>
          <w:tcPr>
            <w:tcW w:w="9836" w:type="dxa"/>
            <w:tcBorders>
              <w:top w:val="nil" w:sz="12" w:space="0" w:color="000000"/>
              <w:start w:val="single" w:sz="12" w:space="0" w:color="000000"/>
              <w:bottom w:val="nil" w:sz="12" w:space="0" w:color="000000"/>
              <w:end w:val="single" w:sz="12" w:space="0" w:color="000000"/>
            </w:tcBorders>
          </w:tcPr>
          <w:p>
            <w:pPr>
              <w:pStyle w:val="Normal"/>
              <w:spacing w:before="0" w:after="20" w:line="315" w:lineRule="exact"/>
              <w:rPr>
                <w:rFonts w:eastAsia="黑体" w:hint="eastAsia"/>
                <w:sz w:val="24"/>
              </w:rPr>
              <w:ind w:firstLine="0" w:firstLineChars="0"/>
              <w:jc w:val="left"/>
              <w:keepNext w:val="0"/>
              <w:keepLines w:val="1"/>
              <w:widowControl w:val="1"/>
              <w:wordWrap w:val="0"/>
            </w:pPr>
            <w:r>
              <w:rPr>
                <w:rFonts w:ascii="Times New Roman" w:hAnsi="Times New Roman" w:eastAsia="仿宋_GB2312"/>
                <w:sz w:val="21"/>
                <w:szCs w:val="21"/>
                <w:color w:val="000000"/>
              </w:rPr>
              <w:t>[5] CHEN K, LIU Z, ZHANG T, et al. πRL: Online RL Fine-tuning for Flow-based Vision-Language-Action Models[EB/OL]. (2025-10-29; v3修订于2026-01-29)[2026-10-12]. arXiv:2510.25889v3.</w:t>
              <w:br/>
              <w:t>https://arxiv.org/abs/2510.25889v3</w:t>
            </w:r>
          </w:p>
        </w:tc>
      </w:tr>
      <w:tr>
        <w:trPr>
          <w:cantSplit/>
        </w:trPr>
        <w:tc>
          <w:tcPr>
            <w:tcW w:w="9836" w:type="dxa"/>
            <w:tcBorders>
              <w:top w:val="nil" w:sz="12" w:space="0" w:color="000000"/>
              <w:start w:val="single" w:sz="12" w:space="0" w:color="000000"/>
              <w:bottom w:val="nil" w:sz="12" w:space="0" w:color="000000"/>
              <w:end w:val="single" w:sz="12" w:space="0" w:color="000000"/>
            </w:tcBorders>
          </w:tcPr>
          <w:p>
            <w:pPr>
              <w:pStyle w:val="Normal"/>
              <w:spacing w:before="0" w:after="20" w:line="315" w:lineRule="exact"/>
              <w:rPr>
                <w:rFonts w:eastAsia="黑体" w:hint="eastAsia"/>
                <w:sz w:val="24"/>
              </w:rPr>
              <w:ind w:firstLine="0" w:firstLineChars="0"/>
              <w:jc w:val="left"/>
              <w:keepNext w:val="0"/>
              <w:keepLines w:val="1"/>
              <w:widowControl w:val="1"/>
              <w:wordWrap w:val="0"/>
            </w:pPr>
            <w:r>
              <w:rPr>
                <w:rFonts w:ascii="Times New Roman" w:hAnsi="Times New Roman" w:eastAsia="仿宋_GB2312"/>
                <w:sz w:val="21"/>
                <w:szCs w:val="21"/>
                <w:color w:val="000000"/>
              </w:rPr>
              <w:t>[6] WAGENMAKER A, ZHANG Y, NAKAMOTO M, et al. Steering Your Diffusion Policy with Latent Space Reinforcement Learning[C]//Proceedings of the 9th Conference on Robot Learning. Proceedings of Machine Learning Research, 2025, 305: 258-282.</w:t>
              <w:br/>
              <w:t>https://proceedings.mlr.press/v305/wagenmaker25a.html</w:t>
            </w:r>
          </w:p>
        </w:tc>
      </w:tr>
      <w:tr>
        <w:trPr>
          <w:cantSplit/>
        </w:trPr>
        <w:tc>
          <w:tcPr>
            <w:tcW w:w="9836" w:type="dxa"/>
            <w:tcBorders>
              <w:top w:val="nil" w:sz="12" w:space="0" w:color="000000"/>
              <w:start w:val="single" w:sz="12" w:space="0" w:color="000000"/>
              <w:bottom w:val="nil" w:sz="12" w:space="0" w:color="000000"/>
              <w:end w:val="single" w:sz="12" w:space="0" w:color="000000"/>
            </w:tcBorders>
          </w:tcPr>
          <w:p>
            <w:pPr>
              <w:pStyle w:val="Normal"/>
              <w:spacing w:before="0" w:after="20" w:line="315" w:lineRule="exact"/>
              <w:rPr>
                <w:rFonts w:eastAsia="黑体" w:hint="eastAsia"/>
                <w:sz w:val="24"/>
              </w:rPr>
              <w:ind w:firstLine="0" w:firstLineChars="0"/>
              <w:jc w:val="left"/>
              <w:keepNext w:val="0"/>
              <w:keepLines w:val="1"/>
              <w:widowControl w:val="1"/>
              <w:wordWrap w:val="0"/>
            </w:pPr>
            <w:r>
              <w:rPr>
                <w:rFonts w:ascii="Times New Roman" w:hAnsi="Times New Roman" w:eastAsia="仿宋_GB2312"/>
                <w:sz w:val="21"/>
                <w:szCs w:val="21"/>
                <w:color w:val="000000"/>
              </w:rPr>
              <w:t>[7] REN A Z, LIDARD J, ANKILE L L, et al. Diffusion Policy Policy Optimization[C]//International Conference on Learning Representations. 2025.</w:t>
              <w:br/>
              <w:t>https://proceedings.iclr.cc/paper_files/paper/2025/hash/c0749c39aaff9e9e4c91f7118bf21b1e-Abstract-Conference.html</w:t>
            </w:r>
          </w:p>
        </w:tc>
      </w:tr>
      <w:tr>
        <w:trPr>
          <w:cantSplit/>
        </w:trPr>
        <w:tc>
          <w:tcPr>
            <w:tcW w:w="9836" w:type="dxa"/>
            <w:tcBorders>
              <w:top w:val="nil" w:sz="12" w:space="0" w:color="000000"/>
              <w:start w:val="single" w:sz="12" w:space="0" w:color="000000"/>
              <w:bottom w:val="nil" w:sz="12" w:space="0" w:color="000000"/>
              <w:end w:val="single" w:sz="12" w:space="0" w:color="000000"/>
            </w:tcBorders>
          </w:tcPr>
          <w:p>
            <w:pPr>
              <w:pStyle w:val="Normal"/>
              <w:spacing w:before="0" w:after="20" w:line="315" w:lineRule="exact"/>
              <w:rPr>
                <w:rFonts w:eastAsia="黑体" w:hint="eastAsia"/>
                <w:sz w:val="24"/>
              </w:rPr>
              <w:ind w:firstLine="0" w:firstLineChars="0"/>
              <w:jc w:val="left"/>
              <w:keepNext w:val="0"/>
              <w:keepLines w:val="1"/>
              <w:widowControl w:val="1"/>
              <w:wordWrap w:val="0"/>
            </w:pPr>
            <w:r>
              <w:rPr>
                <w:rFonts w:ascii="Times New Roman" w:hAnsi="Times New Roman" w:eastAsia="仿宋_GB2312"/>
                <w:sz w:val="21"/>
                <w:szCs w:val="21"/>
                <w:color w:val="000000"/>
              </w:rPr>
              <w:t>[8] SCHULMAN J, WOLSKI F, DHARIWAL P, et al. Proximal Policy Optimization Algorithms[EB/OL]. (2017-07-20; v2修订于2017-08-28)[2026-10-12]. arXiv:1707.06347v2.</w:t>
              <w:br/>
              <w:t>https://arxiv.org/abs/1707.06347v2</w:t>
            </w:r>
          </w:p>
        </w:tc>
      </w:tr>
      <w:tr>
        <w:trPr>
          <w:cantSplit/>
        </w:trPr>
        <w:tc>
          <w:tcPr>
            <w:tcW w:w="9836" w:type="dxa"/>
            <w:tcBorders>
              <w:top w:val="nil" w:sz="12" w:space="0" w:color="000000"/>
              <w:start w:val="single" w:sz="12" w:space="0" w:color="000000"/>
              <w:bottom w:val="nil" w:sz="12" w:space="0" w:color="000000"/>
              <w:end w:val="single" w:sz="12" w:space="0" w:color="000000"/>
            </w:tcBorders>
          </w:tcPr>
          <w:p>
            <w:pPr>
              <w:pStyle w:val="Normal"/>
              <w:spacing w:before="0" w:after="20" w:line="315" w:lineRule="exact"/>
              <w:rPr>
                <w:rFonts w:eastAsia="黑体" w:hint="eastAsia"/>
                <w:sz w:val="24"/>
              </w:rPr>
              <w:ind w:firstLine="0" w:firstLineChars="0"/>
              <w:jc w:val="left"/>
              <w:keepNext w:val="0"/>
              <w:keepLines w:val="1"/>
              <w:widowControl w:val="1"/>
              <w:wordWrap w:val="0"/>
            </w:pPr>
            <w:r>
              <w:rPr>
                <w:rFonts w:ascii="Times New Roman" w:hAnsi="Times New Roman" w:eastAsia="仿宋_GB2312"/>
                <w:sz w:val="21"/>
                <w:szCs w:val="21"/>
                <w:color w:val="000000"/>
              </w:rPr>
              <w:t>[9] KONDOH H, OTA K, KANEZAKI A, WU Y H. CounterAlign: Counterfactual Supervision for Vision-Language-Action Models[EB/OL]. (2026-08-22)[2026-10-12]. arXiv:2608.21740v1.</w:t>
              <w:br/>
              <w:t>https://arxiv.org/abs/2608.21740v1</w:t>
            </w:r>
          </w:p>
        </w:tc>
      </w:tr>
      <w:tr>
        <w:trPr>
          <w:cantSplit/>
        </w:trPr>
        <w:tc>
          <w:tcPr>
            <w:tcW w:w="9836" w:type="dxa"/>
            <w:tcBorders>
              <w:top w:val="nil" w:sz="12" w:space="0" w:color="000000"/>
              <w:start w:val="single" w:sz="12" w:space="0" w:color="000000"/>
              <w:bottom w:val="nil" w:sz="12" w:space="0" w:color="000000"/>
              <w:end w:val="single" w:sz="12" w:space="0" w:color="000000"/>
            </w:tcBorders>
          </w:tcPr>
          <w:p>
            <w:pPr>
              <w:pStyle w:val="Normal"/>
              <w:spacing w:before="0" w:after="20" w:line="315" w:lineRule="exact"/>
              <w:rPr>
                <w:rFonts w:eastAsia="黑体" w:hint="eastAsia"/>
                <w:sz w:val="24"/>
              </w:rPr>
              <w:ind w:firstLine="0" w:firstLineChars="0"/>
              <w:jc w:val="left"/>
              <w:keepNext w:val="0"/>
              <w:keepLines w:val="1"/>
              <w:widowControl w:val="1"/>
              <w:wordWrap w:val="0"/>
            </w:pPr>
            <w:r>
              <w:rPr>
                <w:rFonts w:ascii="Times New Roman" w:hAnsi="Times New Roman" w:eastAsia="仿宋_GB2312"/>
                <w:sz w:val="21"/>
                <w:szCs w:val="21"/>
                <w:color w:val="000000"/>
              </w:rPr>
              <w:t>[10] LIU Z, YANG Q. TEMPO: Semantic-Action Decoupled RL Post-Training for Vision-Language-Action Models[EB/OL]. (2026-08-07)[2026-10-12]. arXiv:2608.07314v1.</w:t>
              <w:br/>
              <w:t>https://arxiv.org/abs/2608.07314v1</w:t>
            </w:r>
          </w:p>
        </w:tc>
      </w:tr>
      <w:tr>
        <w:trPr>
          <w:cantSplit/>
        </w:trPr>
        <w:tc>
          <w:tcPr>
            <w:tcW w:w="9836" w:type="dxa"/>
            <w:tcBorders>
              <w:top w:val="nil" w:sz="12" w:space="0" w:color="000000"/>
              <w:start w:val="single" w:sz="12" w:space="0" w:color="000000"/>
              <w:bottom w:val="nil" w:sz="12" w:space="0" w:color="000000"/>
              <w:end w:val="single" w:sz="12" w:space="0" w:color="000000"/>
            </w:tcBorders>
          </w:tcPr>
          <w:p>
            <w:pPr>
              <w:pStyle w:val="Normal"/>
              <w:spacing w:before="0" w:after="20" w:line="315" w:lineRule="exact"/>
              <w:rPr>
                <w:rFonts w:eastAsia="黑体" w:hint="eastAsia"/>
                <w:sz w:val="24"/>
              </w:rPr>
              <w:ind w:firstLine="0" w:firstLineChars="0"/>
              <w:jc w:val="left"/>
              <w:keepNext w:val="0"/>
              <w:keepLines w:val="1"/>
              <w:widowControl w:val="1"/>
              <w:wordWrap w:val="0"/>
            </w:pPr>
            <w:r>
              <w:rPr>
                <w:rFonts w:ascii="Times New Roman" w:hAnsi="Times New Roman" w:eastAsia="仿宋_GB2312"/>
                <w:sz w:val="21"/>
                <w:szCs w:val="21"/>
                <w:color w:val="000000"/>
              </w:rPr>
              <w:t>[11] FEI S, WANG S, SHI J, et al. LIBERO-Plus: A Progressive Robustness Benchmark for Visual-Language-Action Models[C]//Proceedings of the IEEE/CVF Conference on Computer Vision and Pattern Recognition. 2026: 38574-38583.</w:t>
              <w:br/>
              <w:t>https://openaccess.thecvf.com/content/CVPR2026/html/Fei_LIBERO-Plus_A_Progressive_Robustness_Benchmark_for_Visual-Language-Action_Models_CVPR_2026_paper.html</w:t>
            </w:r>
          </w:p>
        </w:tc>
      </w:tr>
      <w:tr>
        <w:trPr>
          <w:cantSplit/>
        </w:trPr>
        <w:tc>
          <w:tcPr>
            <w:tcW w:w="9836" w:type="dxa"/>
            <w:tcBorders>
              <w:top w:val="nil" w:sz="12" w:space="0" w:color="000000"/>
              <w:start w:val="single" w:sz="12" w:space="0" w:color="000000"/>
              <w:bottom w:val="nil" w:sz="12" w:space="0" w:color="000000"/>
              <w:end w:val="single" w:sz="12" w:space="0" w:color="000000"/>
            </w:tcBorders>
          </w:tcPr>
          <w:p>
            <w:pPr>
              <w:pStyle w:val="Normal"/>
              <w:spacing w:before="0" w:after="20" w:line="315" w:lineRule="exact"/>
              <w:rPr>
                <w:rFonts w:eastAsia="黑体" w:hint="eastAsia"/>
                <w:sz w:val="24"/>
              </w:rPr>
              <w:ind w:firstLine="0" w:firstLineChars="0"/>
              <w:jc w:val="left"/>
              <w:keepNext w:val="0"/>
              <w:keepLines w:val="1"/>
              <w:widowControl w:val="1"/>
              <w:wordWrap w:val="0"/>
            </w:pPr>
            <w:r>
              <w:rPr>
                <w:rFonts w:ascii="Times New Roman" w:hAnsi="Times New Roman" w:eastAsia="仿宋_GB2312"/>
                <w:sz w:val="21"/>
                <w:szCs w:val="21"/>
                <w:color w:val="000000"/>
              </w:rPr>
              <w:t>[12] KIM C, KIM M, KANG M, KIM H, JUNG D. LIBERO-Para: A Diagnostic Benchmark and Metrics for Paraphrase Robustness in VLA Models[EB/OL]. (2026-03-30; v3修订于2026-09-26)[2026-10-12]. arXiv:2603.28301v3.</w:t>
              <w:br/>
              <w:t>https://arxiv.org/abs/2603.28301v3</w:t>
            </w:r>
          </w:p>
        </w:tc>
      </w:tr>
      <w:tr>
        <w:trPr>
          <w:cantSplit/>
        </w:trPr>
        <w:tc>
          <w:tcPr>
            <w:tcW w:w="9836" w:type="dxa"/>
            <w:tcBorders>
              <w:top w:val="nil" w:sz="12" w:space="0" w:color="000000"/>
              <w:start w:val="single" w:sz="12" w:space="0" w:color="000000"/>
              <w:bottom w:val="nil" w:sz="12" w:space="0" w:color="000000"/>
              <w:end w:val="single" w:sz="12" w:space="0" w:color="000000"/>
            </w:tcBorders>
          </w:tcPr>
          <w:p>
            <w:pPr>
              <w:pStyle w:val="Normal"/>
              <w:spacing w:before="0" w:after="20" w:line="315" w:lineRule="exact"/>
              <w:rPr>
                <w:rFonts w:eastAsia="黑体" w:hint="eastAsia"/>
                <w:sz w:val="24"/>
              </w:rPr>
              <w:ind w:firstLine="0" w:firstLineChars="0"/>
              <w:jc w:val="left"/>
              <w:keepNext w:val="0"/>
              <w:keepLines w:val="1"/>
              <w:widowControl w:val="1"/>
              <w:wordWrap w:val="0"/>
            </w:pPr>
            <w:r>
              <w:rPr>
                <w:rFonts w:ascii="Times New Roman" w:hAnsi="Times New Roman" w:eastAsia="仿宋_GB2312"/>
                <w:sz w:val="21"/>
                <w:szCs w:val="21"/>
                <w:color w:val="000000"/>
              </w:rPr>
              <w:t>[13] ZHANG Z, YUE C, XU H, et al. RoboChemist: Long-Horizon and Safety-Compliant Robotic Chemical Experimentation[C]//Proceedings of the 9th Conference on Robot Learning. Proceedings of Machine Learning Research, 2025, 305: 3537-3568.</w:t>
              <w:br/>
              <w:t>https://proceedings.mlr.press/v305/zhang25i.html</w:t>
            </w:r>
          </w:p>
        </w:tc>
      </w:tr>
      <w:tr>
        <w:trPr>
          <w:cantSplit/>
        </w:trPr>
        <w:tc>
          <w:tcPr>
            <w:tcW w:w="9836" w:type="dxa"/>
            <w:tcBorders>
              <w:top w:val="nil" w:sz="12" w:space="0" w:color="000000"/>
              <w:start w:val="single" w:sz="12" w:space="0" w:color="000000"/>
              <w:bottom w:val="nil" w:sz="12" w:space="0" w:color="000000"/>
              <w:end w:val="single" w:sz="12" w:space="0" w:color="000000"/>
            </w:tcBorders>
          </w:tcPr>
          <w:p>
            <w:pPr>
              <w:pStyle w:val="Normal"/>
              <w:spacing w:before="0" w:after="20" w:line="315" w:lineRule="exact"/>
              <w:rPr>
                <w:rFonts w:eastAsia="黑体" w:hint="eastAsia"/>
                <w:sz w:val="24"/>
              </w:rPr>
              <w:ind w:firstLine="0" w:firstLineChars="0"/>
              <w:jc w:val="left"/>
              <w:keepNext w:val="0"/>
              <w:keepLines w:val="1"/>
              <w:widowControl w:val="1"/>
              <w:wordWrap w:val="0"/>
            </w:pPr>
            <w:r>
              <w:rPr>
                <w:rFonts w:ascii="Times New Roman" w:hAnsi="Times New Roman" w:eastAsia="仿宋_GB2312"/>
                <w:sz w:val="21"/>
                <w:szCs w:val="21"/>
                <w:color w:val="000000"/>
              </w:rPr>
              <w:t>[14] REN B, LIU X, CHEN X, et al. LabVLA: Grounding Vision-Language-Action Models in Scientific Laboratories[EB/OL]. (2026-06-11; v2修订于2026-06-15)[2026-10-12]. arXiv:2606.13578v2.</w:t>
              <w:br/>
              <w:t>https://arxiv.org/abs/2606.13578v2</w:t>
            </w:r>
          </w:p>
        </w:tc>
      </w:tr>
      <w:tr>
        <w:trPr>
          <w:cantSplit/>
        </w:trPr>
        <w:tc>
          <w:tcPr>
            <w:tcW w:w="9836" w:type="dxa"/>
            <w:tcBorders>
              <w:top w:val="nil" w:sz="12" w:space="0" w:color="000000"/>
              <w:start w:val="single" w:sz="12" w:space="0" w:color="000000"/>
              <w:bottom w:val="nil" w:sz="12" w:space="0" w:color="000000"/>
              <w:end w:val="single" w:sz="12" w:space="0" w:color="000000"/>
            </w:tcBorders>
          </w:tcPr>
          <w:p>
            <w:pPr>
              <w:pStyle w:val="Normal"/>
              <w:spacing w:before="0" w:after="20" w:line="315" w:lineRule="exact"/>
              <w:rPr>
                <w:rFonts w:eastAsia="黑体" w:hint="eastAsia"/>
                <w:sz w:val="24"/>
              </w:rPr>
              <w:ind w:firstLine="0" w:firstLineChars="0"/>
              <w:jc w:val="left"/>
              <w:keepNext w:val="0"/>
              <w:keepLines w:val="1"/>
              <w:widowControl w:val="1"/>
              <w:wordWrap w:val="0"/>
            </w:pPr>
            <w:r>
              <w:rPr>
                <w:rFonts w:ascii="Times New Roman" w:hAnsi="Times New Roman" w:eastAsia="仿宋_GB2312"/>
                <w:sz w:val="21"/>
                <w:szCs w:val="21"/>
                <w:color w:val="000000"/>
              </w:rPr>
              <w:t>[15] LIU B, ZHU Y, GAO C, et al. LIBERO: Benchmarking Knowledge Transfer for Lifelong Robot Learning[C]//Advances in Neural Information Processing Systems. 2023, 36. Datasets and Benchmarks Track.</w:t>
              <w:br/>
              <w:t>https://papers.nips.cc/paper_files/paper/2023/hash/8c3c666820ea055a77726d66fc7d447f-Abstract-Datasets_and_Benchmarks.html</w:t>
            </w:r>
          </w:p>
        </w:tc>
      </w:tr>
      <w:tr>
        <w:trPr>
          <w:cantSplit/>
        </w:trPr>
        <w:tc>
          <w:tcPr>
            <w:tcW w:w="9836" w:type="dxa"/>
            <w:tcBorders>
              <w:top w:val="nil" w:sz="12" w:space="0" w:color="000000"/>
              <w:start w:val="single" w:sz="12" w:space="0" w:color="000000"/>
              <w:bottom w:val="single" w:sz="12" w:space="0" w:color="000000"/>
              <w:end w:val="single" w:sz="12" w:space="0" w:color="000000"/>
            </w:tcBorders>
          </w:tcPr>
          <w:p>
            <w:pPr>
              <w:pStyle w:val="Normal"/>
              <w:spacing w:before="0" w:after="20" w:line="315" w:lineRule="exact"/>
              <w:rPr>
                <w:rFonts w:eastAsia="黑体" w:hint="eastAsia"/>
                <w:sz w:val="24"/>
              </w:rPr>
              <w:ind w:firstLine="0" w:firstLineChars="0"/>
              <w:jc w:val="left"/>
              <w:keepNext w:val="0"/>
              <w:keepLines w:val="1"/>
              <w:widowControl w:val="1"/>
              <w:wordWrap w:val="0"/>
            </w:pPr>
            <w:r>
              <w:rPr>
                <w:rFonts w:ascii="Times New Roman" w:hAnsi="Times New Roman" w:eastAsia="仿宋_GB2312"/>
                <w:sz w:val="21"/>
                <w:szCs w:val="21"/>
                <w:color w:val="000000"/>
              </w:rPr>
              <w:t>[16] ZANG H, WEI M, XU S, et al. RLinf-VLA: A Unified and Efficient Framework for Reinforcement Learning of Vision-Language-Action Models[EB/OL]. (2025-10-08; v3修订于2026-08-12)[2026-10-12]. arXiv:2510.06710v3.</w:t>
              <w:br/>
              <w:t>https://arxiv.org/abs/2510.06710v3</w:t>
            </w:r>
          </w:p>
        </w:tc>
      </w:tr>
    </w:tbl>
    <w:p>
      <w:pPr>
        <w:pStyle w:val="Normal"/>
        <w:rPr>
          <w:rFonts w:eastAsia="黑体" w:hint="eastAsia"/>
          <w:sz w:val="24"/>
        </w:rPr>
        <w:keepNext w:val="1"/>
      </w:pPr>
      <w:r>
        <w:rPr>
          <w:rFonts w:hint="eastAsia" w:eastAsia="黑体"/>
          <w:sz w:val="24"/>
        </w:rPr>
        <w:t>三、研究内容</w:t>
      </w:r>
    </w:p>
    <w:tbl>
      <w:tblPr>
        <w:tblW w:w="9828" w:type="dxa"/>
        <w:jc w:val="start"/>
        <w:tblInd w:w="0" w:type="dxa"/>
        <w:tblLayout w:type="fixed"/>
        <w:tblCellMar>
          <w:top w:w="0" w:type="dxa"/>
          <w:start w:w="108" w:type="dxa"/>
          <w:bottom w:w="0" w:type="dxa"/>
          <w:end w:w="108" w:type="dxa"/>
        </w:tblCellMar>
      </w:tblPr>
      <w:tblGrid>
        <w:gridCol w:w="9828"/>
      </w:tblGrid>
      <w:tr>
        <w:trPr/>
        <w:tc>
          <w:tcPr>
            <w:tcW w:w="9828" w:type="dxa"/>
            <w:tcBorders>
              <w:top w:val="single" w:sz="12" w:space="0" w:color="000000"/>
              <w:start w:val="single" w:sz="12" w:space="0" w:color="000000"/>
              <w:bottom w:val="single" w:sz="12" w:space="0" w:color="000000"/>
              <w:end w:val="single" w:sz="12" w:space="0" w:color="000000"/>
            </w:tcBorders>
          </w:tcPr>
          <w:p>
            <w:pPr>
              <w:pStyle w:val="Normal"/>
              <w:spacing w:before="40" w:after="40" w:line="336" w:lineRule="exact"/>
              <w:rPr>
                <w:rFonts w:eastAsia="黑体" w:hint="eastAsia"/>
                <w:sz w:val="24"/>
              </w:rPr>
              <w:ind w:firstLine="0" w:firstLineChars="0"/>
              <w:jc w:val="left"/>
              <w:keepNext w:val="1"/>
              <w:keepLines w:val="0"/>
              <w:widowControl w:val="1"/>
              <w:wordWrap w:val="0"/>
            </w:pPr>
            <w:r>
              <w:rPr>
                <w:rFonts w:ascii="Times New Roman" w:hAnsi="Times New Roman" w:eastAsia="仿宋_GB2312"/>
                <w:sz w:val="24"/>
                <w:szCs w:val="24"/>
                <w:color w:val="000000"/>
                <w:b/>
              </w:rPr>
              <w:t>1. 研究构想与思路、主要研究内容及拟解决的关键技术</w:t>
            </w:r>
          </w:p>
          <w:p>
            <w:pPr>
              <w:pStyle w:val="Normal"/>
              <w:spacing w:before="40" w:after="40" w:line="336" w:lineRule="exact"/>
              <w:rPr>
                <w:rFonts w:eastAsia="黑体" w:hint="eastAsia"/>
                <w:sz w:val="24"/>
              </w:rPr>
              <w:ind w:firstLine="0" w:firstLineChars="0"/>
              <w:jc w:val="left"/>
              <w:keepNext w:val="1"/>
              <w:keepLines w:val="0"/>
              <w:widowControl w:val="1"/>
              <w:wordWrap w:val="0"/>
            </w:pPr>
            <w:r>
              <w:rPr>
                <w:rFonts w:ascii="Times New Roman" w:hAnsi="Times New Roman" w:eastAsia="仿宋_GB2312"/>
                <w:sz w:val="24"/>
                <w:szCs w:val="24"/>
                <w:color w:val="000000"/>
                <w:b/>
              </w:rPr>
              <w:t>1.1 总体构想</w:t>
            </w:r>
          </w:p>
          <w:p>
            <w:pPr>
              <w:pStyle w:val="Normal"/>
              <w:spacing w:before="0" w:after="20" w:line="336" w:lineRule="exact"/>
              <w:rPr>
                <w:rFonts w:eastAsia="黑体" w:hint="eastAsia"/>
                <w:sz w:val="24"/>
              </w:rPr>
              <w:ind w:firstLine="0" w:firstLineChars="200"/>
              <w:jc w:val="both"/>
              <w:keepNext w:val="0"/>
              <w:keepLines w:val="0"/>
              <w:widowControl w:val="1"/>
              <w:wordWrap w:val="0"/>
            </w:pPr>
            <w:r>
              <w:rPr>
                <w:rFonts w:ascii="Times New Roman" w:hAnsi="Times New Roman" w:eastAsia="仿宋_GB2312"/>
                <w:sz w:val="24"/>
                <w:szCs w:val="24"/>
                <w:color w:val="000000"/>
              </w:rPr>
              <w:t>语言规定目标、角色与操作约束，图像与本体状态反映当前执行条件。本课题围绕二者怎样共同影响动作开展研究：首先以指令参考选择和动作侧语义路由改善要求的行为有效性，再研究物理场景改变后怎样利用执行反馈改善条件动作分布。两个研究章不预设必须组合成同一个网络。</w:t>
            </w:r>
          </w:p>
          <w:p>
            <w:pPr>
              <w:pStyle w:val="Normal"/>
              <w:spacing w:before="40" w:after="40" w:line="336" w:lineRule="exact"/>
              <w:rPr>
                <w:rFonts w:eastAsia="黑体" w:hint="eastAsia"/>
                <w:sz w:val="24"/>
              </w:rPr>
              <w:ind w:firstLine="0" w:firstLineChars="0"/>
              <w:jc w:val="left"/>
              <w:keepNext w:val="1"/>
              <w:keepLines w:val="0"/>
              <w:widowControl w:val="1"/>
              <w:wordWrap w:val="0"/>
            </w:pPr>
            <w:r>
              <w:rPr>
                <w:rFonts w:ascii="Times New Roman" w:hAnsi="Times New Roman" w:eastAsia="仿宋_GB2312"/>
                <w:sz w:val="24"/>
                <w:szCs w:val="24"/>
                <w:color w:val="000000"/>
                <w:b/>
              </w:rPr>
              <w:t>1.2 主要研究内容</w:t>
            </w:r>
          </w:p>
          <w:p>
            <w:pPr>
              <w:pStyle w:val="Normal"/>
              <w:spacing w:before="0" w:after="20" w:line="336" w:lineRule="exact"/>
              <w:rPr>
                <w:rFonts w:eastAsia="黑体" w:hint="eastAsia"/>
                <w:sz w:val="24"/>
              </w:rPr>
              <w:ind w:firstLine="0" w:firstLineChars="200"/>
              <w:jc w:val="both"/>
              <w:keepNext w:val="0"/>
              <w:keepLines w:val="0"/>
              <w:widowControl w:val="1"/>
              <w:wordWrap w:val="0"/>
            </w:pPr>
            <w:r>
              <w:rPr>
                <w:rFonts w:ascii="Times New Roman" w:hAnsi="Times New Roman" w:eastAsia="仿宋_GB2312"/>
                <w:sz w:val="24"/>
                <w:szCs w:val="24"/>
                <w:color w:val="000000"/>
              </w:rPr>
              <w:t>研究内容一为语言条件控制方法。整理MICA-VLA的PSM指令锚记忆、SCE语义控制专家与DSR路由机制，在等价措辞、操作对象与避让对象角色变化中评价要求满足。保留LACE与LIBERO-Para原始协议、组件比较和适用范围，必要时补充原始统计及个人贡献说明。</w:t>
            </w:r>
          </w:p>
          <w:p>
            <w:pPr>
              <w:pStyle w:val="Normal"/>
              <w:spacing w:before="0" w:after="20" w:line="336" w:lineRule="exact"/>
              <w:rPr>
                <w:rFonts w:eastAsia="黑体" w:hint="eastAsia"/>
                <w:sz w:val="24"/>
              </w:rPr>
              <w:ind w:firstLine="0" w:firstLineChars="200"/>
              <w:jc w:val="both"/>
              <w:keepNext w:val="0"/>
              <w:keepLines w:val="0"/>
              <w:widowControl w:val="1"/>
              <w:wordWrap w:val="0"/>
            </w:pPr>
            <w:r>
              <w:rPr>
                <w:rFonts w:ascii="Times New Roman" w:hAnsi="Times New Roman" w:eastAsia="仿宋_GB2312"/>
                <w:sz w:val="24"/>
                <w:szCs w:val="24"/>
                <w:color w:val="000000"/>
              </w:rPr>
              <w:t>研究内容二为场景变化下动作策略适应。以现有π0.5 SFT检查点为起点，建立RLinf中的Flow-SDE PPO同协议基线；通过可控目标几何与动作条件诊断，区分数据覆盖、条件使用、执行频率和低层控制对失败的影响。根据诊断结果，探索执行反馈驱动的条件利用与动作生成协同适应机制，具体接口、训练目标和参数更新范围在基线后确定。</w:t>
            </w:r>
          </w:p>
          <w:p>
            <w:pPr>
              <w:pStyle w:val="Normal"/>
              <w:spacing w:before="0" w:after="20" w:line="336" w:lineRule="exact"/>
              <w:rPr>
                <w:rFonts w:eastAsia="黑体" w:hint="eastAsia"/>
                <w:sz w:val="24"/>
              </w:rPr>
              <w:ind w:firstLine="0" w:firstLineChars="200"/>
              <w:jc w:val="both"/>
              <w:keepNext w:val="0"/>
              <w:keepLines w:val="0"/>
              <w:widowControl w:val="1"/>
              <w:wordWrap w:val="0"/>
            </w:pPr>
            <w:r>
              <w:rPr>
                <w:rFonts w:ascii="Times New Roman" w:hAnsi="Times New Roman" w:eastAsia="仿宋_GB2312"/>
                <w:sz w:val="24"/>
                <w:szCs w:val="24"/>
                <w:color w:val="000000"/>
              </w:rPr>
              <w:t>研究内容三为联合评测。设计同场景改变要求、同要求改变相关物理条件和无关因素变化三类设置，记录操作完成、指令满足、碰撞、持握与终态精度。增加少量要求与场景同时变化的任务，评估原任务能力是否保留，并在满足标定及控制条件后选择少量实验室器皿真机操作验证。</w:t>
            </w:r>
          </w:p>
          <w:p>
            <w:pPr>
              <w:pStyle w:val="Normal"/>
              <w:spacing w:before="40" w:after="40" w:line="336" w:lineRule="exact"/>
              <w:rPr>
                <w:rFonts w:eastAsia="黑体" w:hint="eastAsia"/>
                <w:sz w:val="24"/>
              </w:rPr>
              <w:ind w:firstLine="0" w:firstLineChars="0"/>
              <w:jc w:val="left"/>
              <w:keepNext w:val="1"/>
              <w:keepLines w:val="0"/>
              <w:widowControl w:val="1"/>
              <w:wordWrap w:val="0"/>
            </w:pPr>
            <w:r>
              <w:rPr>
                <w:rFonts w:ascii="Times New Roman" w:hAnsi="Times New Roman" w:eastAsia="仿宋_GB2312"/>
                <w:sz w:val="24"/>
                <w:szCs w:val="24"/>
                <w:color w:val="000000"/>
                <w:b/>
              </w:rPr>
              <w:t>1.3 拟解决的关键问题</w:t>
            </w:r>
          </w:p>
          <w:p>
            <w:pPr>
              <w:pStyle w:val="Normal"/>
              <w:spacing w:before="0" w:after="20" w:line="336" w:lineRule="exact"/>
              <w:rPr>
                <w:rFonts w:eastAsia="黑体" w:hint="eastAsia"/>
                <w:sz w:val="24"/>
              </w:rPr>
              <w:ind w:firstLine="0" w:firstLineChars="200"/>
              <w:jc w:val="both"/>
              <w:keepNext w:val="0"/>
              <w:keepLines w:val="0"/>
              <w:widowControl w:val="1"/>
              <w:wordWrap w:val="0"/>
            </w:pPr>
            <w:r>
              <w:rPr>
                <w:rFonts w:ascii="Times New Roman" w:hAnsi="Times New Roman" w:eastAsia="仿宋_GB2312"/>
                <w:sz w:val="24"/>
                <w:szCs w:val="24"/>
                <w:color w:val="000000"/>
              </w:rPr>
              <w:t>第一，任务条件的行为有效性。模型应在同义表达下保持要求，在目标或角色改变时改变操作选择，在相关几何改变时调整动作，同时对无关变化保持稳定。需要建立对应的条件干预和行为指标，避免仅用注意力或特征可解码作为对齐证据。</w:t>
            </w:r>
          </w:p>
          <w:p>
            <w:pPr>
              <w:pStyle w:val="Normal"/>
              <w:spacing w:before="0" w:after="20" w:line="336" w:lineRule="exact"/>
              <w:rPr>
                <w:rFonts w:eastAsia="黑体" w:hint="eastAsia"/>
                <w:sz w:val="24"/>
              </w:rPr>
              <w:ind w:firstLine="0" w:firstLineChars="200"/>
              <w:jc w:val="both"/>
              <w:keepNext w:val="0"/>
              <w:keepLines w:val="0"/>
              <w:widowControl w:val="1"/>
              <w:wordWrap w:val="0"/>
            </w:pPr>
            <w:r>
              <w:rPr>
                <w:rFonts w:ascii="Times New Roman" w:hAnsi="Times New Roman" w:eastAsia="仿宋_GB2312"/>
                <w:sz w:val="24"/>
                <w:szCs w:val="24"/>
                <w:color w:val="000000"/>
              </w:rPr>
              <w:t>第二，有限示范下的反馈驱动适应。50条当前示范提供了动作学习起点，但覆盖有限。拟检验策略自身交互如何提供成功、失败与恢复状态，以及这些反馈怎样改善生成分布并保持原能力。RL是否优于同成本监督学习属于实验问题，而非前置结论。</w:t>
            </w:r>
          </w:p>
          <w:p>
            <w:pPr>
              <w:pStyle w:val="Normal"/>
              <w:spacing w:before="0" w:after="20" w:line="336" w:lineRule="exact"/>
              <w:rPr>
                <w:rFonts w:eastAsia="黑体" w:hint="eastAsia"/>
                <w:sz w:val="24"/>
              </w:rPr>
              <w:ind w:firstLine="0" w:firstLineChars="200"/>
              <w:jc w:val="both"/>
              <w:keepNext w:val="0"/>
              <w:keepLines w:val="0"/>
              <w:widowControl w:val="1"/>
              <w:wordWrap w:val="0"/>
            </w:pPr>
            <w:r>
              <w:rPr>
                <w:rFonts w:ascii="Times New Roman" w:hAnsi="Times New Roman" w:eastAsia="仿宋_GB2312"/>
                <w:sz w:val="24"/>
                <w:szCs w:val="24"/>
                <w:color w:val="000000"/>
              </w:rPr>
              <w:t>第三，跨框架学习闭环的可靠性。必须统一动作单位、24维物理映射、模型padding、归一化、预测长度、真实执行前缀、终态和回报，避免接口差异形成虚假的学习增益。</w:t>
            </w:r>
          </w:p>
          <w:p>
            <w:pPr>
              <w:pStyle w:val="Normal"/>
              <w:spacing w:before="40" w:after="40" w:line="336" w:lineRule="exact"/>
              <w:rPr>
                <w:rFonts w:eastAsia="黑体" w:hint="eastAsia"/>
                <w:sz w:val="24"/>
              </w:rPr>
              <w:ind w:firstLine="0" w:firstLineChars="0"/>
              <w:jc w:val="left"/>
              <w:keepNext w:val="1"/>
              <w:keepLines w:val="0"/>
              <w:widowControl w:val="1"/>
              <w:wordWrap w:val="0"/>
            </w:pPr>
            <w:r>
              <w:rPr>
                <w:rFonts w:ascii="Times New Roman" w:hAnsi="Times New Roman" w:eastAsia="仿宋_GB2312"/>
                <w:sz w:val="24"/>
                <w:szCs w:val="24"/>
                <w:color w:val="000000"/>
                <w:b/>
              </w:rPr>
              <w:t>1.4 已有贡献与拟创新点</w:t>
            </w:r>
          </w:p>
          <w:p>
            <w:pPr>
              <w:pStyle w:val="Normal"/>
              <w:spacing w:before="0" w:after="20" w:line="336" w:lineRule="exact"/>
              <w:rPr>
                <w:rFonts w:eastAsia="黑体" w:hint="eastAsia"/>
                <w:sz w:val="24"/>
              </w:rPr>
              <w:ind w:firstLine="0" w:firstLineChars="200"/>
              <w:jc w:val="both"/>
              <w:keepNext w:val="0"/>
              <w:keepLines w:val="0"/>
              <w:widowControl w:val="1"/>
              <w:wordWrap w:val="0"/>
            </w:pPr>
            <w:r>
              <w:rPr>
                <w:rFonts w:ascii="Times New Roman" w:hAnsi="Times New Roman" w:eastAsia="仿宋_GB2312"/>
                <w:sz w:val="24"/>
                <w:szCs w:val="24"/>
                <w:color w:val="000000"/>
              </w:rPr>
              <w:t>已有方法贡献是MICA将指令参考选择与动作侧反复条件化连接，并在稿件中报告表达、角色与避让任务评测。该项作为前期成果，不因纳入开题而改变投稿状态或扩大原实验范围。</w:t>
            </w:r>
          </w:p>
          <w:p>
            <w:pPr>
              <w:pStyle w:val="Normal"/>
              <w:spacing w:before="0" w:after="20" w:line="336" w:lineRule="exact"/>
              <w:rPr>
                <w:rFonts w:eastAsia="黑体" w:hint="eastAsia"/>
                <w:sz w:val="24"/>
              </w:rPr>
              <w:ind w:firstLine="0" w:firstLineChars="200"/>
              <w:jc w:val="both"/>
              <w:keepNext w:val="0"/>
              <w:keepLines w:val="0"/>
              <w:widowControl w:val="1"/>
              <w:wordWrap w:val="0"/>
            </w:pPr>
            <w:r>
              <w:rPr>
                <w:rFonts w:ascii="Times New Roman" w:hAnsi="Times New Roman" w:eastAsia="仿宋_GB2312"/>
                <w:sz w:val="24"/>
                <w:szCs w:val="24"/>
                <w:color w:val="000000"/>
              </w:rPr>
              <w:t>拟开展的方法贡献是探索以执行后果检验并改善动作端条件利用的机制，重点分析相关条件变化与动作调整之间的关系。可研究条件接口与动作专家的选择性更新及其反馈约束，但具体算法形式需结合普通PPO、CounterAlign、TEMPO等近邻对照确定。</w:t>
            </w:r>
          </w:p>
          <w:p>
            <w:pPr>
              <w:pStyle w:val="Normal"/>
              <w:spacing w:before="0" w:after="20" w:line="336" w:lineRule="exact"/>
              <w:rPr>
                <w:rFonts w:eastAsia="黑体" w:hint="eastAsia"/>
                <w:sz w:val="24"/>
              </w:rPr>
              <w:ind w:firstLine="0" w:firstLineChars="200"/>
              <w:jc w:val="both"/>
              <w:keepNext w:val="0"/>
              <w:keepLines w:val="0"/>
              <w:widowControl w:val="1"/>
              <w:wordWrap w:val="0"/>
            </w:pPr>
            <w:r>
              <w:rPr>
                <w:rFonts w:ascii="Times New Roman" w:hAnsi="Times New Roman" w:eastAsia="仿宋_GB2312"/>
                <w:sz w:val="24"/>
                <w:szCs w:val="24"/>
                <w:color w:val="000000"/>
              </w:rPr>
              <w:t>拟开展的评价贡献是建立任务要求与物理条件分开控制、可交叉分析的实验协议。PPO、LoRA、RLinf适配和实验室部署均属于基础方法或工程载体，不单独列为算法创新点。若普通PPO或同成本监督学习已解决目标问题，应据此调整方法贡献。</w:t>
            </w:r>
          </w:p>
        </w:tc>
      </w:tr>
    </w:tbl>
    <w:p>
      <w:pPr>
        <w:pStyle w:val="Normal"/>
        <w:spacing w:before="0" w:after="20" w:line="30" w:lineRule="exact"/>
        <w:rPr>
          <w:rFonts w:eastAsia="黑体" w:hint="eastAsia"/>
          <w:sz w:val="24"/>
        </w:rPr>
        <w:ind w:firstLine="0" w:firstLineChars="0"/>
        <w:jc w:val="left"/>
        <w:keepNext w:val="1"/>
        <w:keepLines w:val="0"/>
        <w:widowControl w:val="1"/>
        <w:wordWrap w:val="0"/>
      </w:pPr>
      <w:r>
        <w:rPr>
          <w:rFonts w:ascii="Times New Roman" w:hAnsi="Times New Roman" w:eastAsia="仿宋_GB2312"/>
          <w:sz w:val="2"/>
          <w:szCs w:val="2"/>
          <w:color w:val="000000"/>
        </w:rPr>
        <w:t/>
      </w:r>
    </w:p>
    <w:tbl>
      <w:tblPr>
        <w:tblW w:w="9828" w:type="dxa"/>
        <w:jc w:val="start"/>
        <w:tblInd w:w="0" w:type="dxa"/>
        <w:tblLayout w:type="fixed"/>
        <w:tblCellMar>
          <w:top w:w="0" w:type="dxa"/>
          <w:start w:w="108" w:type="dxa"/>
          <w:bottom w:w="0" w:type="dxa"/>
          <w:end w:w="108" w:type="dxa"/>
        </w:tblCellMar>
      </w:tblPr>
      <w:tblGrid>
        <w:gridCol w:w="9828"/>
      </w:tblGrid>
      <w:tr>
        <w:trPr/>
        <w:tc>
          <w:tcPr>
            <w:tcW w:w="9828" w:type="dxa"/>
            <w:tcBorders>
              <w:top w:val="single" w:sz="12" w:space="0" w:color="000000"/>
              <w:start w:val="single" w:sz="12" w:space="0" w:color="000000"/>
              <w:bottom w:val="single" w:sz="12" w:space="0" w:color="000000"/>
              <w:end w:val="single" w:sz="12" w:space="0" w:color="000000"/>
            </w:tcBorders>
          </w:tcPr>
          <w:p>
            <w:pPr>
              <w:pStyle w:val="Normal"/>
              <w:spacing w:before="40" w:after="40" w:line="336" w:lineRule="exact"/>
              <w:rPr>
                <w:rFonts w:eastAsia="黑体" w:hint="eastAsia"/>
                <w:sz w:val="24"/>
              </w:rPr>
              <w:ind w:firstLine="0" w:firstLineChars="0"/>
              <w:jc w:val="left"/>
              <w:keepNext w:val="1"/>
              <w:keepLines w:val="0"/>
              <w:widowControl w:val="1"/>
              <w:wordWrap w:val="0"/>
            </w:pPr>
            <w:r>
              <w:rPr>
                <w:rFonts w:ascii="Times New Roman" w:hAnsi="Times New Roman" w:eastAsia="仿宋_GB2312"/>
                <w:sz w:val="24"/>
                <w:szCs w:val="24"/>
                <w:color w:val="000000"/>
                <w:b/>
              </w:rPr>
              <w:t>2. 拟采取的研究方法、技术路线、实施方案及可行性分析</w:t>
            </w:r>
          </w:p>
          <w:p>
            <w:pPr>
              <w:pStyle w:val="Normal"/>
              <w:spacing w:before="40" w:after="40" w:line="336" w:lineRule="exact"/>
              <w:rPr>
                <w:rFonts w:eastAsia="黑体" w:hint="eastAsia"/>
                <w:sz w:val="24"/>
              </w:rPr>
              <w:ind w:firstLine="0" w:firstLineChars="0"/>
              <w:jc w:val="left"/>
              <w:keepNext w:val="1"/>
              <w:keepLines w:val="0"/>
              <w:widowControl w:val="1"/>
              <w:wordWrap w:val="0"/>
            </w:pPr>
            <w:r>
              <w:rPr>
                <w:rFonts w:ascii="Times New Roman" w:hAnsi="Times New Roman" w:eastAsia="仿宋_GB2312"/>
                <w:sz w:val="24"/>
                <w:szCs w:val="24"/>
                <w:color w:val="000000"/>
                <w:b/>
              </w:rPr>
              <w:t>2.1 技术路线</w:t>
            </w:r>
          </w:p>
          <w:p>
            <w:pPr>
              <w:pStyle w:val="Normal"/>
              <w:spacing w:before="0" w:after="20" w:line="336" w:lineRule="exact"/>
              <w:rPr>
                <w:rFonts w:eastAsia="黑体" w:hint="eastAsia"/>
                <w:sz w:val="24"/>
              </w:rPr>
              <w:ind w:firstLine="0" w:firstLineChars="200"/>
              <w:jc w:val="both"/>
              <w:keepNext w:val="0"/>
              <w:keepLines w:val="0"/>
              <w:widowControl w:val="1"/>
              <w:wordWrap w:val="0"/>
            </w:pPr>
            <w:r>
              <w:rPr>
                <w:rFonts w:ascii="Times New Roman" w:hAnsi="Times New Roman" w:eastAsia="仿宋_GB2312"/>
                <w:sz w:val="24"/>
                <w:szCs w:val="24"/>
                <w:color w:val="000000"/>
              </w:rPr>
              <w:t>总体路线为：前期方法与本体证据整理，固定SFT与评价协议，验收交互训练闭环，建立场景变化基线，诊断条件利用，设计针对性方法并进行消融，最后开展选定应用验证与论文整理。</w:t>
            </w:r>
          </w:p>
          <w:p>
            <w:pPr>
              <w:pStyle w:val="Normal"/>
              <w:spacing w:before="0" w:after="20" w:line="336" w:lineRule="exact"/>
              <w:rPr>
                <w:rFonts w:eastAsia="黑体" w:hint="eastAsia"/>
                <w:sz w:val="24"/>
              </w:rPr>
              <w:ind w:firstLine="0" w:firstLineChars="200"/>
              <w:jc w:val="both"/>
              <w:keepNext w:val="0"/>
              <w:keepLines w:val="0"/>
              <w:widowControl w:val="1"/>
              <w:wordWrap w:val="0"/>
            </w:pPr>
            <w:r>
              <w:rPr>
                <w:rFonts w:ascii="Times New Roman" w:hAnsi="Times New Roman" w:eastAsia="仿宋_GB2312"/>
                <w:sz w:val="24"/>
                <w:szCs w:val="24"/>
                <w:color w:val="000000"/>
              </w:rPr>
              <w:t>第一阶段优先采用Flow-SDE加PPO，冻结视觉语言主干，更新动作专家、动作侧投影与价值头。本地实现利用保存的随机去噪转移及概率计算策略更新，环境不需要可微。先保留无LoRA配置，待可训练模块、实际梯度和保存恢复验证后，再按需要比较专家限定的LoRA或轻量接口更新。</w:t>
            </w:r>
          </w:p>
          <w:p>
            <w:pPr>
              <w:pStyle w:val="Normal"/>
              <w:spacing w:before="40" w:after="40" w:line="336" w:lineRule="exact"/>
              <w:rPr>
                <w:rFonts w:eastAsia="黑体" w:hint="eastAsia"/>
                <w:sz w:val="24"/>
              </w:rPr>
              <w:ind w:firstLine="0" w:firstLineChars="0"/>
              <w:jc w:val="left"/>
              <w:keepNext w:val="1"/>
              <w:keepLines w:val="0"/>
              <w:widowControl w:val="1"/>
              <w:wordWrap w:val="0"/>
            </w:pPr>
            <w:r>
              <w:rPr>
                <w:rFonts w:ascii="Times New Roman" w:hAnsi="Times New Roman" w:eastAsia="仿宋_GB2312"/>
                <w:sz w:val="24"/>
                <w:szCs w:val="24"/>
                <w:color w:val="000000"/>
                <w:b/>
              </w:rPr>
              <w:t>2.2 交互训练与回报</w:t>
            </w:r>
          </w:p>
          <w:p>
            <w:pPr>
              <w:pStyle w:val="Normal"/>
              <w:spacing w:before="0" w:after="20" w:line="336" w:lineRule="exact"/>
              <w:rPr>
                <w:rFonts w:eastAsia="黑体" w:hint="eastAsia"/>
                <w:sz w:val="24"/>
              </w:rPr>
              <w:ind w:firstLine="0" w:firstLineChars="200"/>
              <w:jc w:val="both"/>
              <w:keepNext w:val="0"/>
              <w:keepLines w:val="0"/>
              <w:widowControl w:val="1"/>
              <w:wordWrap w:val="0"/>
            </w:pPr>
            <w:r>
              <w:rPr>
                <w:rFonts w:ascii="Times New Roman" w:hAnsi="Times New Roman" w:eastAsia="仿宋_GB2312"/>
                <w:sz w:val="24"/>
                <w:szCs w:val="24"/>
                <w:color w:val="000000"/>
              </w:rPr>
              <w:t>策略输入三路RGB、实测本体状态与有效任务指令，输出经现有变换恢复的24维臂手目标。仿真器执行真实动作前缀，返回新观察、回报、终止和截断；训练端保存采样链、旧概率及价值估计，计算优势并更新参数，然后将新权重同步给采样端。训练后独立评测实际保存的策略。</w:t>
            </w:r>
          </w:p>
          <w:p>
            <w:pPr>
              <w:pStyle w:val="Normal"/>
              <w:spacing w:before="0" w:after="20" w:line="336" w:lineRule="exact"/>
              <w:rPr>
                <w:rFonts w:eastAsia="黑体" w:hint="eastAsia"/>
                <w:sz w:val="24"/>
              </w:rPr>
              <w:ind w:firstLine="0" w:firstLineChars="200"/>
              <w:jc w:val="both"/>
              <w:keepNext w:val="0"/>
              <w:keepLines w:val="0"/>
              <w:widowControl w:val="1"/>
              <w:wordWrap w:val="0"/>
            </w:pPr>
            <w:r>
              <w:rPr>
                <w:rFonts w:ascii="Times New Roman" w:hAnsi="Times New Roman" w:eastAsia="仿宋_GB2312"/>
                <w:sz w:val="24"/>
                <w:szCs w:val="24"/>
                <w:color w:val="000000"/>
              </w:rPr>
              <w:t>仿真物体真值可用于计算任务回报，不作为部署actor的额外输入。优先校准抓起、转直及连续持握的真实判据，区分任务成功、失败和超时。当前native成功只检查部分位置与高度，不能代替保持要求；回报须通过视频、接触和姿态记录核对。若稀疏回报下受扰场景几乎全部失败，先采用轻扰动课程或可靠阶段反馈，而不单纯更换算法。</w:t>
            </w:r>
          </w:p>
          <w:p>
            <w:pPr>
              <w:pStyle w:val="Normal"/>
              <w:spacing w:before="40" w:after="40" w:line="336" w:lineRule="exact"/>
              <w:rPr>
                <w:rFonts w:eastAsia="黑体" w:hint="eastAsia"/>
                <w:sz w:val="24"/>
              </w:rPr>
              <w:ind w:firstLine="0" w:firstLineChars="0"/>
              <w:jc w:val="left"/>
              <w:keepNext w:val="1"/>
              <w:keepLines w:val="0"/>
              <w:widowControl w:val="1"/>
              <w:wordWrap w:val="0"/>
            </w:pPr>
            <w:r>
              <w:rPr>
                <w:rFonts w:ascii="Times New Roman" w:hAnsi="Times New Roman" w:eastAsia="仿宋_GB2312"/>
                <w:sz w:val="24"/>
                <w:szCs w:val="24"/>
                <w:color w:val="000000"/>
                <w:b/>
              </w:rPr>
              <w:t>2.3 实施方案与实验设计</w:t>
            </w:r>
          </w:p>
          <w:p>
            <w:pPr>
              <w:pStyle w:val="Normal"/>
              <w:spacing w:before="0" w:after="20" w:line="336" w:lineRule="exact"/>
              <w:rPr>
                <w:rFonts w:eastAsia="黑体" w:hint="eastAsia"/>
                <w:sz w:val="24"/>
              </w:rPr>
              <w:ind w:firstLine="0" w:firstLineChars="200"/>
              <w:jc w:val="both"/>
              <w:keepNext w:val="0"/>
              <w:keepLines w:val="0"/>
              <w:widowControl w:val="1"/>
              <w:wordWrap w:val="0"/>
            </w:pPr>
            <w:r>
              <w:rPr>
                <w:rFonts w:ascii="Times New Roman" w:hAnsi="Times New Roman" w:eastAsia="仿宋_GB2312"/>
                <w:sz w:val="24"/>
                <w:szCs w:val="24"/>
                <w:color w:val="000000"/>
              </w:rPr>
              <w:t>阶段一复用现有单瓶操作，小范围改变初始位置和姿态，统一预测H16、执行K、物理时限及终止规则，评测SFT与普通PPO。旧JAX演示使用K16，新增RLinf预设使用K1且时限更短，必须先在同一协议重测SFT，避免把控制频率变化算作RL收益。</w:t>
            </w:r>
          </w:p>
          <w:p>
            <w:pPr>
              <w:pStyle w:val="Normal"/>
              <w:spacing w:before="0" w:after="20" w:line="336" w:lineRule="exact"/>
              <w:rPr>
                <w:rFonts w:eastAsia="黑体" w:hint="eastAsia"/>
                <w:sz w:val="24"/>
              </w:rPr>
              <w:ind w:firstLine="0" w:firstLineChars="200"/>
              <w:jc w:val="both"/>
              <w:keepNext w:val="0"/>
              <w:keepLines w:val="0"/>
              <w:widowControl w:val="1"/>
              <w:wordWrap w:val="0"/>
            </w:pPr>
            <w:r>
              <w:rPr>
                <w:rFonts w:ascii="Times New Roman" w:hAnsi="Times New Roman" w:eastAsia="仿宋_GB2312"/>
                <w:sz w:val="24"/>
                <w:szCs w:val="24"/>
                <w:color w:val="000000"/>
              </w:rPr>
              <w:t>阶段二加入少量对象选择或角色要求，先确认基座具有可用成功起点，再构建要求与布局的配对测试。仅单对象和固定指令不能支撑完整多模态条件控制结论。阶段三按前期结果加入规定时刻和幅度的物理扰动；当前适配只有初态采样，动态事件需新增并验证。</w:t>
            </w:r>
          </w:p>
          <w:p>
            <w:pPr>
              <w:pStyle w:val="Normal"/>
              <w:spacing w:before="0" w:after="20" w:line="336" w:lineRule="exact"/>
              <w:rPr>
                <w:rFonts w:eastAsia="黑体" w:hint="eastAsia"/>
                <w:sz w:val="24"/>
              </w:rPr>
              <w:ind w:firstLine="0" w:firstLineChars="200"/>
              <w:jc w:val="both"/>
              <w:keepNext w:val="0"/>
              <w:keepLines w:val="0"/>
              <w:widowControl w:val="1"/>
              <w:wordWrap w:val="0"/>
            </w:pPr>
            <w:r>
              <w:rPr>
                <w:rFonts w:ascii="Times New Roman" w:hAnsi="Times New Roman" w:eastAsia="仿宋_GB2312"/>
                <w:sz w:val="24"/>
                <w:szCs w:val="24"/>
                <w:color w:val="000000"/>
              </w:rPr>
              <w:t>对照包括原SFT、同预算新增受扰或纠正数据SFT、普通Flow-SDE PPO及拟方法，按需要增加DSRL或动作残差。评价固定训练与留出场景，记录任务SR、条件满足、全轨迹碰撞、终态精度、持握或恢复时长、交互数及训练推理成本。正式比较拟采用至少3个独立训练种子和相同测试初态，报告各种子结果与不确定性；具体测试规模先由吞吐预实验确定，不能把同一模型的多次rollout当独立训练重复。</w:t>
            </w:r>
          </w:p>
          <w:p>
            <w:pPr>
              <w:pStyle w:val="Normal"/>
              <w:spacing w:before="40" w:after="40" w:line="336" w:lineRule="exact"/>
              <w:rPr>
                <w:rFonts w:eastAsia="黑体" w:hint="eastAsia"/>
                <w:sz w:val="24"/>
              </w:rPr>
              <w:ind w:firstLine="0" w:firstLineChars="0"/>
              <w:jc w:val="left"/>
              <w:keepNext w:val="1"/>
              <w:keepLines w:val="0"/>
              <w:widowControl w:val="1"/>
              <w:wordWrap w:val="0"/>
            </w:pPr>
            <w:r>
              <w:rPr>
                <w:rFonts w:ascii="Times New Roman" w:hAnsi="Times New Roman" w:eastAsia="仿宋_GB2312"/>
                <w:sz w:val="24"/>
                <w:szCs w:val="24"/>
                <w:color w:val="000000"/>
                <w:b/>
              </w:rPr>
              <w:t>2.4 可行性与调整方案</w:t>
            </w:r>
          </w:p>
          <w:p>
            <w:pPr>
              <w:pStyle w:val="Normal"/>
              <w:spacing w:before="0" w:after="20" w:line="336" w:lineRule="exact"/>
              <w:rPr>
                <w:rFonts w:eastAsia="黑体" w:hint="eastAsia"/>
                <w:sz w:val="24"/>
              </w:rPr>
              <w:ind w:firstLine="0" w:firstLineChars="200"/>
              <w:jc w:val="both"/>
              <w:keepNext w:val="0"/>
              <w:keepLines w:val="0"/>
              <w:widowControl w:val="1"/>
              <w:wordWrap w:val="0"/>
            </w:pPr>
            <w:r>
              <w:rPr>
                <w:rFonts w:ascii="Times New Roman" w:hAnsi="Times New Roman" w:eastAsia="仿宋_GB2312"/>
                <w:sz w:val="24"/>
                <w:szCs w:val="24"/>
                <w:color w:val="000000"/>
              </w:rPr>
              <w:t>前期MICA方法与实验、RealMan仿真数据、π0.5训练检查点及RLinf组件接入提供了基础。主要剩余门槛是JAX到PyTorch权重恢复、完整变换及模型采样、RLinf内SFT闭环、PPO真实更新与资源测量。首先完成小批更新、保存、重载和新权重同步，再扩大并行环境，降低整套实验同时失效的排查成本。</w:t>
            </w:r>
          </w:p>
          <w:p>
            <w:pPr>
              <w:pStyle w:val="Normal"/>
              <w:spacing w:before="0" w:after="20" w:line="336" w:lineRule="exact"/>
              <w:rPr>
                <w:rFonts w:eastAsia="黑体" w:hint="eastAsia"/>
                <w:sz w:val="24"/>
              </w:rPr>
              <w:ind w:firstLine="0" w:firstLineChars="200"/>
              <w:jc w:val="both"/>
              <w:keepNext w:val="0"/>
              <w:keepLines w:val="0"/>
              <w:widowControl w:val="1"/>
              <w:wordWrap w:val="0"/>
            </w:pPr>
            <w:r>
              <w:rPr>
                <w:rFonts w:ascii="Times New Roman" w:hAnsi="Times New Roman" w:eastAsia="仿宋_GB2312"/>
                <w:sz w:val="24"/>
                <w:szCs w:val="24"/>
                <w:color w:val="000000"/>
              </w:rPr>
              <w:t>方法结论以证据决定：若缩短执行chunk即可解决主要失败，研究重点应转向闭环时序；若等成本监督学习表现相当，应明确RL收益边界；若新增条件机制相对普通PPO没有独立增益，应保留负结果并收窄机制主张。仿真增益需要另外的真机验证，不自动视为现实适应能力。</w:t>
            </w:r>
          </w:p>
        </w:tc>
      </w:tr>
    </w:tbl>
    <w:p>
      <w:pPr>
        <w:pStyle w:val="Normal"/>
        <w:rPr>
          <w:rFonts w:eastAsia="黑体" w:hint="eastAsia"/>
          <w:sz w:val="24"/>
        </w:rPr>
        <w:keepNext w:val="1"/>
      </w:pPr>
      <w:r>
        <w:rPr>
          <w:rFonts w:hint="eastAsia" w:eastAsia="黑体"/>
          <w:sz w:val="24"/>
        </w:rPr>
        <w:t>四、研究基础</w:t>
      </w:r>
    </w:p>
    <w:tbl>
      <w:tblPr>
        <w:tblW w:w="9828" w:type="dxa"/>
        <w:jc w:val="center"/>
        <w:tblInd w:w="0" w:type="dxa"/>
        <w:tblLayout w:type="fixed"/>
        <w:tblCellMar>
          <w:top w:w="0" w:type="dxa"/>
          <w:start w:w="108" w:type="dxa"/>
          <w:bottom w:w="0" w:type="dxa"/>
          <w:end w:w="108" w:type="dxa"/>
        </w:tblCellMar>
      </w:tblPr>
      <w:tblGrid>
        <w:gridCol w:w="9828"/>
      </w:tblGrid>
      <w:tr>
        <w:trPr/>
        <w:tc>
          <w:tcPr>
            <w:tcW w:w="9828" w:type="dxa"/>
            <w:tcBorders>
              <w:top w:val="single" w:sz="12" w:space="0" w:color="000000"/>
              <w:start w:val="single" w:sz="12" w:space="0" w:color="000000"/>
              <w:bottom w:val="single" w:sz="12" w:space="0" w:color="000000"/>
              <w:end w:val="single" w:sz="12" w:space="0" w:color="000000"/>
            </w:tcBorders>
          </w:tcPr>
          <w:p>
            <w:pPr>
              <w:pStyle w:val="Normal"/>
              <w:spacing w:before="40" w:after="40" w:line="336" w:lineRule="exact"/>
              <w:rPr>
                <w:rFonts w:eastAsia="黑体" w:hint="eastAsia"/>
                <w:sz w:val="24"/>
              </w:rPr>
              <w:ind w:firstLine="0" w:firstLineChars="0"/>
              <w:jc w:val="left"/>
              <w:keepNext w:val="1"/>
              <w:keepLines w:val="0"/>
              <w:widowControl w:val="1"/>
              <w:wordWrap w:val="0"/>
            </w:pPr>
            <w:r>
              <w:rPr>
                <w:rFonts w:ascii="Times New Roman" w:hAnsi="Times New Roman" w:eastAsia="仿宋_GB2312"/>
                <w:sz w:val="24"/>
                <w:szCs w:val="24"/>
                <w:color w:val="000000"/>
                <w:b/>
              </w:rPr>
              <w:t>1. 所需实验手段、研究条件和实验条件</w:t>
            </w:r>
          </w:p>
          <w:p>
            <w:pPr>
              <w:pStyle w:val="Normal"/>
              <w:spacing w:before="0" w:after="20" w:line="336" w:lineRule="exact"/>
              <w:rPr>
                <w:rFonts w:eastAsia="黑体" w:hint="eastAsia"/>
                <w:sz w:val="24"/>
              </w:rPr>
              <w:ind w:firstLine="0" w:firstLineChars="200"/>
              <w:jc w:val="both"/>
              <w:keepNext w:val="0"/>
              <w:keepLines w:val="0"/>
              <w:widowControl w:val="1"/>
              <w:wordWrap w:val="0"/>
            </w:pPr>
            <w:r>
              <w:rPr>
                <w:rFonts w:ascii="Times New Roman" w:hAnsi="Times New Roman" w:eastAsia="仿宋_GB2312"/>
                <w:sz w:val="24"/>
                <w:szCs w:val="24"/>
                <w:color w:val="000000"/>
              </w:rPr>
              <w:t>前期已形成MICA-VLA投稿稿件。稿件报告单SO-100平台17个LACE实验室器皿任务，未见措辞平均SR为76.7%，基线为42.1%；两项角色互换平均SR为86.0%，基线为14.0%，并包含LIBERO-Para及组件比较。这些为既有稿件结果，原始统计与个人贡献仍需整理，不是本次复现实测或RealMan结果。</w:t>
            </w:r>
          </w:p>
          <w:p>
            <w:pPr>
              <w:pStyle w:val="Normal"/>
              <w:spacing w:before="0" w:after="20" w:line="336" w:lineRule="exact"/>
              <w:rPr>
                <w:rFonts w:eastAsia="黑体" w:hint="eastAsia"/>
                <w:sz w:val="24"/>
              </w:rPr>
              <w:ind w:firstLine="0" w:firstLineChars="200"/>
              <w:jc w:val="both"/>
              <w:keepNext w:val="0"/>
              <w:keepLines w:val="0"/>
              <w:widowControl w:val="1"/>
              <w:wordWrap w:val="0"/>
            </w:pPr>
            <w:r>
              <w:rPr>
                <w:rFonts w:ascii="Times New Roman" w:hAnsi="Times New Roman" w:eastAsia="仿宋_GB2312"/>
                <w:sz w:val="24"/>
                <w:szCs w:val="24"/>
                <w:color w:val="000000"/>
              </w:rPr>
              <w:t>后续平台已有RM65-B双臂灵巧手的RoboTwin接口与50条物理仿真专家轨迹，包含11,098个观测动作对、三路RGB和24维动作映射；已在π0.5上开展本体全参数SFT并保存8万步检查点。该数据是仿真专家数据，不是50条真机数据。当前六个训练原起点的真实模型仿真回测中存在抓持成功和失败，提供了初步执行与问题诊断证据，尚不能代表完整数据集SR或受扰泛化率。</w:t>
            </w:r>
          </w:p>
          <w:p>
            <w:pPr>
              <w:pStyle w:val="Normal"/>
              <w:spacing w:before="0" w:after="20" w:line="336" w:lineRule="exact"/>
              <w:rPr>
                <w:rFonts w:eastAsia="黑体" w:hint="eastAsia"/>
                <w:sz w:val="24"/>
              </w:rPr>
              <w:ind w:firstLine="0" w:firstLineChars="200"/>
              <w:jc w:val="both"/>
              <w:keepNext w:val="0"/>
              <w:keepLines w:val="0"/>
              <w:widowControl w:val="1"/>
              <w:wordWrap w:val="0"/>
            </w:pPr>
            <w:r>
              <w:rPr>
                <w:rFonts w:ascii="Times New Roman" w:hAnsi="Times New Roman" w:eastAsia="仿宋_GB2312"/>
                <w:sz w:val="24"/>
                <w:szCs w:val="24"/>
                <w:color w:val="000000"/>
              </w:rPr>
              <w:t>RLinf与RoboTwin的RealMan接口已完成代码接入、79项合同或组件测试通过，另有3项因依赖缺失跳过。单环境组件获得真实图像、状态与运动时钟，但没有加载策略或进行RL更新。后续需验模型转换、同协议策略闭环及强化学习参数变化。</w:t>
            </w:r>
          </w:p>
          <w:p>
            <w:pPr>
              <w:pStyle w:val="Normal"/>
              <w:spacing w:before="0" w:after="20" w:line="336" w:lineRule="exact"/>
              <w:rPr>
                <w:rFonts w:eastAsia="黑体" w:hint="eastAsia"/>
                <w:sz w:val="24"/>
              </w:rPr>
              <w:ind w:firstLine="0" w:firstLineChars="200"/>
              <w:jc w:val="both"/>
              <w:keepNext w:val="0"/>
              <w:keepLines w:val="0"/>
              <w:widowControl w:val="1"/>
              <w:wordWrap w:val="0"/>
            </w:pPr>
            <w:r>
              <w:rPr>
                <w:rFonts w:ascii="Times New Roman" w:hAnsi="Times New Roman" w:eastAsia="仿宋_GB2312"/>
                <w:sz w:val="24"/>
                <w:szCs w:val="24"/>
                <w:color w:val="000000"/>
              </w:rPr>
              <w:t>硬件资源记录包括8张RTX A6000、8张RTX3090及本机RTX5090的历史核验或使用证据。其当前分配、空闲程度及RL峰值显存须在实验前协调测量。真机平台为每臂六轴的RM65-B及双灵巧手；现场相机安装、内外参、TCP和控制通信须单独验收。拟使用空器皿或低危替代物开展初期真机动作验证，不将仿真接触模型视为已完成实机校准。</w:t>
            </w:r>
          </w:p>
          <w:p>
            <w:pPr>
              <w:pStyle w:val="Normal"/>
              <w:spacing w:before="40" w:after="40" w:line="336" w:lineRule="exact"/>
              <w:rPr>
                <w:rFonts w:eastAsia="黑体" w:hint="eastAsia"/>
                <w:sz w:val="24"/>
              </w:rPr>
              <w:ind w:firstLine="0" w:firstLineChars="0"/>
              <w:jc w:val="left"/>
              <w:keepNext w:val="1"/>
              <w:keepLines w:val="0"/>
              <w:widowControl w:val="1"/>
              <w:wordWrap w:val="0"/>
            </w:pPr>
            <w:r>
              <w:rPr>
                <w:rFonts w:ascii="Times New Roman" w:hAnsi="Times New Roman" w:eastAsia="仿宋_GB2312"/>
                <w:sz w:val="24"/>
                <w:szCs w:val="24"/>
                <w:color w:val="000000"/>
                <w:b/>
              </w:rPr>
              <w:t>2. 所需经费、经费来源与开支预算</w:t>
            </w:r>
          </w:p>
          <w:p>
            <w:pPr>
              <w:pStyle w:val="Normal"/>
              <w:spacing w:before="0" w:after="20" w:line="336" w:lineRule="exact"/>
              <w:rPr>
                <w:rFonts w:eastAsia="黑体" w:hint="eastAsia"/>
                <w:sz w:val="24"/>
              </w:rPr>
              <w:ind w:firstLine="0" w:firstLineChars="200"/>
              <w:jc w:val="both"/>
              <w:keepNext w:val="0"/>
              <w:keepLines w:val="0"/>
              <w:widowControl w:val="1"/>
              <w:wordWrap w:val="0"/>
            </w:pPr>
            <w:r>
              <w:rPr>
                <w:rFonts w:ascii="Times New Roman" w:hAnsi="Times New Roman" w:eastAsia="仿宋_GB2312"/>
                <w:sz w:val="24"/>
                <w:szCs w:val="24"/>
                <w:color w:val="000000"/>
              </w:rPr>
              <w:t>经费来源及科研项目编号待导师确认。已有机器人、相机和计算设备优先复用，新增预算主要围绕器皿、夹具标识、连接材料及必要的存储备份。下表为拟准备的预算项目，数量为初步需求，不是已购置或批准经费；单价及总额待库存核对和询价后填写。</w:t>
            </w:r>
          </w:p>
          <w:tbl>
            <w:tblPr>
              <w:tblW w:w="8600" w:type="dxa"/>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700"/>
              <w:gridCol w:w="2700"/>
              <w:gridCol w:w="900"/>
              <w:gridCol w:w="3300"/>
            </w:tblGrid>
            <w:tr>
              <w:trPr>
                <w:cantSplit/>
                <w:tblHeader/>
              </w:trPr>
              <w:tc>
                <w:tcPr>
                  <w:tcW w:w="1700" w:type="dxa"/>
                  <w:vAlign w:val="center"/>
                  <w:tcMar>
                    <w:top w:w="90" w:type="dxa"/>
                    <w:bottom w:w="90" w:type="dxa"/>
                    <w:left w:w="90" w:type="dxa"/>
                    <w:right w:w="90" w:type="dxa"/>
                  </w:tcMar>
                  <w:shd w:fill="F2F2F2" w:val="clear"/>
                </w:tcPr>
                <w:p>
                  <w:pPr>
                    <w:pStyle w:val="Normal"/>
                    <w:spacing w:before="40" w:after="40" w:line="315" w:lineRule="exact"/>
                    <w:rPr>
                      <w:rFonts w:eastAsia="黑体" w:hint="eastAsia"/>
                      <w:sz w:val="24"/>
                    </w:rPr>
                    <w:ind w:firstLine="0" w:firstLineChars="0"/>
                    <w:jc w:val="left"/>
                    <w:keepNext w:val="1"/>
                    <w:keepLines w:val="0"/>
                    <w:widowControl w:val="1"/>
                    <w:wordWrap w:val="0"/>
                  </w:pPr>
                  <w:r>
                    <w:rPr>
                      <w:rFonts w:ascii="Times New Roman" w:hAnsi="Times New Roman" w:eastAsia="仿宋_GB2312"/>
                      <w:sz w:val="21"/>
                      <w:szCs w:val="21"/>
                      <w:color w:val="000000"/>
                      <w:b/>
                    </w:rPr>
                    <w:t>名称</w:t>
                  </w:r>
                </w:p>
              </w:tc>
              <w:tc>
                <w:tcPr>
                  <w:tcW w:w="2700" w:type="dxa"/>
                  <w:vAlign w:val="center"/>
                  <w:tcMar>
                    <w:top w:w="90" w:type="dxa"/>
                    <w:bottom w:w="90" w:type="dxa"/>
                    <w:left w:w="90" w:type="dxa"/>
                    <w:right w:w="90" w:type="dxa"/>
                  </w:tcMar>
                  <w:shd w:fill="F2F2F2" w:val="clear"/>
                </w:tcPr>
                <w:p>
                  <w:pPr>
                    <w:pStyle w:val="Normal"/>
                    <w:spacing w:before="40" w:after="40" w:line="315" w:lineRule="exact"/>
                    <w:rPr>
                      <w:rFonts w:eastAsia="黑体" w:hint="eastAsia"/>
                      <w:sz w:val="24"/>
                    </w:rPr>
                    <w:ind w:firstLine="0" w:firstLineChars="0"/>
                    <w:jc w:val="left"/>
                    <w:keepNext w:val="1"/>
                    <w:keepLines w:val="0"/>
                    <w:widowControl w:val="1"/>
                    <w:wordWrap w:val="0"/>
                  </w:pPr>
                  <w:r>
                    <w:rPr>
                      <w:rFonts w:ascii="Times New Roman" w:hAnsi="Times New Roman" w:eastAsia="仿宋_GB2312"/>
                      <w:sz w:val="21"/>
                      <w:szCs w:val="21"/>
                      <w:color w:val="000000"/>
                      <w:b/>
                    </w:rPr>
                    <w:t>规格或用途</w:t>
                  </w:r>
                </w:p>
              </w:tc>
              <w:tc>
                <w:tcPr>
                  <w:tcW w:w="900" w:type="dxa"/>
                  <w:vAlign w:val="center"/>
                  <w:tcMar>
                    <w:top w:w="90" w:type="dxa"/>
                    <w:bottom w:w="90" w:type="dxa"/>
                    <w:left w:w="90" w:type="dxa"/>
                    <w:right w:w="90" w:type="dxa"/>
                  </w:tcMar>
                  <w:shd w:fill="F2F2F2" w:val="clear"/>
                </w:tcPr>
                <w:p>
                  <w:pPr>
                    <w:pStyle w:val="Normal"/>
                    <w:spacing w:before="40" w:after="40" w:line="315" w:lineRule="exact"/>
                    <w:rPr>
                      <w:rFonts w:eastAsia="黑体" w:hint="eastAsia"/>
                      <w:sz w:val="24"/>
                    </w:rPr>
                    <w:ind w:firstLine="0" w:firstLineChars="0"/>
                    <w:jc w:val="center"/>
                    <w:keepNext w:val="1"/>
                    <w:keepLines w:val="0"/>
                    <w:widowControl w:val="1"/>
                    <w:wordWrap w:val="0"/>
                  </w:pPr>
                  <w:r>
                    <w:rPr>
                      <w:rFonts w:ascii="Times New Roman" w:hAnsi="Times New Roman" w:eastAsia="仿宋_GB2312"/>
                      <w:sz w:val="21"/>
                      <w:szCs w:val="21"/>
                      <w:color w:val="000000"/>
                      <w:b/>
                    </w:rPr>
                    <w:t>初步数量</w:t>
                  </w:r>
                </w:p>
              </w:tc>
              <w:tc>
                <w:tcPr>
                  <w:tcW w:w="3300" w:type="dxa"/>
                  <w:vAlign w:val="center"/>
                  <w:tcMar>
                    <w:top w:w="90" w:type="dxa"/>
                    <w:bottom w:w="90" w:type="dxa"/>
                    <w:left w:w="90" w:type="dxa"/>
                    <w:right w:w="90" w:type="dxa"/>
                  </w:tcMar>
                  <w:shd w:fill="F2F2F2" w:val="clear"/>
                </w:tcPr>
                <w:p>
                  <w:pPr>
                    <w:pStyle w:val="Normal"/>
                    <w:spacing w:before="40" w:after="40" w:line="315" w:lineRule="exact"/>
                    <w:rPr>
                      <w:rFonts w:eastAsia="黑体" w:hint="eastAsia"/>
                      <w:sz w:val="24"/>
                    </w:rPr>
                    <w:ind w:firstLine="0" w:firstLineChars="0"/>
                    <w:jc w:val="left"/>
                    <w:keepNext w:val="1"/>
                    <w:keepLines w:val="0"/>
                    <w:widowControl w:val="1"/>
                    <w:wordWrap w:val="0"/>
                  </w:pPr>
                  <w:r>
                    <w:rPr>
                      <w:rFonts w:ascii="Times New Roman" w:hAnsi="Times New Roman" w:eastAsia="仿宋_GB2312"/>
                      <w:sz w:val="21"/>
                      <w:szCs w:val="21"/>
                      <w:color w:val="000000"/>
                      <w:b/>
                    </w:rPr>
                    <w:t>预算与来源</w:t>
                  </w:r>
                </w:p>
              </w:tc>
            </w:tr>
            <w:tr>
              <w:trPr>
                <w:cantSplit/>
              </w:trPr>
              <w:tc>
                <w:tcPr>
                  <w:tcW w:w="1700" w:type="dxa"/>
                  <w:vAlign w:val="center"/>
                  <w:tcMar>
                    <w:top w:w="90" w:type="dxa"/>
                    <w:bottom w:w="90" w:type="dxa"/>
                    <w:left w:w="90" w:type="dxa"/>
                    <w:right w:w="90" w:type="dxa"/>
                  </w:tcMar>
                </w:tcPr>
                <w:p>
                  <w:pPr>
                    <w:pStyle w:val="Normal"/>
                    <w:spacing w:before="0" w:after="20" w:line="315" w:lineRule="exact"/>
                    <w:rPr>
                      <w:rFonts w:eastAsia="黑体" w:hint="eastAsia"/>
                      <w:sz w:val="24"/>
                    </w:rPr>
                    <w:ind w:firstLine="0" w:firstLineChars="0"/>
                    <w:jc w:val="left"/>
                    <w:keepNext w:val="0"/>
                    <w:keepLines w:val="0"/>
                    <w:widowControl w:val="1"/>
                    <w:wordWrap w:val="0"/>
                  </w:pPr>
                  <w:r>
                    <w:rPr>
                      <w:rFonts w:ascii="Times New Roman" w:hAnsi="Times New Roman" w:eastAsia="仿宋_GB2312"/>
                      <w:sz w:val="21"/>
                      <w:szCs w:val="21"/>
                      <w:color w:val="000000"/>
                    </w:rPr>
                    <w:t>实验器皿套装</w:t>
                  </w:r>
                </w:p>
              </w:tc>
              <w:tc>
                <w:tcPr>
                  <w:tcW w:w="2700" w:type="dxa"/>
                  <w:vAlign w:val="center"/>
                  <w:tcMar>
                    <w:top w:w="90" w:type="dxa"/>
                    <w:bottom w:w="90" w:type="dxa"/>
                    <w:left w:w="90" w:type="dxa"/>
                    <w:right w:w="90" w:type="dxa"/>
                  </w:tcMar>
                </w:tcPr>
                <w:p>
                  <w:pPr>
                    <w:pStyle w:val="Normal"/>
                    <w:spacing w:before="0" w:after="20" w:line="315" w:lineRule="exact"/>
                    <w:rPr>
                      <w:rFonts w:eastAsia="黑体" w:hint="eastAsia"/>
                      <w:sz w:val="24"/>
                    </w:rPr>
                    <w:ind w:firstLine="0" w:firstLineChars="0"/>
                    <w:jc w:val="left"/>
                    <w:keepNext w:val="0"/>
                    <w:keepLines w:val="0"/>
                    <w:widowControl w:val="1"/>
                    <w:wordWrap w:val="0"/>
                  </w:pPr>
                  <w:r>
                    <w:rPr>
                      <w:rFonts w:ascii="Times New Roman" w:hAnsi="Times New Roman" w:eastAsia="仿宋_GB2312"/>
                      <w:sz w:val="21"/>
                      <w:szCs w:val="21"/>
                      <w:color w:val="000000"/>
                    </w:rPr>
                    <w:t>烧杯、量筒、试管及试管架，尺寸与任务匹配</w:t>
                  </w:r>
                </w:p>
              </w:tc>
              <w:tc>
                <w:tcPr>
                  <w:tcW w:w="900" w:type="dxa"/>
                  <w:vAlign w:val="center"/>
                  <w:tcMar>
                    <w:top w:w="90" w:type="dxa"/>
                    <w:bottom w:w="90" w:type="dxa"/>
                    <w:left w:w="90" w:type="dxa"/>
                    <w:right w:w="90" w:type="dxa"/>
                  </w:tcMar>
                </w:tcPr>
                <w:p>
                  <w:pPr>
                    <w:pStyle w:val="Normal"/>
                    <w:spacing w:before="0" w:after="20" w:line="315" w:lineRule="exact"/>
                    <w:rPr>
                      <w:rFonts w:eastAsia="黑体" w:hint="eastAsia"/>
                      <w:sz w:val="24"/>
                    </w:rPr>
                    <w:ind w:firstLine="0" w:firstLineChars="0"/>
                    <w:jc w:val="center"/>
                    <w:keepNext w:val="0"/>
                    <w:keepLines w:val="0"/>
                    <w:widowControl w:val="1"/>
                    <w:wordWrap w:val="0"/>
                  </w:pPr>
                  <w:r>
                    <w:rPr>
                      <w:rFonts w:ascii="Times New Roman" w:hAnsi="Times New Roman" w:eastAsia="仿宋_GB2312"/>
                      <w:sz w:val="21"/>
                      <w:szCs w:val="21"/>
                      <w:color w:val="000000"/>
                    </w:rPr>
                    <w:t>1套</w:t>
                  </w:r>
                </w:p>
              </w:tc>
              <w:tc>
                <w:tcPr>
                  <w:tcW w:w="3300" w:type="dxa"/>
                  <w:vAlign w:val="center"/>
                  <w:tcMar>
                    <w:top w:w="90" w:type="dxa"/>
                    <w:bottom w:w="90" w:type="dxa"/>
                    <w:left w:w="90" w:type="dxa"/>
                    <w:right w:w="90" w:type="dxa"/>
                  </w:tcMar>
                </w:tcPr>
                <w:p>
                  <w:pPr>
                    <w:pStyle w:val="Normal"/>
                    <w:spacing w:before="0" w:after="20" w:line="315" w:lineRule="exact"/>
                    <w:rPr>
                      <w:rFonts w:eastAsia="黑体" w:hint="eastAsia"/>
                      <w:sz w:val="24"/>
                    </w:rPr>
                    <w:ind w:firstLine="0" w:firstLineChars="0"/>
                    <w:jc w:val="left"/>
                    <w:keepNext w:val="0"/>
                    <w:keepLines w:val="0"/>
                    <w:widowControl w:val="1"/>
                    <w:wordWrap w:val="0"/>
                  </w:pPr>
                  <w:r>
                    <w:rPr>
                      <w:rFonts w:ascii="Times New Roman" w:hAnsi="Times New Roman" w:eastAsia="仿宋_GB2312"/>
                      <w:sz w:val="21"/>
                      <w:szCs w:val="21"/>
                      <w:color w:val="000000"/>
                    </w:rPr>
                    <w:t>库存优先，缺件询价</w:t>
                  </w:r>
                </w:p>
              </w:tc>
            </w:tr>
            <w:tr>
              <w:trPr>
                <w:cantSplit/>
              </w:trPr>
              <w:tc>
                <w:tcPr>
                  <w:tcW w:w="1700" w:type="dxa"/>
                  <w:vAlign w:val="center"/>
                  <w:tcMar>
                    <w:top w:w="90" w:type="dxa"/>
                    <w:bottom w:w="90" w:type="dxa"/>
                    <w:left w:w="90" w:type="dxa"/>
                    <w:right w:w="90" w:type="dxa"/>
                  </w:tcMar>
                </w:tcPr>
                <w:p>
                  <w:pPr>
                    <w:pStyle w:val="Normal"/>
                    <w:spacing w:before="0" w:after="20" w:line="315" w:lineRule="exact"/>
                    <w:rPr>
                      <w:rFonts w:eastAsia="黑体" w:hint="eastAsia"/>
                      <w:sz w:val="24"/>
                    </w:rPr>
                    <w:ind w:firstLine="0" w:firstLineChars="0"/>
                    <w:jc w:val="left"/>
                    <w:keepNext w:val="0"/>
                    <w:keepLines w:val="0"/>
                    <w:widowControl w:val="1"/>
                    <w:wordWrap w:val="0"/>
                  </w:pPr>
                  <w:r>
                    <w:rPr>
                      <w:rFonts w:ascii="Times New Roman" w:hAnsi="Times New Roman" w:eastAsia="仿宋_GB2312"/>
                      <w:sz w:val="21"/>
                      <w:szCs w:val="21"/>
                      <w:color w:val="000000"/>
                    </w:rPr>
                    <w:t>场景夹具与标识</w:t>
                  </w:r>
                </w:p>
              </w:tc>
              <w:tc>
                <w:tcPr>
                  <w:tcW w:w="2700" w:type="dxa"/>
                  <w:vAlign w:val="center"/>
                  <w:tcMar>
                    <w:top w:w="90" w:type="dxa"/>
                    <w:bottom w:w="90" w:type="dxa"/>
                    <w:left w:w="90" w:type="dxa"/>
                    <w:right w:w="90" w:type="dxa"/>
                  </w:tcMar>
                </w:tcPr>
                <w:p>
                  <w:pPr>
                    <w:pStyle w:val="Normal"/>
                    <w:spacing w:before="0" w:after="20" w:line="315" w:lineRule="exact"/>
                    <w:rPr>
                      <w:rFonts w:eastAsia="黑体" w:hint="eastAsia"/>
                      <w:sz w:val="24"/>
                    </w:rPr>
                    <w:ind w:firstLine="0" w:firstLineChars="0"/>
                    <w:jc w:val="left"/>
                    <w:keepNext w:val="0"/>
                    <w:keepLines w:val="0"/>
                    <w:widowControl w:val="1"/>
                    <w:wordWrap w:val="0"/>
                  </w:pPr>
                  <w:r>
                    <w:rPr>
                      <w:rFonts w:ascii="Times New Roman" w:hAnsi="Times New Roman" w:eastAsia="仿宋_GB2312"/>
                      <w:sz w:val="21"/>
                      <w:szCs w:val="21"/>
                      <w:color w:val="000000"/>
                    </w:rPr>
                    <w:t>器皿固定、目标区域标识、标定辅助件</w:t>
                  </w:r>
                </w:p>
              </w:tc>
              <w:tc>
                <w:tcPr>
                  <w:tcW w:w="900" w:type="dxa"/>
                  <w:vAlign w:val="center"/>
                  <w:tcMar>
                    <w:top w:w="90" w:type="dxa"/>
                    <w:bottom w:w="90" w:type="dxa"/>
                    <w:left w:w="90" w:type="dxa"/>
                    <w:right w:w="90" w:type="dxa"/>
                  </w:tcMar>
                </w:tcPr>
                <w:p>
                  <w:pPr>
                    <w:pStyle w:val="Normal"/>
                    <w:spacing w:before="0" w:after="20" w:line="315" w:lineRule="exact"/>
                    <w:rPr>
                      <w:rFonts w:eastAsia="黑体" w:hint="eastAsia"/>
                      <w:sz w:val="24"/>
                    </w:rPr>
                    <w:ind w:firstLine="0" w:firstLineChars="0"/>
                    <w:jc w:val="center"/>
                    <w:keepNext w:val="0"/>
                    <w:keepLines w:val="0"/>
                    <w:widowControl w:val="1"/>
                    <w:wordWrap w:val="0"/>
                  </w:pPr>
                  <w:r>
                    <w:rPr>
                      <w:rFonts w:ascii="Times New Roman" w:hAnsi="Times New Roman" w:eastAsia="仿宋_GB2312"/>
                      <w:sz w:val="21"/>
                      <w:szCs w:val="21"/>
                      <w:color w:val="000000"/>
                    </w:rPr>
                    <w:t>1批</w:t>
                  </w:r>
                </w:p>
              </w:tc>
              <w:tc>
                <w:tcPr>
                  <w:tcW w:w="3300" w:type="dxa"/>
                  <w:vAlign w:val="center"/>
                  <w:tcMar>
                    <w:top w:w="90" w:type="dxa"/>
                    <w:bottom w:w="90" w:type="dxa"/>
                    <w:left w:w="90" w:type="dxa"/>
                    <w:right w:w="90" w:type="dxa"/>
                  </w:tcMar>
                </w:tcPr>
                <w:p>
                  <w:pPr>
                    <w:pStyle w:val="Normal"/>
                    <w:spacing w:before="0" w:after="20" w:line="315" w:lineRule="exact"/>
                    <w:rPr>
                      <w:rFonts w:eastAsia="黑体" w:hint="eastAsia"/>
                      <w:sz w:val="24"/>
                    </w:rPr>
                    <w:ind w:firstLine="0" w:firstLineChars="0"/>
                    <w:jc w:val="left"/>
                    <w:keepNext w:val="0"/>
                    <w:keepLines w:val="0"/>
                    <w:widowControl w:val="1"/>
                    <w:wordWrap w:val="0"/>
                  </w:pPr>
                  <w:r>
                    <w:rPr>
                      <w:rFonts w:ascii="Times New Roman" w:hAnsi="Times New Roman" w:eastAsia="仿宋_GB2312"/>
                      <w:sz w:val="21"/>
                      <w:szCs w:val="21"/>
                      <w:color w:val="000000"/>
                    </w:rPr>
                    <w:t>待设计与询价</w:t>
                  </w:r>
                </w:p>
              </w:tc>
            </w:tr>
            <w:tr>
              <w:trPr>
                <w:cantSplit/>
              </w:trPr>
              <w:tc>
                <w:tcPr>
                  <w:tcW w:w="1700" w:type="dxa"/>
                  <w:vAlign w:val="center"/>
                  <w:tcMar>
                    <w:top w:w="90" w:type="dxa"/>
                    <w:bottom w:w="90" w:type="dxa"/>
                    <w:left w:w="90" w:type="dxa"/>
                    <w:right w:w="90" w:type="dxa"/>
                  </w:tcMar>
                </w:tcPr>
                <w:p>
                  <w:pPr>
                    <w:pStyle w:val="Normal"/>
                    <w:spacing w:before="0" w:after="20" w:line="315" w:lineRule="exact"/>
                    <w:rPr>
                      <w:rFonts w:eastAsia="黑体" w:hint="eastAsia"/>
                      <w:sz w:val="24"/>
                    </w:rPr>
                    <w:ind w:firstLine="0" w:firstLineChars="0"/>
                    <w:jc w:val="left"/>
                    <w:keepNext w:val="0"/>
                    <w:keepLines w:val="0"/>
                    <w:widowControl w:val="1"/>
                    <w:wordWrap w:val="0"/>
                  </w:pPr>
                  <w:r>
                    <w:rPr>
                      <w:rFonts w:ascii="Times New Roman" w:hAnsi="Times New Roman" w:eastAsia="仿宋_GB2312"/>
                      <w:sz w:val="21"/>
                      <w:szCs w:val="21"/>
                      <w:color w:val="000000"/>
                    </w:rPr>
                    <w:t>控制与相机连接材料</w:t>
                  </w:r>
                </w:p>
              </w:tc>
              <w:tc>
                <w:tcPr>
                  <w:tcW w:w="2700" w:type="dxa"/>
                  <w:vAlign w:val="center"/>
                  <w:tcMar>
                    <w:top w:w="90" w:type="dxa"/>
                    <w:bottom w:w="90" w:type="dxa"/>
                    <w:left w:w="90" w:type="dxa"/>
                    <w:right w:w="90" w:type="dxa"/>
                  </w:tcMar>
                </w:tcPr>
                <w:p>
                  <w:pPr>
                    <w:pStyle w:val="Normal"/>
                    <w:spacing w:before="0" w:after="20" w:line="315" w:lineRule="exact"/>
                    <w:rPr>
                      <w:rFonts w:eastAsia="黑体" w:hint="eastAsia"/>
                      <w:sz w:val="24"/>
                    </w:rPr>
                    <w:ind w:firstLine="0" w:firstLineChars="0"/>
                    <w:jc w:val="left"/>
                    <w:keepNext w:val="0"/>
                    <w:keepLines w:val="0"/>
                    <w:widowControl w:val="1"/>
                    <w:wordWrap w:val="0"/>
                  </w:pPr>
                  <w:r>
                    <w:rPr>
                      <w:rFonts w:ascii="Times New Roman" w:hAnsi="Times New Roman" w:eastAsia="仿宋_GB2312"/>
                      <w:sz w:val="21"/>
                      <w:szCs w:val="21"/>
                      <w:color w:val="000000"/>
                    </w:rPr>
                    <w:t>数据线、支架及固定材料</w:t>
                  </w:r>
                </w:p>
              </w:tc>
              <w:tc>
                <w:tcPr>
                  <w:tcW w:w="900" w:type="dxa"/>
                  <w:vAlign w:val="center"/>
                  <w:tcMar>
                    <w:top w:w="90" w:type="dxa"/>
                    <w:bottom w:w="90" w:type="dxa"/>
                    <w:left w:w="90" w:type="dxa"/>
                    <w:right w:w="90" w:type="dxa"/>
                  </w:tcMar>
                </w:tcPr>
                <w:p>
                  <w:pPr>
                    <w:pStyle w:val="Normal"/>
                    <w:spacing w:before="0" w:after="20" w:line="315" w:lineRule="exact"/>
                    <w:rPr>
                      <w:rFonts w:eastAsia="黑体" w:hint="eastAsia"/>
                      <w:sz w:val="24"/>
                    </w:rPr>
                    <w:ind w:firstLine="0" w:firstLineChars="0"/>
                    <w:jc w:val="center"/>
                    <w:keepNext w:val="0"/>
                    <w:keepLines w:val="0"/>
                    <w:widowControl w:val="1"/>
                    <w:wordWrap w:val="0"/>
                  </w:pPr>
                  <w:r>
                    <w:rPr>
                      <w:rFonts w:ascii="Times New Roman" w:hAnsi="Times New Roman" w:eastAsia="仿宋_GB2312"/>
                      <w:sz w:val="21"/>
                      <w:szCs w:val="21"/>
                      <w:color w:val="000000"/>
                    </w:rPr>
                    <w:t>1批</w:t>
                  </w:r>
                </w:p>
              </w:tc>
              <w:tc>
                <w:tcPr>
                  <w:tcW w:w="3300" w:type="dxa"/>
                  <w:vAlign w:val="center"/>
                  <w:tcMar>
                    <w:top w:w="90" w:type="dxa"/>
                    <w:bottom w:w="90" w:type="dxa"/>
                    <w:left w:w="90" w:type="dxa"/>
                    <w:right w:w="90" w:type="dxa"/>
                  </w:tcMar>
                </w:tcPr>
                <w:p>
                  <w:pPr>
                    <w:pStyle w:val="Normal"/>
                    <w:spacing w:before="0" w:after="20" w:line="315" w:lineRule="exact"/>
                    <w:rPr>
                      <w:rFonts w:eastAsia="黑体" w:hint="eastAsia"/>
                      <w:sz w:val="24"/>
                    </w:rPr>
                    <w:ind w:firstLine="0" w:firstLineChars="0"/>
                    <w:jc w:val="left"/>
                    <w:keepNext w:val="0"/>
                    <w:keepLines w:val="0"/>
                    <w:widowControl w:val="1"/>
                    <w:wordWrap w:val="0"/>
                  </w:pPr>
                  <w:r>
                    <w:rPr>
                      <w:rFonts w:ascii="Times New Roman" w:hAnsi="Times New Roman" w:eastAsia="仿宋_GB2312"/>
                      <w:sz w:val="21"/>
                      <w:szCs w:val="21"/>
                      <w:color w:val="000000"/>
                    </w:rPr>
                    <w:t>先核已有配置</w:t>
                  </w:r>
                </w:p>
              </w:tc>
            </w:tr>
            <w:tr>
              <w:trPr>
                <w:cantSplit/>
              </w:trPr>
              <w:tc>
                <w:tcPr>
                  <w:tcW w:w="1700" w:type="dxa"/>
                  <w:vAlign w:val="center"/>
                  <w:tcMar>
                    <w:top w:w="90" w:type="dxa"/>
                    <w:bottom w:w="90" w:type="dxa"/>
                    <w:left w:w="90" w:type="dxa"/>
                    <w:right w:w="90" w:type="dxa"/>
                  </w:tcMar>
                </w:tcPr>
                <w:p>
                  <w:pPr>
                    <w:pStyle w:val="Normal"/>
                    <w:spacing w:before="0" w:after="20" w:line="315" w:lineRule="exact"/>
                    <w:rPr>
                      <w:rFonts w:eastAsia="黑体" w:hint="eastAsia"/>
                      <w:sz w:val="24"/>
                    </w:rPr>
                    <w:ind w:firstLine="0" w:firstLineChars="0"/>
                    <w:jc w:val="left"/>
                    <w:keepNext w:val="0"/>
                    <w:keepLines w:val="0"/>
                    <w:widowControl w:val="1"/>
                    <w:wordWrap w:val="0"/>
                  </w:pPr>
                  <w:r>
                    <w:rPr>
                      <w:rFonts w:ascii="Times New Roman" w:hAnsi="Times New Roman" w:eastAsia="仿宋_GB2312"/>
                      <w:sz w:val="21"/>
                      <w:szCs w:val="21"/>
                      <w:color w:val="000000"/>
                    </w:rPr>
                    <w:t>数据备份介质</w:t>
                  </w:r>
                </w:p>
              </w:tc>
              <w:tc>
                <w:tcPr>
                  <w:tcW w:w="2700" w:type="dxa"/>
                  <w:vAlign w:val="center"/>
                  <w:tcMar>
                    <w:top w:w="90" w:type="dxa"/>
                    <w:bottom w:w="90" w:type="dxa"/>
                    <w:left w:w="90" w:type="dxa"/>
                    <w:right w:w="90" w:type="dxa"/>
                  </w:tcMar>
                </w:tcPr>
                <w:p>
                  <w:pPr>
                    <w:pStyle w:val="Normal"/>
                    <w:spacing w:before="0" w:after="20" w:line="315" w:lineRule="exact"/>
                    <w:rPr>
                      <w:rFonts w:eastAsia="黑体" w:hint="eastAsia"/>
                      <w:sz w:val="24"/>
                    </w:rPr>
                    <w:ind w:firstLine="0" w:firstLineChars="0"/>
                    <w:jc w:val="left"/>
                    <w:keepNext w:val="0"/>
                    <w:keepLines w:val="0"/>
                    <w:widowControl w:val="1"/>
                    <w:wordWrap w:val="0"/>
                  </w:pPr>
                  <w:r>
                    <w:rPr>
                      <w:rFonts w:ascii="Times New Roman" w:hAnsi="Times New Roman" w:eastAsia="仿宋_GB2312"/>
                      <w:sz w:val="21"/>
                      <w:szCs w:val="21"/>
                      <w:color w:val="000000"/>
                    </w:rPr>
                    <w:t>容量按轨迹、视频及检查点预算</w:t>
                  </w:r>
                </w:p>
              </w:tc>
              <w:tc>
                <w:tcPr>
                  <w:tcW w:w="900" w:type="dxa"/>
                  <w:vAlign w:val="center"/>
                  <w:tcMar>
                    <w:top w:w="90" w:type="dxa"/>
                    <w:bottom w:w="90" w:type="dxa"/>
                    <w:left w:w="90" w:type="dxa"/>
                    <w:right w:w="90" w:type="dxa"/>
                  </w:tcMar>
                </w:tcPr>
                <w:p>
                  <w:pPr>
                    <w:pStyle w:val="Normal"/>
                    <w:spacing w:before="0" w:after="20" w:line="315" w:lineRule="exact"/>
                    <w:rPr>
                      <w:rFonts w:eastAsia="黑体" w:hint="eastAsia"/>
                      <w:sz w:val="24"/>
                    </w:rPr>
                    <w:ind w:firstLine="0" w:firstLineChars="0"/>
                    <w:jc w:val="center"/>
                    <w:keepNext w:val="0"/>
                    <w:keepLines w:val="0"/>
                    <w:widowControl w:val="1"/>
                    <w:wordWrap w:val="0"/>
                  </w:pPr>
                  <w:r>
                    <w:rPr>
                      <w:rFonts w:ascii="Times New Roman" w:hAnsi="Times New Roman" w:eastAsia="仿宋_GB2312"/>
                      <w:sz w:val="21"/>
                      <w:szCs w:val="21"/>
                      <w:color w:val="000000"/>
                    </w:rPr>
                    <w:t>按需</w:t>
                  </w:r>
                </w:p>
              </w:tc>
              <w:tc>
                <w:tcPr>
                  <w:tcW w:w="3300" w:type="dxa"/>
                  <w:vAlign w:val="center"/>
                  <w:tcMar>
                    <w:top w:w="90" w:type="dxa"/>
                    <w:bottom w:w="90" w:type="dxa"/>
                    <w:left w:w="90" w:type="dxa"/>
                    <w:right w:w="90" w:type="dxa"/>
                  </w:tcMar>
                </w:tcPr>
                <w:p>
                  <w:pPr>
                    <w:pStyle w:val="Normal"/>
                    <w:spacing w:before="0" w:after="20" w:line="315" w:lineRule="exact"/>
                    <w:rPr>
                      <w:rFonts w:eastAsia="黑体" w:hint="eastAsia"/>
                      <w:sz w:val="24"/>
                    </w:rPr>
                    <w:ind w:firstLine="0" w:firstLineChars="0"/>
                    <w:jc w:val="left"/>
                    <w:keepNext w:val="0"/>
                    <w:keepLines w:val="0"/>
                    <w:widowControl w:val="1"/>
                    <w:wordWrap w:val="0"/>
                  </w:pPr>
                  <w:r>
                    <w:rPr>
                      <w:rFonts w:ascii="Times New Roman" w:hAnsi="Times New Roman" w:eastAsia="仿宋_GB2312"/>
                      <w:sz w:val="21"/>
                      <w:szCs w:val="21"/>
                      <w:color w:val="000000"/>
                    </w:rPr>
                    <w:t>待核共享存储与采购需求</w:t>
                  </w:r>
                </w:p>
              </w:tc>
            </w:tr>
            <w:tr>
              <w:trPr>
                <w:cantSplit/>
              </w:trPr>
              <w:tc>
                <w:tcPr>
                  <w:tcW w:w="1700" w:type="dxa"/>
                  <w:vAlign w:val="center"/>
                  <w:tcMar>
                    <w:top w:w="90" w:type="dxa"/>
                    <w:bottom w:w="90" w:type="dxa"/>
                    <w:left w:w="90" w:type="dxa"/>
                    <w:right w:w="90" w:type="dxa"/>
                  </w:tcMar>
                </w:tcPr>
                <w:p>
                  <w:pPr>
                    <w:pStyle w:val="Normal"/>
                    <w:spacing w:before="0" w:after="20" w:line="315" w:lineRule="exact"/>
                    <w:rPr>
                      <w:rFonts w:eastAsia="黑体" w:hint="eastAsia"/>
                      <w:sz w:val="24"/>
                    </w:rPr>
                    <w:ind w:firstLine="0" w:firstLineChars="0"/>
                    <w:jc w:val="left"/>
                    <w:keepNext w:val="0"/>
                    <w:keepLines w:val="0"/>
                    <w:widowControl w:val="1"/>
                    <w:wordWrap w:val="0"/>
                  </w:pPr>
                  <w:r>
                    <w:rPr>
                      <w:rFonts w:ascii="Times New Roman" w:hAnsi="Times New Roman" w:eastAsia="仿宋_GB2312"/>
                      <w:sz w:val="21"/>
                      <w:szCs w:val="21"/>
                      <w:color w:val="000000"/>
                    </w:rPr>
                    <w:t>计算资源费用</w:t>
                  </w:r>
                </w:p>
              </w:tc>
              <w:tc>
                <w:tcPr>
                  <w:tcW w:w="2700" w:type="dxa"/>
                  <w:vAlign w:val="center"/>
                  <w:tcMar>
                    <w:top w:w="90" w:type="dxa"/>
                    <w:bottom w:w="90" w:type="dxa"/>
                    <w:left w:w="90" w:type="dxa"/>
                    <w:right w:w="90" w:type="dxa"/>
                  </w:tcMar>
                </w:tcPr>
                <w:p>
                  <w:pPr>
                    <w:pStyle w:val="Normal"/>
                    <w:spacing w:before="0" w:after="20" w:line="315" w:lineRule="exact"/>
                    <w:rPr>
                      <w:rFonts w:eastAsia="黑体" w:hint="eastAsia"/>
                      <w:sz w:val="24"/>
                    </w:rPr>
                    <w:ind w:firstLine="0" w:firstLineChars="0"/>
                    <w:jc w:val="left"/>
                    <w:keepNext w:val="0"/>
                    <w:keepLines w:val="0"/>
                    <w:widowControl w:val="1"/>
                    <w:wordWrap w:val="0"/>
                  </w:pPr>
                  <w:r>
                    <w:rPr>
                      <w:rFonts w:ascii="Times New Roman" w:hAnsi="Times New Roman" w:eastAsia="仿宋_GB2312"/>
                      <w:sz w:val="21"/>
                      <w:szCs w:val="21"/>
                      <w:color w:val="000000"/>
                    </w:rPr>
                    <w:t>已有GPU，排程与核算待确认</w:t>
                  </w:r>
                </w:p>
              </w:tc>
              <w:tc>
                <w:tcPr>
                  <w:tcW w:w="900" w:type="dxa"/>
                  <w:vAlign w:val="center"/>
                  <w:tcMar>
                    <w:top w:w="90" w:type="dxa"/>
                    <w:bottom w:w="90" w:type="dxa"/>
                    <w:left w:w="90" w:type="dxa"/>
                    <w:right w:w="90" w:type="dxa"/>
                  </w:tcMar>
                </w:tcPr>
                <w:p>
                  <w:pPr>
                    <w:pStyle w:val="Normal"/>
                    <w:spacing w:before="0" w:after="20" w:line="315" w:lineRule="exact"/>
                    <w:rPr>
                      <w:rFonts w:eastAsia="黑体" w:hint="eastAsia"/>
                      <w:sz w:val="24"/>
                    </w:rPr>
                    <w:ind w:firstLine="0" w:firstLineChars="0"/>
                    <w:jc w:val="center"/>
                    <w:keepNext w:val="0"/>
                    <w:keepLines w:val="0"/>
                    <w:widowControl w:val="1"/>
                    <w:wordWrap w:val="0"/>
                  </w:pPr>
                  <w:r>
                    <w:rPr>
                      <w:rFonts w:ascii="Times New Roman" w:hAnsi="Times New Roman" w:eastAsia="仿宋_GB2312"/>
                      <w:sz w:val="21"/>
                      <w:szCs w:val="21"/>
                      <w:color w:val="000000"/>
                    </w:rPr>
                    <w:t>按需</w:t>
                  </w:r>
                </w:p>
              </w:tc>
              <w:tc>
                <w:tcPr>
                  <w:tcW w:w="3300" w:type="dxa"/>
                  <w:vAlign w:val="center"/>
                  <w:tcMar>
                    <w:top w:w="90" w:type="dxa"/>
                    <w:bottom w:w="90" w:type="dxa"/>
                    <w:left w:w="90" w:type="dxa"/>
                    <w:right w:w="90" w:type="dxa"/>
                  </w:tcMar>
                </w:tcPr>
                <w:p>
                  <w:pPr>
                    <w:pStyle w:val="Normal"/>
                    <w:spacing w:before="0" w:after="20" w:line="315" w:lineRule="exact"/>
                    <w:rPr>
                      <w:rFonts w:eastAsia="黑体" w:hint="eastAsia"/>
                      <w:sz w:val="24"/>
                    </w:rPr>
                    <w:ind w:firstLine="0" w:firstLineChars="0"/>
                    <w:jc w:val="left"/>
                    <w:keepNext w:val="0"/>
                    <w:keepLines w:val="0"/>
                    <w:widowControl w:val="1"/>
                    <w:wordWrap w:val="0"/>
                  </w:pPr>
                  <w:r>
                    <w:rPr>
                      <w:rFonts w:ascii="Times New Roman" w:hAnsi="Times New Roman" w:eastAsia="仿宋_GB2312"/>
                      <w:sz w:val="21"/>
                      <w:szCs w:val="21"/>
                      <w:color w:val="000000"/>
                    </w:rPr>
                    <w:t>待确认是否计费</w:t>
                  </w:r>
                </w:p>
              </w:tc>
            </w:tr>
          </w:tbl>
          <w:p>
            <w:pPr>
              <w:pStyle w:val="Normal"/>
              <w:spacing w:before="0" w:after="20" w:line="90" w:lineRule="exact"/>
              <w:rPr>
                <w:rFonts w:eastAsia="黑体" w:hint="eastAsia"/>
                <w:sz w:val="24"/>
              </w:rPr>
              <w:ind w:firstLine="0" w:firstLineChars="0"/>
              <w:jc w:val="left"/>
              <w:keepNext w:val="0"/>
              <w:keepLines w:val="0"/>
              <w:widowControl w:val="1"/>
              <w:wordWrap w:val="0"/>
            </w:pPr>
            <w:r>
              <w:rPr>
                <w:rFonts w:ascii="Times New Roman" w:hAnsi="Times New Roman" w:eastAsia="仿宋_GB2312"/>
                <w:sz w:val="6"/>
                <w:szCs w:val="6"/>
                <w:color w:val="000000"/>
              </w:rPr>
              <w:t/>
            </w:r>
          </w:p>
        </w:tc>
      </w:tr>
    </w:tbl>
    <w:p>
      <w:pPr>
        <w:pStyle w:val="Normal"/>
        <w:rPr>
          <w:rFonts w:eastAsia="黑体" w:hint="eastAsia"/>
          <w:sz w:val="24"/>
        </w:rPr>
        <w:keepNext w:val="1"/>
      </w:pPr>
      <w:r>
        <w:rPr>
          <w:rFonts w:hint="eastAsia" w:eastAsia="黑体"/>
          <w:sz w:val="24"/>
        </w:rPr>
        <w:t>五、工作计划</w:t>
      </w:r>
    </w:p>
    <w:p>
      <w:pPr>
        <w:pStyle w:val="Normal"/>
        <w:spacing w:before="0" w:after="20" w:line="315" w:lineRule="exact"/>
        <w:rPr>
          <w:rFonts w:eastAsia="黑体" w:hint="eastAsia"/>
          <w:sz w:val="24"/>
        </w:rPr>
        <w:ind w:firstLine="0" w:firstLineChars="0"/>
        <w:jc w:val="left"/>
        <w:keepNext w:val="0"/>
        <w:keepLines w:val="0"/>
        <w:widowControl w:val="1"/>
        <w:wordWrap w:val="0"/>
      </w:pPr>
      <w:r>
        <w:rPr>
          <w:rFonts w:ascii="Times New Roman" w:hAnsi="Times New Roman" w:eastAsia="仿宋_GB2312"/>
          <w:sz w:val="21"/>
          <w:szCs w:val="21"/>
          <w:color w:val="000000"/>
        </w:rPr>
        <w:t>计划以开题通过日T0为起点，12个月与960小时均为初步估计，实际日期和投入待本人及导师审定。</w:t>
      </w:r>
    </w:p>
    <w:tbl>
      <w:tblPr>
        <w:tblW w:w="9845" w:type="dxa"/>
        <w:jc w:val="center"/>
        <w:tblInd w:w="0" w:type="dxa"/>
        <w:tblLayout w:type="fixed"/>
        <w:tblCellMar>
          <w:top w:w="0" w:type="dxa"/>
          <w:start w:w="108" w:type="dxa"/>
          <w:bottom w:w="0" w:type="dxa"/>
          <w:end w:w="108" w:type="dxa"/>
        </w:tblCellMar>
      </w:tblPr>
      <w:tblGrid>
        <w:gridCol w:w="748"/>
        <w:gridCol w:w="3743"/>
        <w:gridCol w:w="849"/>
        <w:gridCol w:w="1231"/>
        <w:gridCol w:w="1304"/>
        <w:gridCol w:w="1970"/>
      </w:tblGrid>
      <w:tr>
        <w:trPr>
          <w:tblHeader/>
        </w:trPr>
        <w:tc>
          <w:tcPr>
            <w:tcW w:w="748" w:type="dxa"/>
            <w:tcBorders>
              <w:top w:val="single" w:sz="12" w:space="0" w:color="000000"/>
              <w:start w:val="single" w:sz="12" w:space="0" w:color="000000"/>
              <w:bottom w:val="single" w:sz="4" w:space="0" w:color="000000"/>
              <w:end w:val="single" w:sz="4" w:space="0" w:color="000000"/>
            </w:tcBorders>
            <w:vAlign w:val="center"/>
          </w:tcPr>
          <w:p>
            <w:pPr>
              <w:pStyle w:val="Normal"/>
              <w:jc w:val="center"/>
              <w:rPr>
                <w:rFonts w:eastAsia="黑体" w:hint="eastAsia"/>
              </w:rPr>
            </w:pPr>
            <w:r>
              <w:rPr>
                <w:rFonts w:hint="eastAsia" w:eastAsia="黑体"/>
              </w:rPr>
              <w:t>序号</w:t>
            </w:r>
          </w:p>
        </w:tc>
        <w:tc>
          <w:tcPr>
            <w:tcW w:w="3743" w:type="dxa"/>
            <w:tcBorders>
              <w:top w:val="single" w:sz="12" w:space="0" w:color="000000"/>
              <w:start w:val="single" w:sz="4" w:space="0" w:color="000000"/>
              <w:bottom w:val="single" w:sz="4" w:space="0" w:color="000000"/>
              <w:end w:val="single" w:sz="4" w:space="0" w:color="000000"/>
            </w:tcBorders>
            <w:vAlign w:val="center"/>
          </w:tcPr>
          <w:p>
            <w:pPr>
              <w:pStyle w:val="Normal"/>
              <w:jc w:val="center"/>
              <w:rPr>
                <w:rFonts w:eastAsia="黑体" w:hint="eastAsia"/>
              </w:rPr>
            </w:pPr>
            <w:r>
              <w:rPr>
                <w:rFonts w:hint="eastAsia" w:eastAsia="黑体"/>
              </w:rPr>
              <w:t>阶段及内容</w:t>
            </w:r>
          </w:p>
        </w:tc>
        <w:tc>
          <w:tcPr>
            <w:tcW w:w="2080" w:type="dxa"/>
            <w:gridSpan w:val="2"/>
            <w:tcBorders>
              <w:top w:val="single" w:sz="12" w:space="0" w:color="000000"/>
              <w:start w:val="single" w:sz="4" w:space="0" w:color="000000"/>
              <w:bottom w:val="single" w:sz="4" w:space="0" w:color="000000"/>
              <w:end w:val="single" w:sz="4" w:space="0" w:color="000000"/>
            </w:tcBorders>
            <w:vAlign w:val="center"/>
          </w:tcPr>
          <w:p>
            <w:pPr>
              <w:pStyle w:val="Normal"/>
              <w:jc w:val="center"/>
              <w:rPr>
                <w:rFonts w:eastAsia="黑体" w:hint="eastAsia"/>
              </w:rPr>
            </w:pPr>
            <w:r>
              <w:rPr>
                <w:rFonts w:hint="eastAsia" w:eastAsia="黑体"/>
              </w:rPr>
              <w:t>工作量估计</w:t>
            </w:r>
          </w:p>
          <w:p>
            <w:pPr>
              <w:pStyle w:val="Normal"/>
              <w:jc w:val="center"/>
              <w:rPr>
                <w:rFonts w:eastAsia="黑体" w:hint="eastAsia"/>
              </w:rPr>
            </w:pPr>
            <w:r>
              <w:rPr>
                <w:rFonts w:hint="eastAsia" w:eastAsia="黑体"/>
              </w:rPr>
              <w:t>（时数）</w:t>
            </w:r>
          </w:p>
        </w:tc>
        <w:tc>
          <w:tcPr>
            <w:tcW w:w="1304" w:type="dxa"/>
            <w:tcBorders>
              <w:top w:val="single" w:sz="12" w:space="0" w:color="000000"/>
              <w:start w:val="single" w:sz="4" w:space="0" w:color="000000"/>
              <w:bottom w:val="single" w:sz="4" w:space="0" w:color="000000"/>
              <w:end w:val="single" w:sz="4" w:space="0" w:color="000000"/>
            </w:tcBorders>
            <w:vAlign w:val="center"/>
          </w:tcPr>
          <w:p>
            <w:pPr>
              <w:pStyle w:val="Normal"/>
              <w:jc w:val="center"/>
              <w:rPr>
                <w:rFonts w:eastAsia="黑体" w:hint="eastAsia"/>
              </w:rPr>
            </w:pPr>
            <w:r>
              <w:rPr>
                <w:rFonts w:hint="eastAsia" w:eastAsia="黑体"/>
              </w:rPr>
              <w:t>起止日期</w:t>
            </w:r>
          </w:p>
        </w:tc>
        <w:tc>
          <w:tcPr>
            <w:tcW w:w="1970" w:type="dxa"/>
            <w:tcBorders>
              <w:top w:val="single" w:sz="12" w:space="0" w:color="000000"/>
              <w:start w:val="single" w:sz="4" w:space="0" w:color="000000"/>
              <w:bottom w:val="single" w:sz="4" w:space="0" w:color="000000"/>
              <w:end w:val="single" w:sz="12" w:space="0" w:color="000000"/>
            </w:tcBorders>
            <w:vAlign w:val="center"/>
          </w:tcPr>
          <w:p>
            <w:pPr>
              <w:pStyle w:val="Normal"/>
              <w:jc w:val="center"/>
              <w:rPr>
                <w:rFonts w:eastAsia="黑体" w:hint="eastAsia"/>
              </w:rPr>
            </w:pPr>
            <w:r>
              <w:rPr>
                <w:rFonts w:hint="eastAsia" w:eastAsia="黑体"/>
              </w:rPr>
              <w:t>阶段成果形式</w:t>
            </w:r>
          </w:p>
        </w:tc>
      </w:tr>
      <w:tr>
        <w:trPr>
          <w:cantSplit/>
        </w:trPr>
        <w:tc>
          <w:tcPr>
            <w:tcW w:w="748" w:type="dxa"/>
            <w:vAlign w:val="center"/>
          </w:tcPr>
          <w:p>
            <w:pPr>
              <w:pStyle w:val="Normal"/>
              <w:spacing w:before="0" w:after="20" w:line="315" w:lineRule="exact"/>
              <w:rPr>
                <w:rFonts w:eastAsia="黑体" w:hint="eastAsia"/>
                <w:sz w:val="24"/>
              </w:rPr>
              <w:ind w:firstLine="0" w:firstLineChars="0"/>
              <w:jc w:val="center"/>
              <w:keepNext w:val="0"/>
              <w:keepLines w:val="0"/>
              <w:widowControl w:val="1"/>
              <w:wordWrap w:val="0"/>
            </w:pPr>
            <w:r>
              <w:rPr>
                <w:rFonts w:ascii="Times New Roman" w:hAnsi="Times New Roman" w:eastAsia="仿宋_GB2312"/>
                <w:sz w:val="21"/>
                <w:szCs w:val="21"/>
                <w:color w:val="000000"/>
              </w:rPr>
              <w:t>1</w:t>
            </w:r>
          </w:p>
        </w:tc>
        <w:tc>
          <w:tcPr>
            <w:tcW w:w="3743" w:type="dxa"/>
            <w:vAlign w:val="center"/>
          </w:tcPr>
          <w:p>
            <w:pPr>
              <w:pStyle w:val="Normal"/>
              <w:spacing w:before="0" w:after="20" w:line="315" w:lineRule="exact"/>
              <w:rPr>
                <w:rFonts w:eastAsia="黑体" w:hint="eastAsia"/>
                <w:sz w:val="24"/>
              </w:rPr>
              <w:ind w:firstLine="0" w:firstLineChars="0"/>
              <w:jc w:val="left"/>
              <w:keepNext w:val="0"/>
              <w:keepLines w:val="0"/>
              <w:widowControl w:val="1"/>
              <w:wordWrap w:val="0"/>
            </w:pPr>
            <w:r>
              <w:rPr>
                <w:rFonts w:ascii="Times New Roman" w:hAnsi="Times New Roman" w:eastAsia="仿宋_GB2312"/>
                <w:sz w:val="21"/>
                <w:szCs w:val="21"/>
                <w:color w:val="000000"/>
              </w:rPr>
              <w:t>文献、MICA与数据证据整理，固定任务及评价协议</w:t>
            </w:r>
          </w:p>
        </w:tc>
        <w:tc>
          <w:tcPr>
            <w:tcW w:w="2080" w:type="dxa"/>
            <w:gridSpan w:val="2"/>
            <w:vAlign w:val="center"/>
          </w:tcPr>
          <w:p>
            <w:pPr>
              <w:pStyle w:val="Normal"/>
              <w:spacing w:before="0" w:after="20" w:line="315" w:lineRule="exact"/>
              <w:rPr>
                <w:rFonts w:eastAsia="黑体" w:hint="eastAsia"/>
                <w:sz w:val="24"/>
              </w:rPr>
              <w:ind w:firstLine="0" w:firstLineChars="0"/>
              <w:jc w:val="center"/>
              <w:keepNext w:val="0"/>
              <w:keepLines w:val="0"/>
              <w:widowControl w:val="1"/>
              <w:wordWrap w:val="0"/>
            </w:pPr>
            <w:r>
              <w:rPr>
                <w:rFonts w:ascii="Times New Roman" w:hAnsi="Times New Roman" w:eastAsia="仿宋_GB2312"/>
                <w:sz w:val="21"/>
                <w:szCs w:val="21"/>
                <w:color w:val="000000"/>
              </w:rPr>
              <w:t>100</w:t>
            </w:r>
          </w:p>
        </w:tc>
        <w:tc>
          <w:tcPr>
            <w:tcW w:w="1304" w:type="dxa"/>
            <w:vAlign w:val="center"/>
          </w:tcPr>
          <w:p>
            <w:pPr>
              <w:pStyle w:val="Normal"/>
              <w:spacing w:before="0" w:after="20" w:line="315" w:lineRule="exact"/>
              <w:rPr>
                <w:rFonts w:eastAsia="黑体" w:hint="eastAsia"/>
                <w:sz w:val="24"/>
              </w:rPr>
              <w:ind w:firstLine="0" w:firstLineChars="0"/>
              <w:jc w:val="center"/>
              <w:keepNext w:val="0"/>
              <w:keepLines w:val="0"/>
              <w:widowControl w:val="1"/>
              <w:wordWrap w:val="0"/>
            </w:pPr>
            <w:r>
              <w:rPr>
                <w:rFonts w:ascii="Times New Roman" w:hAnsi="Times New Roman" w:eastAsia="仿宋_GB2312"/>
                <w:sz w:val="21"/>
                <w:szCs w:val="21"/>
                <w:color w:val="000000"/>
              </w:rPr>
              <w:t>T0至第1个月末</w:t>
            </w:r>
          </w:p>
        </w:tc>
        <w:tc>
          <w:tcPr>
            <w:tcW w:w="1970" w:type="dxa"/>
            <w:vAlign w:val="center"/>
          </w:tcPr>
          <w:p>
            <w:pPr>
              <w:pStyle w:val="Normal"/>
              <w:spacing w:before="0" w:after="20" w:line="315" w:lineRule="exact"/>
              <w:rPr>
                <w:rFonts w:eastAsia="黑体" w:hint="eastAsia"/>
                <w:sz w:val="24"/>
              </w:rPr>
              <w:ind w:firstLine="0" w:firstLineChars="0"/>
              <w:jc w:val="left"/>
              <w:keepNext w:val="0"/>
              <w:keepLines w:val="0"/>
              <w:widowControl w:val="1"/>
              <w:wordWrap w:val="0"/>
            </w:pPr>
            <w:r>
              <w:rPr>
                <w:rFonts w:ascii="Times New Roman" w:hAnsi="Times New Roman" w:eastAsia="仿宋_GB2312"/>
                <w:sz w:val="21"/>
                <w:szCs w:val="21"/>
                <w:color w:val="000000"/>
              </w:rPr>
              <w:t>文献矩阵、前期方法章、基线协议</w:t>
            </w:r>
          </w:p>
        </w:tc>
      </w:tr>
      <w:tr>
        <w:trPr>
          <w:cantSplit/>
        </w:trPr>
        <w:tc>
          <w:tcPr>
            <w:tcW w:w="748" w:type="dxa"/>
            <w:vAlign w:val="center"/>
          </w:tcPr>
          <w:p>
            <w:pPr>
              <w:pStyle w:val="Normal"/>
              <w:spacing w:before="0" w:after="20" w:line="315" w:lineRule="exact"/>
              <w:rPr>
                <w:rFonts w:eastAsia="黑体" w:hint="eastAsia"/>
                <w:sz w:val="24"/>
              </w:rPr>
              <w:ind w:firstLine="0" w:firstLineChars="0"/>
              <w:jc w:val="center"/>
              <w:keepNext w:val="0"/>
              <w:keepLines w:val="0"/>
              <w:widowControl w:val="1"/>
              <w:wordWrap w:val="0"/>
            </w:pPr>
            <w:r>
              <w:rPr>
                <w:rFonts w:ascii="Times New Roman" w:hAnsi="Times New Roman" w:eastAsia="仿宋_GB2312"/>
                <w:sz w:val="21"/>
                <w:szCs w:val="21"/>
                <w:color w:val="000000"/>
              </w:rPr>
              <w:t>2</w:t>
            </w:r>
          </w:p>
        </w:tc>
        <w:tc>
          <w:tcPr>
            <w:tcW w:w="3743" w:type="dxa"/>
            <w:vAlign w:val="center"/>
          </w:tcPr>
          <w:p>
            <w:pPr>
              <w:pStyle w:val="Normal"/>
              <w:spacing w:before="0" w:after="20" w:line="315" w:lineRule="exact"/>
              <w:rPr>
                <w:rFonts w:eastAsia="黑体" w:hint="eastAsia"/>
                <w:sz w:val="24"/>
              </w:rPr>
              <w:ind w:firstLine="0" w:firstLineChars="0"/>
              <w:jc w:val="left"/>
              <w:keepNext w:val="0"/>
              <w:keepLines w:val="0"/>
              <w:widowControl w:val="1"/>
              <w:wordWrap w:val="0"/>
            </w:pPr>
            <w:r>
              <w:rPr>
                <w:rFonts w:ascii="Times New Roman" w:hAnsi="Times New Roman" w:eastAsia="仿宋_GB2312"/>
                <w:sz w:val="21"/>
                <w:szCs w:val="21"/>
                <w:color w:val="000000"/>
              </w:rPr>
              <w:t>模型转换、RLinf策略闭环与小批PPO更新验收</w:t>
            </w:r>
          </w:p>
        </w:tc>
        <w:tc>
          <w:tcPr>
            <w:tcW w:w="2080" w:type="dxa"/>
            <w:gridSpan w:val="2"/>
            <w:vAlign w:val="center"/>
          </w:tcPr>
          <w:p>
            <w:pPr>
              <w:pStyle w:val="Normal"/>
              <w:spacing w:before="0" w:after="20" w:line="315" w:lineRule="exact"/>
              <w:rPr>
                <w:rFonts w:eastAsia="黑体" w:hint="eastAsia"/>
                <w:sz w:val="24"/>
              </w:rPr>
              <w:ind w:firstLine="0" w:firstLineChars="0"/>
              <w:jc w:val="center"/>
              <w:keepNext w:val="0"/>
              <w:keepLines w:val="0"/>
              <w:widowControl w:val="1"/>
              <w:wordWrap w:val="0"/>
            </w:pPr>
            <w:r>
              <w:rPr>
                <w:rFonts w:ascii="Times New Roman" w:hAnsi="Times New Roman" w:eastAsia="仿宋_GB2312"/>
                <w:sz w:val="21"/>
                <w:szCs w:val="21"/>
                <w:color w:val="000000"/>
              </w:rPr>
              <w:t>160</w:t>
            </w:r>
          </w:p>
        </w:tc>
        <w:tc>
          <w:tcPr>
            <w:tcW w:w="1304" w:type="dxa"/>
            <w:vAlign w:val="center"/>
          </w:tcPr>
          <w:p>
            <w:pPr>
              <w:pStyle w:val="Normal"/>
              <w:spacing w:before="0" w:after="20" w:line="315" w:lineRule="exact"/>
              <w:rPr>
                <w:rFonts w:eastAsia="黑体" w:hint="eastAsia"/>
                <w:sz w:val="24"/>
              </w:rPr>
              <w:ind w:firstLine="0" w:firstLineChars="0"/>
              <w:jc w:val="center"/>
              <w:keepNext w:val="0"/>
              <w:keepLines w:val="0"/>
              <w:widowControl w:val="1"/>
              <w:wordWrap w:val="0"/>
            </w:pPr>
            <w:r>
              <w:rPr>
                <w:rFonts w:ascii="Times New Roman" w:hAnsi="Times New Roman" w:eastAsia="仿宋_GB2312"/>
                <w:sz w:val="21"/>
                <w:szCs w:val="21"/>
                <w:color w:val="000000"/>
              </w:rPr>
              <w:t>第2至第3个月</w:t>
            </w:r>
          </w:p>
        </w:tc>
        <w:tc>
          <w:tcPr>
            <w:tcW w:w="1970" w:type="dxa"/>
            <w:vAlign w:val="center"/>
          </w:tcPr>
          <w:p>
            <w:pPr>
              <w:pStyle w:val="Normal"/>
              <w:spacing w:before="0" w:after="20" w:line="315" w:lineRule="exact"/>
              <w:rPr>
                <w:rFonts w:eastAsia="黑体" w:hint="eastAsia"/>
                <w:sz w:val="24"/>
              </w:rPr>
              <w:ind w:firstLine="0" w:firstLineChars="0"/>
              <w:jc w:val="left"/>
              <w:keepNext w:val="0"/>
              <w:keepLines w:val="0"/>
              <w:widowControl w:val="1"/>
              <w:wordWrap w:val="0"/>
            </w:pPr>
            <w:r>
              <w:rPr>
                <w:rFonts w:ascii="Times New Roman" w:hAnsi="Times New Roman" w:eastAsia="仿宋_GB2312"/>
                <w:sz w:val="21"/>
                <w:szCs w:val="21"/>
                <w:color w:val="000000"/>
              </w:rPr>
              <w:t>可复现闭环、资源与回报校验记录</w:t>
            </w:r>
          </w:p>
        </w:tc>
      </w:tr>
      <w:tr>
        <w:trPr>
          <w:cantSplit/>
        </w:trPr>
        <w:tc>
          <w:tcPr>
            <w:tcW w:w="748" w:type="dxa"/>
            <w:vAlign w:val="center"/>
          </w:tcPr>
          <w:p>
            <w:pPr>
              <w:pStyle w:val="Normal"/>
              <w:spacing w:before="0" w:after="20" w:line="315" w:lineRule="exact"/>
              <w:rPr>
                <w:rFonts w:eastAsia="黑体" w:hint="eastAsia"/>
                <w:sz w:val="24"/>
              </w:rPr>
              <w:ind w:firstLine="0" w:firstLineChars="0"/>
              <w:jc w:val="center"/>
              <w:keepNext w:val="0"/>
              <w:keepLines w:val="0"/>
              <w:widowControl w:val="1"/>
              <w:wordWrap w:val="0"/>
            </w:pPr>
            <w:r>
              <w:rPr>
                <w:rFonts w:ascii="Times New Roman" w:hAnsi="Times New Roman" w:eastAsia="仿宋_GB2312"/>
                <w:sz w:val="21"/>
                <w:szCs w:val="21"/>
                <w:color w:val="000000"/>
              </w:rPr>
              <w:t>3</w:t>
            </w:r>
          </w:p>
        </w:tc>
        <w:tc>
          <w:tcPr>
            <w:tcW w:w="3743" w:type="dxa"/>
            <w:vAlign w:val="center"/>
          </w:tcPr>
          <w:p>
            <w:pPr>
              <w:pStyle w:val="Normal"/>
              <w:spacing w:before="0" w:after="20" w:line="315" w:lineRule="exact"/>
              <w:rPr>
                <w:rFonts w:eastAsia="黑体" w:hint="eastAsia"/>
                <w:sz w:val="24"/>
              </w:rPr>
              <w:ind w:firstLine="0" w:firstLineChars="0"/>
              <w:jc w:val="left"/>
              <w:keepNext w:val="0"/>
              <w:keepLines w:val="0"/>
              <w:widowControl w:val="1"/>
              <w:wordWrap w:val="0"/>
            </w:pPr>
            <w:r>
              <w:rPr>
                <w:rFonts w:ascii="Times New Roman" w:hAnsi="Times New Roman" w:eastAsia="仿宋_GB2312"/>
                <w:sz w:val="21"/>
                <w:szCs w:val="21"/>
                <w:color w:val="000000"/>
              </w:rPr>
              <w:t>标准与受扰SFT/PPO基线，条件利用诊断</w:t>
            </w:r>
          </w:p>
        </w:tc>
        <w:tc>
          <w:tcPr>
            <w:tcW w:w="2080" w:type="dxa"/>
            <w:gridSpan w:val="2"/>
            <w:vAlign w:val="center"/>
          </w:tcPr>
          <w:p>
            <w:pPr>
              <w:pStyle w:val="Normal"/>
              <w:spacing w:before="0" w:after="20" w:line="315" w:lineRule="exact"/>
              <w:rPr>
                <w:rFonts w:eastAsia="黑体" w:hint="eastAsia"/>
                <w:sz w:val="24"/>
              </w:rPr>
              <w:ind w:firstLine="0" w:firstLineChars="0"/>
              <w:jc w:val="center"/>
              <w:keepNext w:val="0"/>
              <w:keepLines w:val="0"/>
              <w:widowControl w:val="1"/>
              <w:wordWrap w:val="0"/>
            </w:pPr>
            <w:r>
              <w:rPr>
                <w:rFonts w:ascii="Times New Roman" w:hAnsi="Times New Roman" w:eastAsia="仿宋_GB2312"/>
                <w:sz w:val="21"/>
                <w:szCs w:val="21"/>
                <w:color w:val="000000"/>
              </w:rPr>
              <w:t>160</w:t>
            </w:r>
          </w:p>
        </w:tc>
        <w:tc>
          <w:tcPr>
            <w:tcW w:w="1304" w:type="dxa"/>
            <w:vAlign w:val="center"/>
          </w:tcPr>
          <w:p>
            <w:pPr>
              <w:pStyle w:val="Normal"/>
              <w:spacing w:before="0" w:after="20" w:line="315" w:lineRule="exact"/>
              <w:rPr>
                <w:rFonts w:eastAsia="黑体" w:hint="eastAsia"/>
                <w:sz w:val="24"/>
              </w:rPr>
              <w:ind w:firstLine="0" w:firstLineChars="0"/>
              <w:jc w:val="center"/>
              <w:keepNext w:val="0"/>
              <w:keepLines w:val="0"/>
              <w:widowControl w:val="1"/>
              <w:wordWrap w:val="0"/>
            </w:pPr>
            <w:r>
              <w:rPr>
                <w:rFonts w:ascii="Times New Roman" w:hAnsi="Times New Roman" w:eastAsia="仿宋_GB2312"/>
                <w:sz w:val="21"/>
                <w:szCs w:val="21"/>
                <w:color w:val="000000"/>
              </w:rPr>
              <w:t>第4至第5个月</w:t>
            </w:r>
          </w:p>
        </w:tc>
        <w:tc>
          <w:tcPr>
            <w:tcW w:w="1970" w:type="dxa"/>
            <w:vAlign w:val="center"/>
          </w:tcPr>
          <w:p>
            <w:pPr>
              <w:pStyle w:val="Normal"/>
              <w:spacing w:before="0" w:after="20" w:line="315" w:lineRule="exact"/>
              <w:rPr>
                <w:rFonts w:eastAsia="黑体" w:hint="eastAsia"/>
                <w:sz w:val="24"/>
              </w:rPr>
              <w:ind w:firstLine="0" w:firstLineChars="0"/>
              <w:jc w:val="left"/>
              <w:keepNext w:val="0"/>
              <w:keepLines w:val="0"/>
              <w:widowControl w:val="1"/>
              <w:wordWrap w:val="0"/>
            </w:pPr>
            <w:r>
              <w:rPr>
                <w:rFonts w:ascii="Times New Roman" w:hAnsi="Times New Roman" w:eastAsia="仿宋_GB2312"/>
                <w:sz w:val="21"/>
                <w:szCs w:val="21"/>
                <w:color w:val="000000"/>
              </w:rPr>
              <w:t>留出评测、失败分类、问题收窄</w:t>
            </w:r>
          </w:p>
        </w:tc>
      </w:tr>
      <w:tr>
        <w:trPr>
          <w:cantSplit/>
        </w:trPr>
        <w:tc>
          <w:tcPr>
            <w:tcW w:w="748" w:type="dxa"/>
            <w:vAlign w:val="center"/>
          </w:tcPr>
          <w:p>
            <w:pPr>
              <w:pStyle w:val="Normal"/>
              <w:spacing w:before="0" w:after="20" w:line="315" w:lineRule="exact"/>
              <w:rPr>
                <w:rFonts w:eastAsia="黑体" w:hint="eastAsia"/>
                <w:sz w:val="24"/>
              </w:rPr>
              <w:ind w:firstLine="0" w:firstLineChars="0"/>
              <w:jc w:val="center"/>
              <w:keepNext w:val="0"/>
              <w:keepLines w:val="0"/>
              <w:widowControl w:val="1"/>
              <w:wordWrap w:val="0"/>
            </w:pPr>
            <w:r>
              <w:rPr>
                <w:rFonts w:ascii="Times New Roman" w:hAnsi="Times New Roman" w:eastAsia="仿宋_GB2312"/>
                <w:sz w:val="21"/>
                <w:szCs w:val="21"/>
                <w:color w:val="000000"/>
              </w:rPr>
              <w:t>4</w:t>
            </w:r>
          </w:p>
        </w:tc>
        <w:tc>
          <w:tcPr>
            <w:tcW w:w="3743" w:type="dxa"/>
            <w:vAlign w:val="center"/>
          </w:tcPr>
          <w:p>
            <w:pPr>
              <w:pStyle w:val="Normal"/>
              <w:spacing w:before="0" w:after="20" w:line="315" w:lineRule="exact"/>
              <w:rPr>
                <w:rFonts w:eastAsia="黑体" w:hint="eastAsia"/>
                <w:sz w:val="24"/>
              </w:rPr>
              <w:ind w:firstLine="0" w:firstLineChars="0"/>
              <w:jc w:val="left"/>
              <w:keepNext w:val="0"/>
              <w:keepLines w:val="0"/>
              <w:widowControl w:val="1"/>
              <w:wordWrap w:val="0"/>
            </w:pPr>
            <w:r>
              <w:rPr>
                <w:rFonts w:ascii="Times New Roman" w:hAnsi="Times New Roman" w:eastAsia="仿宋_GB2312"/>
                <w:sz w:val="21"/>
                <w:szCs w:val="21"/>
                <w:color w:val="000000"/>
              </w:rPr>
              <w:t>拟方法设计、实现、模块及成本消融</w:t>
            </w:r>
          </w:p>
        </w:tc>
        <w:tc>
          <w:tcPr>
            <w:tcW w:w="2080" w:type="dxa"/>
            <w:gridSpan w:val="2"/>
            <w:vAlign w:val="center"/>
          </w:tcPr>
          <w:p>
            <w:pPr>
              <w:pStyle w:val="Normal"/>
              <w:spacing w:before="0" w:after="20" w:line="315" w:lineRule="exact"/>
              <w:rPr>
                <w:rFonts w:eastAsia="黑体" w:hint="eastAsia"/>
                <w:sz w:val="24"/>
              </w:rPr>
              <w:ind w:firstLine="0" w:firstLineChars="0"/>
              <w:jc w:val="center"/>
              <w:keepNext w:val="0"/>
              <w:keepLines w:val="0"/>
              <w:widowControl w:val="1"/>
              <w:wordWrap w:val="0"/>
            </w:pPr>
            <w:r>
              <w:rPr>
                <w:rFonts w:ascii="Times New Roman" w:hAnsi="Times New Roman" w:eastAsia="仿宋_GB2312"/>
                <w:sz w:val="21"/>
                <w:szCs w:val="21"/>
                <w:color w:val="000000"/>
              </w:rPr>
              <w:t>220</w:t>
            </w:r>
          </w:p>
        </w:tc>
        <w:tc>
          <w:tcPr>
            <w:tcW w:w="1304" w:type="dxa"/>
            <w:vAlign w:val="center"/>
          </w:tcPr>
          <w:p>
            <w:pPr>
              <w:pStyle w:val="Normal"/>
              <w:spacing w:before="0" w:after="20" w:line="315" w:lineRule="exact"/>
              <w:rPr>
                <w:rFonts w:eastAsia="黑体" w:hint="eastAsia"/>
                <w:sz w:val="24"/>
              </w:rPr>
              <w:ind w:firstLine="0" w:firstLineChars="0"/>
              <w:jc w:val="center"/>
              <w:keepNext w:val="0"/>
              <w:keepLines w:val="0"/>
              <w:widowControl w:val="1"/>
              <w:wordWrap w:val="0"/>
            </w:pPr>
            <w:r>
              <w:rPr>
                <w:rFonts w:ascii="Times New Roman" w:hAnsi="Times New Roman" w:eastAsia="仿宋_GB2312"/>
                <w:sz w:val="21"/>
                <w:szCs w:val="21"/>
                <w:color w:val="000000"/>
              </w:rPr>
              <w:t>第6至第8个月</w:t>
            </w:r>
          </w:p>
        </w:tc>
        <w:tc>
          <w:tcPr>
            <w:tcW w:w="1970" w:type="dxa"/>
            <w:vAlign w:val="center"/>
          </w:tcPr>
          <w:p>
            <w:pPr>
              <w:pStyle w:val="Normal"/>
              <w:spacing w:before="0" w:after="20" w:line="315" w:lineRule="exact"/>
              <w:rPr>
                <w:rFonts w:eastAsia="黑体" w:hint="eastAsia"/>
                <w:sz w:val="24"/>
              </w:rPr>
              <w:ind w:firstLine="0" w:firstLineChars="0"/>
              <w:jc w:val="left"/>
              <w:keepNext w:val="0"/>
              <w:keepLines w:val="0"/>
              <w:widowControl w:val="1"/>
              <w:wordWrap w:val="0"/>
            </w:pPr>
            <w:r>
              <w:rPr>
                <w:rFonts w:ascii="Times New Roman" w:hAnsi="Times New Roman" w:eastAsia="仿宋_GB2312"/>
                <w:sz w:val="21"/>
                <w:szCs w:val="21"/>
                <w:color w:val="000000"/>
              </w:rPr>
              <w:t>方法实现、对照与消融结果</w:t>
            </w:r>
          </w:p>
        </w:tc>
      </w:tr>
      <w:tr>
        <w:trPr>
          <w:cantSplit/>
        </w:trPr>
        <w:tc>
          <w:tcPr>
            <w:tcW w:w="748" w:type="dxa"/>
            <w:vAlign w:val="center"/>
          </w:tcPr>
          <w:p>
            <w:pPr>
              <w:pStyle w:val="Normal"/>
              <w:spacing w:before="0" w:after="20" w:line="315" w:lineRule="exact"/>
              <w:rPr>
                <w:rFonts w:eastAsia="黑体" w:hint="eastAsia"/>
                <w:sz w:val="24"/>
              </w:rPr>
              <w:ind w:firstLine="0" w:firstLineChars="0"/>
              <w:jc w:val="center"/>
              <w:keepNext w:val="0"/>
              <w:keepLines w:val="0"/>
              <w:widowControl w:val="1"/>
              <w:wordWrap w:val="0"/>
            </w:pPr>
            <w:r>
              <w:rPr>
                <w:rFonts w:ascii="Times New Roman" w:hAnsi="Times New Roman" w:eastAsia="仿宋_GB2312"/>
                <w:sz w:val="21"/>
                <w:szCs w:val="21"/>
                <w:color w:val="000000"/>
              </w:rPr>
              <w:t>5</w:t>
            </w:r>
          </w:p>
        </w:tc>
        <w:tc>
          <w:tcPr>
            <w:tcW w:w="3743" w:type="dxa"/>
            <w:vAlign w:val="center"/>
          </w:tcPr>
          <w:p>
            <w:pPr>
              <w:pStyle w:val="Normal"/>
              <w:spacing w:before="0" w:after="20" w:line="315" w:lineRule="exact"/>
              <w:rPr>
                <w:rFonts w:eastAsia="黑体" w:hint="eastAsia"/>
                <w:sz w:val="24"/>
              </w:rPr>
              <w:ind w:firstLine="0" w:firstLineChars="0"/>
              <w:jc w:val="left"/>
              <w:keepNext w:val="0"/>
              <w:keepLines w:val="0"/>
              <w:widowControl w:val="1"/>
              <w:wordWrap w:val="0"/>
            </w:pPr>
            <w:r>
              <w:rPr>
                <w:rFonts w:ascii="Times New Roman" w:hAnsi="Times New Roman" w:eastAsia="仿宋_GB2312"/>
                <w:sz w:val="21"/>
                <w:szCs w:val="21"/>
                <w:color w:val="000000"/>
              </w:rPr>
              <w:t>选定器皿任务真机适配与应用验证</w:t>
            </w:r>
          </w:p>
        </w:tc>
        <w:tc>
          <w:tcPr>
            <w:tcW w:w="2080" w:type="dxa"/>
            <w:gridSpan w:val="2"/>
            <w:vAlign w:val="center"/>
          </w:tcPr>
          <w:p>
            <w:pPr>
              <w:pStyle w:val="Normal"/>
              <w:spacing w:before="0" w:after="20" w:line="315" w:lineRule="exact"/>
              <w:rPr>
                <w:rFonts w:eastAsia="黑体" w:hint="eastAsia"/>
                <w:sz w:val="24"/>
              </w:rPr>
              <w:ind w:firstLine="0" w:firstLineChars="0"/>
              <w:jc w:val="center"/>
              <w:keepNext w:val="0"/>
              <w:keepLines w:val="0"/>
              <w:widowControl w:val="1"/>
              <w:wordWrap w:val="0"/>
            </w:pPr>
            <w:r>
              <w:rPr>
                <w:rFonts w:ascii="Times New Roman" w:hAnsi="Times New Roman" w:eastAsia="仿宋_GB2312"/>
                <w:sz w:val="21"/>
                <w:szCs w:val="21"/>
                <w:color w:val="000000"/>
              </w:rPr>
              <w:t>140</w:t>
            </w:r>
          </w:p>
        </w:tc>
        <w:tc>
          <w:tcPr>
            <w:tcW w:w="1304" w:type="dxa"/>
            <w:vAlign w:val="center"/>
          </w:tcPr>
          <w:p>
            <w:pPr>
              <w:pStyle w:val="Normal"/>
              <w:spacing w:before="0" w:after="20" w:line="315" w:lineRule="exact"/>
              <w:rPr>
                <w:rFonts w:eastAsia="黑体" w:hint="eastAsia"/>
                <w:sz w:val="24"/>
              </w:rPr>
              <w:ind w:firstLine="0" w:firstLineChars="0"/>
              <w:jc w:val="center"/>
              <w:keepNext w:val="0"/>
              <w:keepLines w:val="0"/>
              <w:widowControl w:val="1"/>
              <w:wordWrap w:val="0"/>
            </w:pPr>
            <w:r>
              <w:rPr>
                <w:rFonts w:ascii="Times New Roman" w:hAnsi="Times New Roman" w:eastAsia="仿宋_GB2312"/>
                <w:sz w:val="21"/>
                <w:szCs w:val="21"/>
                <w:color w:val="000000"/>
              </w:rPr>
              <w:t>第9至第10个月</w:t>
            </w:r>
          </w:p>
        </w:tc>
        <w:tc>
          <w:tcPr>
            <w:tcW w:w="1970" w:type="dxa"/>
            <w:vAlign w:val="center"/>
          </w:tcPr>
          <w:p>
            <w:pPr>
              <w:pStyle w:val="Normal"/>
              <w:spacing w:before="0" w:after="20" w:line="315" w:lineRule="exact"/>
              <w:rPr>
                <w:rFonts w:eastAsia="黑体" w:hint="eastAsia"/>
                <w:sz w:val="24"/>
              </w:rPr>
              <w:ind w:firstLine="0" w:firstLineChars="0"/>
              <w:jc w:val="left"/>
              <w:keepNext w:val="0"/>
              <w:keepLines w:val="0"/>
              <w:widowControl w:val="1"/>
              <w:wordWrap w:val="0"/>
            </w:pPr>
            <w:r>
              <w:rPr>
                <w:rFonts w:ascii="Times New Roman" w:hAnsi="Times New Roman" w:eastAsia="仿宋_GB2312"/>
                <w:sz w:val="21"/>
                <w:szCs w:val="21"/>
                <w:color w:val="000000"/>
              </w:rPr>
              <w:t>实机校准记录、任务验证与边界</w:t>
            </w:r>
          </w:p>
        </w:tc>
      </w:tr>
      <w:tr>
        <w:trPr>
          <w:cantSplit/>
        </w:trPr>
        <w:tc>
          <w:tcPr>
            <w:tcW w:w="748" w:type="dxa"/>
            <w:vAlign w:val="center"/>
          </w:tcPr>
          <w:p>
            <w:pPr>
              <w:pStyle w:val="Normal"/>
              <w:spacing w:before="0" w:after="20" w:line="315" w:lineRule="exact"/>
              <w:rPr>
                <w:rFonts w:eastAsia="黑体" w:hint="eastAsia"/>
                <w:sz w:val="24"/>
              </w:rPr>
              <w:ind w:firstLine="0" w:firstLineChars="0"/>
              <w:jc w:val="center"/>
              <w:keepNext w:val="0"/>
              <w:keepLines w:val="0"/>
              <w:widowControl w:val="1"/>
              <w:wordWrap w:val="0"/>
            </w:pPr>
            <w:r>
              <w:rPr>
                <w:rFonts w:ascii="Times New Roman" w:hAnsi="Times New Roman" w:eastAsia="仿宋_GB2312"/>
                <w:sz w:val="21"/>
                <w:szCs w:val="21"/>
                <w:color w:val="000000"/>
              </w:rPr>
              <w:t>6</w:t>
            </w:r>
          </w:p>
        </w:tc>
        <w:tc>
          <w:tcPr>
            <w:tcW w:w="3743" w:type="dxa"/>
            <w:vAlign w:val="center"/>
          </w:tcPr>
          <w:p>
            <w:pPr>
              <w:pStyle w:val="Normal"/>
              <w:spacing w:before="0" w:after="20" w:line="315" w:lineRule="exact"/>
              <w:rPr>
                <w:rFonts w:eastAsia="黑体" w:hint="eastAsia"/>
                <w:sz w:val="24"/>
              </w:rPr>
              <w:ind w:firstLine="0" w:firstLineChars="0"/>
              <w:jc w:val="left"/>
              <w:keepNext w:val="0"/>
              <w:keepLines w:val="0"/>
              <w:widowControl w:val="1"/>
              <w:wordWrap w:val="0"/>
            </w:pPr>
            <w:r>
              <w:rPr>
                <w:rFonts w:ascii="Times New Roman" w:hAnsi="Times New Roman" w:eastAsia="仿宋_GB2312"/>
                <w:sz w:val="21"/>
                <w:szCs w:val="21"/>
                <w:color w:val="000000"/>
              </w:rPr>
              <w:t>结果复核、学位论文写作与答辩材料整理</w:t>
            </w:r>
          </w:p>
        </w:tc>
        <w:tc>
          <w:tcPr>
            <w:tcW w:w="2080" w:type="dxa"/>
            <w:gridSpan w:val="2"/>
            <w:vAlign w:val="center"/>
          </w:tcPr>
          <w:p>
            <w:pPr>
              <w:pStyle w:val="Normal"/>
              <w:spacing w:before="0" w:after="20" w:line="315" w:lineRule="exact"/>
              <w:rPr>
                <w:rFonts w:eastAsia="黑体" w:hint="eastAsia"/>
                <w:sz w:val="24"/>
              </w:rPr>
              <w:ind w:firstLine="0" w:firstLineChars="0"/>
              <w:jc w:val="center"/>
              <w:keepNext w:val="0"/>
              <w:keepLines w:val="0"/>
              <w:widowControl w:val="1"/>
              <w:wordWrap w:val="0"/>
            </w:pPr>
            <w:r>
              <w:rPr>
                <w:rFonts w:ascii="Times New Roman" w:hAnsi="Times New Roman" w:eastAsia="仿宋_GB2312"/>
                <w:sz w:val="21"/>
                <w:szCs w:val="21"/>
                <w:color w:val="000000"/>
              </w:rPr>
              <w:t>180</w:t>
            </w:r>
          </w:p>
        </w:tc>
        <w:tc>
          <w:tcPr>
            <w:tcW w:w="1304" w:type="dxa"/>
            <w:vAlign w:val="center"/>
          </w:tcPr>
          <w:p>
            <w:pPr>
              <w:pStyle w:val="Normal"/>
              <w:spacing w:before="0" w:after="20" w:line="315" w:lineRule="exact"/>
              <w:rPr>
                <w:rFonts w:eastAsia="黑体" w:hint="eastAsia"/>
                <w:sz w:val="24"/>
              </w:rPr>
              <w:ind w:firstLine="0" w:firstLineChars="0"/>
              <w:jc w:val="center"/>
              <w:keepNext w:val="0"/>
              <w:keepLines w:val="0"/>
              <w:widowControl w:val="1"/>
              <w:wordWrap w:val="0"/>
            </w:pPr>
            <w:r>
              <w:rPr>
                <w:rFonts w:ascii="Times New Roman" w:hAnsi="Times New Roman" w:eastAsia="仿宋_GB2312"/>
                <w:sz w:val="21"/>
                <w:szCs w:val="21"/>
                <w:color w:val="000000"/>
              </w:rPr>
              <w:t>第11至第12个月</w:t>
            </w:r>
          </w:p>
        </w:tc>
        <w:tc>
          <w:tcPr>
            <w:tcW w:w="1970" w:type="dxa"/>
            <w:vAlign w:val="center"/>
          </w:tcPr>
          <w:p>
            <w:pPr>
              <w:pStyle w:val="Normal"/>
              <w:spacing w:before="0" w:after="20" w:line="315" w:lineRule="exact"/>
              <w:rPr>
                <w:rFonts w:eastAsia="黑体" w:hint="eastAsia"/>
                <w:sz w:val="24"/>
              </w:rPr>
              <w:ind w:firstLine="0" w:firstLineChars="0"/>
              <w:jc w:val="left"/>
              <w:keepNext w:val="0"/>
              <w:keepLines w:val="0"/>
              <w:widowControl w:val="1"/>
              <w:wordWrap w:val="0"/>
            </w:pPr>
            <w:r>
              <w:rPr>
                <w:rFonts w:ascii="Times New Roman" w:hAnsi="Times New Roman" w:eastAsia="仿宋_GB2312"/>
                <w:sz w:val="21"/>
                <w:szCs w:val="21"/>
                <w:color w:val="000000"/>
              </w:rPr>
              <w:t>学位论文、图表、答辩材料</w:t>
            </w:r>
          </w:p>
        </w:tc>
      </w:tr>
      <w:tr>
        <w:trPr>
          <w:cantSplit/>
        </w:trPr>
        <w:tc>
          <w:tcPr>
            <w:tcW w:w="748" w:type="dxa"/>
            <w:vAlign w:val="center"/>
          </w:tcPr>
          <w:p>
            <w:pPr>
              <w:pStyle w:val="Normal"/>
              <w:spacing w:before="0" w:after="20" w:line="315" w:lineRule="exact"/>
              <w:rPr>
                <w:rFonts w:eastAsia="黑体" w:hint="eastAsia"/>
                <w:sz w:val="24"/>
              </w:rPr>
              <w:ind w:firstLine="0" w:firstLineChars="0"/>
              <w:jc w:val="center"/>
              <w:keepNext w:val="0"/>
              <w:keepLines w:val="0"/>
              <w:widowControl w:val="1"/>
              <w:wordWrap w:val="0"/>
            </w:pPr>
            <w:r>
              <w:rPr>
                <w:rFonts w:ascii="Times New Roman" w:hAnsi="Times New Roman" w:eastAsia="仿宋_GB2312"/>
                <w:sz w:val="21"/>
                <w:szCs w:val="21"/>
                <w:color w:val="000000"/>
              </w:rPr>
              <w:t>合计</w:t>
            </w:r>
          </w:p>
        </w:tc>
        <w:tc>
          <w:tcPr>
            <w:tcW w:w="3743" w:type="dxa"/>
            <w:vAlign w:val="center"/>
          </w:tcPr>
          <w:p>
            <w:pPr>
              <w:pStyle w:val="Normal"/>
              <w:spacing w:before="0" w:after="20" w:line="315" w:lineRule="exact"/>
              <w:rPr>
                <w:rFonts w:eastAsia="黑体" w:hint="eastAsia"/>
                <w:sz w:val="24"/>
              </w:rPr>
              <w:ind w:firstLine="0" w:firstLineChars="0"/>
              <w:jc w:val="left"/>
              <w:keepNext w:val="0"/>
              <w:keepLines w:val="0"/>
              <w:widowControl w:val="1"/>
              <w:wordWrap w:val="0"/>
            </w:pPr>
            <w:r>
              <w:rPr>
                <w:rFonts w:ascii="Times New Roman" w:hAnsi="Times New Roman" w:eastAsia="仿宋_GB2312"/>
                <w:sz w:val="21"/>
                <w:szCs w:val="21"/>
                <w:color w:val="000000"/>
              </w:rPr>
              <w:t/>
            </w:r>
          </w:p>
        </w:tc>
        <w:tc>
          <w:tcPr>
            <w:tcW w:w="2080" w:type="dxa"/>
            <w:gridSpan w:val="2"/>
            <w:vAlign w:val="center"/>
          </w:tcPr>
          <w:p>
            <w:pPr>
              <w:pStyle w:val="Normal"/>
              <w:spacing w:before="0" w:after="20" w:line="315" w:lineRule="exact"/>
              <w:rPr>
                <w:rFonts w:eastAsia="黑体" w:hint="eastAsia"/>
                <w:sz w:val="24"/>
              </w:rPr>
              <w:ind w:firstLine="0" w:firstLineChars="0"/>
              <w:jc w:val="center"/>
              <w:keepNext w:val="0"/>
              <w:keepLines w:val="0"/>
              <w:widowControl w:val="1"/>
              <w:wordWrap w:val="0"/>
            </w:pPr>
            <w:r>
              <w:rPr>
                <w:rFonts w:ascii="Times New Roman" w:hAnsi="Times New Roman" w:eastAsia="仿宋_GB2312"/>
                <w:sz w:val="21"/>
                <w:szCs w:val="21"/>
                <w:color w:val="000000"/>
              </w:rPr>
              <w:t>960</w:t>
            </w:r>
          </w:p>
        </w:tc>
        <w:tc>
          <w:tcPr>
            <w:tcW w:w="1304" w:type="dxa"/>
            <w:vAlign w:val="center"/>
          </w:tcPr>
          <w:p>
            <w:pPr>
              <w:pStyle w:val="Normal"/>
              <w:spacing w:before="0" w:after="20" w:line="315" w:lineRule="exact"/>
              <w:rPr>
                <w:rFonts w:eastAsia="黑体" w:hint="eastAsia"/>
                <w:sz w:val="24"/>
              </w:rPr>
              <w:ind w:firstLine="0" w:firstLineChars="0"/>
              <w:jc w:val="center"/>
              <w:keepNext w:val="0"/>
              <w:keepLines w:val="0"/>
              <w:widowControl w:val="1"/>
              <w:wordWrap w:val="0"/>
            </w:pPr>
            <w:r>
              <w:rPr>
                <w:rFonts w:ascii="Times New Roman" w:hAnsi="Times New Roman" w:eastAsia="仿宋_GB2312"/>
                <w:sz w:val="21"/>
                <w:szCs w:val="21"/>
                <w:color w:val="000000"/>
              </w:rPr>
              <w:t>具体年月日待填写</w:t>
            </w:r>
          </w:p>
        </w:tc>
        <w:tc>
          <w:tcPr>
            <w:tcW w:w="1970" w:type="dxa"/>
            <w:vAlign w:val="center"/>
          </w:tcPr>
          <w:p>
            <w:pPr>
              <w:pStyle w:val="Normal"/>
              <w:spacing w:before="0" w:after="20" w:line="315" w:lineRule="exact"/>
              <w:rPr>
                <w:rFonts w:eastAsia="黑体" w:hint="eastAsia"/>
                <w:sz w:val="24"/>
              </w:rPr>
              <w:ind w:firstLine="0" w:firstLineChars="0"/>
              <w:jc w:val="left"/>
              <w:keepNext w:val="0"/>
              <w:keepLines w:val="0"/>
              <w:widowControl w:val="1"/>
              <w:wordWrap w:val="0"/>
            </w:pPr>
            <w:r>
              <w:rPr>
                <w:rFonts w:ascii="Times New Roman" w:hAnsi="Times New Roman" w:eastAsia="仿宋_GB2312"/>
                <w:sz w:val="21"/>
                <w:szCs w:val="21"/>
                <w:color w:val="000000"/>
              </w:rPr>
              <w:t/>
            </w:r>
          </w:p>
        </w:tc>
      </w:tr>
      <w:tr>
        <w:trPr>
          <w:cantSplit/>
        </w:trPr>
        <w:tc>
          <w:tcPr>
            <w:tcW w:w="9845" w:type="dxa"/>
            <w:gridSpan w:val="6"/>
            <w:tcBorders>
              <w:top w:val="single" w:sz="4" w:space="0" w:color="000000"/>
              <w:start w:val="single" w:sz="12" w:space="0" w:color="000000"/>
              <w:bottom w:val="single" w:sz="12" w:space="0" w:color="000000"/>
              <w:end w:val="single" w:sz="12" w:space="0" w:color="000000"/>
            </w:tcBorders>
          </w:tcPr>
          <w:p>
            <w:pPr>
              <w:pStyle w:val="Normal"/>
              <w:snapToGrid w:val="false"/>
              <w:rPr>
                <w:rFonts w:eastAsia="黑体" w:hint="eastAsia"/>
                <w:sz w:val="24"/>
              </w:rPr>
            </w:pPr>
            <w:r>
              <w:rPr>
                <w:rFonts w:eastAsia="黑体" w:hint="eastAsia"/>
                <w:sz w:val="24"/>
              </w:rPr>
            </w:r>
          </w:p>
          <w:p>
            <w:pPr>
              <w:pStyle w:val="Normal"/>
              <w:ind w:firstLineChars="100" w:startChars="0" w:start="0" w:endChars="0" w:end="0"/>
              <w:rPr>
                <w:rFonts w:eastAsia="黑体" w:hint="eastAsia"/>
                <w:sz w:val="24"/>
              </w:rPr>
            </w:pPr>
            <w:r>
              <w:rPr>
                <w:rFonts w:hint="eastAsia" w:eastAsia="黑体"/>
                <w:sz w:val="24"/>
              </w:rPr>
              <w:t>本人签字：                            年   月   日</w:t>
            </w:r>
          </w:p>
        </w:tc>
      </w:tr>
    </w:tbl>
    <w:sectPr>
      <w:footerReference w:type="default" r:id="rId5"/>
      <w:footerReference w:type="first" r:id="rId6"/>
      <w:type w:val="nextPage"/>
      <w:pgSz w:w="11906" w:h="16838"/>
      <w:pgMar w:left="1134" w:right="1134" w:gutter="0" w:header="0" w:top="1418" w:footer="992" w:bottom="1191"/>
      <w:pgNumType w:start="0" w:fmt="decimal"/>
      <w:formProt w:val="false"/>
      <w:titlePg/>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0"/>
    <w:family w:val="roman"/>
    <w:pitch w:val="default"/>
  </w:font>
  <w:font w:name="Liberation Sans">
    <w:altName w:val="Arial"/>
    <w:charset w:val="01"/>
    <w:family w:val="swiss"/>
    <w:pitch w:val="variable"/>
  </w:font>
  <w:font w:name="华文新魏">
    <w:charset w:val="86"/>
    <w:family w:val="auto"/>
    <w:pitch w:val="default"/>
  </w:font>
  <w:font w:name="黑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3" behindDoc="0" locked="0" layoutInCell="0" allowOverlap="1">
              <wp:simplePos x="0" y="0"/>
              <wp:positionH relativeFrom="page">
                <wp:posOffset>3886835</wp:posOffset>
              </wp:positionH>
              <wp:positionV relativeFrom="paragraph">
                <wp:align>center</wp:align>
              </wp:positionV>
              <wp:extent cx="229235" cy="153670"/>
              <wp:effectExtent l="0" t="0" r="0" b="0"/>
              <wp:wrapSquare wrapText="bothSides"/>
              <wp:docPr id="2" name="Frame1"/>
              <a:graphic xmlns:a="http://schemas.openxmlformats.org/drawingml/2006/main">
                <a:graphicData uri="http://schemas.microsoft.com/office/word/2010/wordprocessingShape">
                  <wps:wsp>
                    <wps:cNvSpPr txBox="1"/>
                    <wps:spPr>
                      <a:xfrm>
                        <a:off x="0" y="0"/>
                        <a:ext cx="229235" cy="153670"/>
                      </a:xfrm>
                      <a:prstGeom prst="rect"/>
                      <a:solidFill>
                        <a:srgbClr val="FFFFFF">
                          <a:alpha val="0"/>
                        </a:srgbClr>
                      </a:solidFill>
                    </wps:spPr>
                    <wps:txbx>
                      <w:txbxContent>
                        <w:p>
                          <w:pPr>
                            <w:pStyle w:val="Footer"/>
                            <w:rPr>
                              <w:rStyle w:val="PageNumber"/>
                              <w:sz w:val="21"/>
                            </w:rPr>
                          </w:pPr>
                          <w:r>
                            <w:rPr>
                              <w:rStyle w:val="PageNumber"/>
                              <w:sz w:val="21"/>
                            </w:rPr>
                            <w:fldChar w:fldCharType="begin"/>
                          </w:r>
                          <w:r>
                            <w:rPr>
                              <w:rStyle w:val="PageNumber"/>
                              <w:sz w:val="21"/>
                            </w:rPr>
                            <w:instrText xml:space="preserve"> PAGE </w:instrText>
                          </w:r>
                          <w:r>
                            <w:rPr>
                              <w:rStyle w:val="PageNumber"/>
                              <w:sz w:val="21"/>
                            </w:rPr>
                            <w:fldChar w:fldCharType="separate"/>
                          </w:r>
                          <w:r>
                            <w:rPr>
                              <w:rStyle w:val="PageNumber"/>
                              <w:sz w:val="21"/>
                            </w:rPr>
                            <w:t>1</w:t>
                          </w:r>
                          <w:r>
                            <w:rPr>
                              <w:rStyle w:val="PageNumber"/>
                              <w:sz w:val="21"/>
                            </w:rPr>
                            <w:fldChar w:fldCharType="end"/>
                          </w:r>
                        </w:p>
                      </w:txbxContent>
                    </wps:txbx>
                    <wps:bodyPr anchor="t" lIns="0" tIns="0" rIns="0" bIns="0">
                      <a:noAutofit/>
                    </wps:bodyPr>
                  </wps:wsp>
                </a:graphicData>
              </a:graphic>
            </wp:anchor>
          </w:drawing>
        </mc:Choice>
        <mc:Fallback>
          <w:pict>
            <v:rect fillcolor="#FFFFFF" style="position:absolute;rotation:-0;width:18.05pt;height:12.1pt;mso-wrap-distance-left:0pt;mso-wrap-distance-right:0pt;mso-wrap-distance-top:0pt;mso-wrap-distance-bottom:0pt;margin-top:-0.9pt;mso-position-vertical:center;mso-position-vertical-relative:text;margin-left:306.05pt;mso-position-horizontal-relative:page">
              <v:fill opacity="0f"/>
              <v:textbox inset="0in,0in,0in,0in">
                <w:txbxContent>
                  <w:p>
                    <w:pPr>
                      <w:pStyle w:val="Footer"/>
                      <w:rPr>
                        <w:rStyle w:val="PageNumber"/>
                        <w:sz w:val="21"/>
                      </w:rPr>
                    </w:pPr>
                    <w:r>
                      <w:rPr>
                        <w:rStyle w:val="PageNumber"/>
                        <w:sz w:val="21"/>
                      </w:rPr>
                      <w:fldChar w:fldCharType="begin"/>
                    </w:r>
                    <w:r>
                      <w:rPr>
                        <w:rStyle w:val="PageNumber"/>
                        <w:sz w:val="21"/>
                      </w:rPr>
                      <w:instrText xml:space="preserve"> PAGE </w:instrText>
                    </w:r>
                    <w:r>
                      <w:rPr>
                        <w:rStyle w:val="PageNumber"/>
                        <w:sz w:val="21"/>
                      </w:rPr>
                      <w:fldChar w:fldCharType="separate"/>
                    </w:r>
                    <w:r>
                      <w:rPr>
                        <w:rStyle w:val="PageNumber"/>
                        <w:sz w:val="21"/>
                      </w:rPr>
                      <w:t>1</w:t>
                    </w:r>
                    <w:r>
                      <w:rPr>
                        <w:rStyle w:val="PageNumber"/>
                        <w:sz w:val="21"/>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13" behindDoc="0" locked="0" layoutInCell="0" allowOverlap="1">
              <wp:simplePos x="0" y="0"/>
              <wp:positionH relativeFrom="page">
                <wp:posOffset>3886835</wp:posOffset>
              </wp:positionH>
              <wp:positionV relativeFrom="paragraph">
                <wp:align>center</wp:align>
              </wp:positionV>
              <wp:extent cx="229235" cy="153670"/>
              <wp:effectExtent l="0" t="0" r="0" b="0"/>
              <wp:wrapSquare wrapText="bothSides"/>
              <wp:docPr id="3" name="Frame2"/>
              <a:graphic xmlns:a="http://schemas.openxmlformats.org/drawingml/2006/main">
                <a:graphicData uri="http://schemas.microsoft.com/office/word/2010/wordprocessingShape">
                  <wps:wsp>
                    <wps:cNvSpPr txBox="1"/>
                    <wps:spPr>
                      <a:xfrm>
                        <a:off x="0" y="0"/>
                        <a:ext cx="229235" cy="153670"/>
                      </a:xfrm>
                      <a:prstGeom prst="rect"/>
                      <a:solidFill>
                        <a:srgbClr val="FFFFFF">
                          <a:alpha val="0"/>
                        </a:srgbClr>
                      </a:solidFill>
                    </wps:spPr>
                    <wps:txbx>
                      <w:txbxContent>
                        <w:p>
                          <w:pPr>
                            <w:pStyle w:val="Footer"/>
                            <w:rPr/>
                          </w:pPr>
                          <w:r>
                            <w:rPr>
                              <w:rStyle w:val="PageNumber"/>
                              <w:sz w:val="21"/>
                            </w:rPr>
                            <w:fldChar w:fldCharType="begin"/>
                          </w:r>
                          <w:r>
                            <w:rPr>
                              <w:rStyle w:val="PageNumber"/>
                              <w:sz w:val="21"/>
                            </w:rPr>
                            <w:instrText xml:space="preserve"> PAGE </w:instrText>
                          </w:r>
                          <w:r>
                            <w:rPr>
                              <w:rStyle w:val="PageNumber"/>
                              <w:sz w:val="21"/>
                            </w:rPr>
                            <w:fldChar w:fldCharType="separate"/>
                          </w:r>
                          <w:r>
                            <w:rPr>
                              <w:rStyle w:val="PageNumber"/>
                              <w:sz w:val="21"/>
                            </w:rPr>
                            <w:t>10</w:t>
                          </w:r>
                          <w:r>
                            <w:rPr>
                              <w:rStyle w:val="PageNumber"/>
                              <w:sz w:val="21"/>
                            </w:rPr>
                            <w:fldChar w:fldCharType="end"/>
                          </w:r>
                        </w:p>
                      </w:txbxContent>
                    </wps:txbx>
                    <wps:bodyPr anchor="t" lIns="0" tIns="0" rIns="0" bIns="0">
                      <a:noAutofit/>
                    </wps:bodyPr>
                  </wps:wsp>
                </a:graphicData>
              </a:graphic>
            </wp:anchor>
          </w:drawing>
        </mc:Choice>
        <mc:Fallback>
          <w:pict>
            <v:rect fillcolor="#FFFFFF" style="position:absolute;rotation:-0;width:18.05pt;height:12.1pt;mso-wrap-distance-left:0pt;mso-wrap-distance-right:0pt;mso-wrap-distance-top:0pt;mso-wrap-distance-bottom:0pt;margin-top:-0.9pt;mso-position-vertical:center;mso-position-vertical-relative:text;margin-left:306.05pt;mso-position-horizontal-relative:page">
              <v:fill opacity="0f"/>
              <v:textbox inset="0in,0in,0in,0in">
                <w:txbxContent>
                  <w:p>
                    <w:pPr>
                      <w:pStyle w:val="Footer"/>
                      <w:rPr/>
                    </w:pPr>
                    <w:r>
                      <w:rPr>
                        <w:rStyle w:val="PageNumber"/>
                        <w:sz w:val="21"/>
                      </w:rPr>
                      <w:fldChar w:fldCharType="begin"/>
                    </w:r>
                    <w:r>
                      <w:rPr>
                        <w:rStyle w:val="PageNumber"/>
                        <w:sz w:val="21"/>
                      </w:rPr>
                      <w:instrText xml:space="preserve"> PAGE </w:instrText>
                    </w:r>
                    <w:r>
                      <w:rPr>
                        <w:rStyle w:val="PageNumber"/>
                        <w:sz w:val="21"/>
                      </w:rPr>
                      <w:fldChar w:fldCharType="separate"/>
                    </w:r>
                    <w:r>
                      <w:rPr>
                        <w:rStyle w:val="PageNumber"/>
                        <w:sz w:val="21"/>
                      </w:rPr>
                      <w:t>10</w:t>
                    </w:r>
                    <w:r>
                      <w:rPr>
                        <w:rStyle w:val="PageNumber"/>
                        <w:sz w:val="21"/>
                      </w:rPr>
                      <w:fldChar w:fldCharType="end"/>
                    </w:r>
                  </w:p>
                </w:txbxContent>
              </v:textbox>
              <w10:wrap type="squar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pPr>
      <w:jc w:val="center"/>
    </w:pPr>
    <w:rPr>
      <w:sz w:val="36"/>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paragraph" w:styleId="Title">
    <w:name w:val="Title"/>
    <w:basedOn w:val="BodyText"/>
    <w:rPr>
      <w:color w:val="00000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footer" Target="footer4.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LibreOfficeDev/26.8.0.0.alpha0$Linux_X86_64 LibreOffice_project/2c87e51eeaa2b413ff4ae097b2705eea1995d8e5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2004-11-22T09:36:00Z</dcterms:created>
  <dc:creator>vip</dc:creator>
  <dc:description/>
  <dc:language>en-US</dc:language>
  <cp:lastModifiedBy>白菜花开</cp:lastModifiedBy>
  <cp:lastPrinted>2004-11-22T09:24:00Z</cp:lastPrinted>
  <dcterms:modified xsi:type="dcterms:W3CDTF">2026-03-11T15:32:46Z</dcterms:modified>
  <cp:revision>7</cp:revision>
  <dc:subject/>
  <dc:title>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BFC0F8820E4B495C9E297E8C5DF6B378_12</vt:lpwstr>
  </property>
  <property fmtid="{D5CDD505-2E9C-101B-9397-08002B2CF9AE}" pid="3" name="KSOProductBuildVer">
    <vt:lpwstr>2052-12.1.0.25225</vt:lpwstr>
  </property>
  <property fmtid="{D5CDD505-2E9C-101B-9397-08002B2CF9AE}" pid="4" name="KSOTemplateDocerSaveRecord">
    <vt:lpwstr>eyJoZGlkIjoiM2QwMzdmMmU5MDc0OTQ5MWQ5MGMyNDFiYzViZjgyOGMiLCJ1c2VySWQiOiIxMTQ1NzA0ODAyIn0=</vt:lpwstr>
  </property>
</Properties>
</file>