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星桥消息队列执行规则（2026-09）</w:t>
      </w:r>
    </w:p>
    <w:p>
      <w:r>
        <w:t>本规则适用于星桥软件的消息队列工作，自 2026 年 9 月 1 日生效。</w:t>
      </w:r>
    </w:p>
    <w:p>
      <w:r>
        <w:t>消息队列的消费批次为 80 条。</w:t>
      </w:r>
    </w:p>
    <w:p>
      <w:r>
        <w:t>消息队列的可见性超时为 75 秒。</w:t>
      </w:r>
    </w:p>
    <w:p>
      <w:r>
        <w:t>超出这些条件需要提交消息队列例外申请，由当周负责人登记原因后确认；不能套用其他业务的规定。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