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星桥账期调整执行规则（2026-09）</w:t>
      </w:r>
    </w:p>
    <w:p>
      <w:r>
        <w:t>本规则适用于星桥软件的账期调整工作，自 2026 年 9 月 1 日生效。</w:t>
      </w:r>
    </w:p>
    <w:p>
      <w:r>
        <w:t>账期调整的申请提前量为 12 天。</w:t>
      </w:r>
    </w:p>
    <w:p>
      <w:r>
        <w:t>账期调整的年度调整次数为 2 次。</w:t>
      </w:r>
    </w:p>
    <w:p>
      <w:r>
        <w:t>超出这些条件需要提交账期调整例外申请，由当周负责人登记原因后确认；不能套用其他业务的规定。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