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星桥金丝雀发布执行规则（2026-09）</w:t>
      </w:r>
    </w:p>
    <w:p>
      <w:r>
        <w:t>本规则适用于星桥软件的金丝雀发布工作，自 2026 年 9 月 1 日生效。</w:t>
      </w:r>
    </w:p>
    <w:p>
      <w:r>
        <w:t>金丝雀发布的首批流量比例为 8%。</w:t>
      </w:r>
    </w:p>
    <w:p>
      <w:r>
        <w:t>金丝雀发布的观察窗口为 25 分钟。</w:t>
      </w:r>
    </w:p>
    <w:p>
      <w:r>
        <w:t>超出这些条件需要提交金丝雀发布例外申请，由当周负责人登记原因后确认；不能套用其他业务的规定。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