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星桥区域切换执行规则（2026-09）</w:t>
      </w:r>
    </w:p>
    <w:p>
      <w:r>
        <w:t>本规则适用于星桥软件的区域切换工作，自 2026 年 9 月 1 日生效。</w:t>
      </w:r>
    </w:p>
    <w:p>
      <w:r>
        <w:t>区域切换的切换目标为 12 分钟。</w:t>
      </w:r>
    </w:p>
    <w:p>
      <w:r>
        <w:t>区域切换的观察时间为 45 分钟。</w:t>
      </w:r>
    </w:p>
    <w:p>
      <w:r>
        <w:t>超出这些条件需要提交区域切换例外申请，由当周负责人登记原因后确认；不能套用其他业务的规定。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