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星桥导师安排执行规则（2026-09）</w:t>
      </w:r>
    </w:p>
    <w:p>
      <w:r>
        <w:t>本规则适用于星桥软件的导师安排工作，自 2026 年 9 月 1 日生效。</w:t>
      </w:r>
    </w:p>
    <w:p>
      <w:r>
        <w:t>导师安排的导师分配时限为 2 个工作日。</w:t>
      </w:r>
    </w:p>
    <w:p>
      <w:r>
        <w:t>导师安排的首次沟通时长为 35 分钟。</w:t>
      </w:r>
    </w:p>
    <w:p>
      <w:r>
        <w:t>超出这些条件需要提交导师安排例外申请，由当周负责人登记原因后确认；不能套用其他业务的规定。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