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星桥伙伴沙箱执行规则（2026-09）</w:t>
      </w:r>
    </w:p>
    <w:p>
      <w:r>
        <w:t>本规则适用于星桥软件的伙伴沙箱工作，自 2026 年 9 月 1 日生效。</w:t>
      </w:r>
    </w:p>
    <w:p>
      <w:r>
        <w:t>伙伴沙箱的有效期为 40 天。</w:t>
      </w:r>
    </w:p>
    <w:p>
      <w:r>
        <w:t>伙伴沙箱的延长次数为 1 次。</w:t>
      </w:r>
    </w:p>
    <w:p>
      <w:r>
        <w:t>超出这些条件需要提交伙伴沙箱例外申请，由当周负责人登记原因后确认；不能套用其他业务的规定。</w:t>
      </w:r>
    </w:p>
    <w:p>
      <w:r>
        <w:t>来源：本项目自建虚构业务资料，不代表真实企业。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