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星桥漏斗报表执行规则（2026-09）</w:t>
      </w:r>
    </w:p>
    <w:p>
      <w:r>
        <w:t>本规则适用于星桥软件的漏斗报表工作，自 2026 年 9 月 1 日生效。</w:t>
      </w:r>
    </w:p>
    <w:p>
      <w:r>
        <w:t>漏斗报表的最大步骤数为 9 步。</w:t>
      </w:r>
    </w:p>
    <w:p>
      <w:r>
        <w:t>漏斗报表的数据更新间隔为 2 小时。</w:t>
      </w:r>
    </w:p>
    <w:p>
      <w:r>
        <w:t>超出这些条件需要提交漏斗报表例外申请，由当周负责人登记原因后确认；不能套用其他业务的规定。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