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门禁卡补办周期规定（支持团队版）（2026-09 版）</w:t>
      </w:r>
    </w:p>
    <w:p>
      <w:r>
        <w:t>本页规定星桥软件的门禁卡补办周期，自 2026 年 9 月 1 日起执行，适用于全部客户与全部环境，没有地区或套餐差别。</w:t>
      </w:r>
    </w:p>
    <w:p>
      <w:r>
        <w:t>门禁卡补办周期的补办周期为 2 个工作日。</w:t>
      </w:r>
    </w:p>
    <w:p>
      <w:r>
        <w:t>本页由支持团队维护。除本页外，门禁卡补办周期规定（运维团队版）也在对外说明门禁卡补办周期；两处口径不一致时不得自行选择其中一方，应保留两份来源并交由负责人裁决。</w:t>
      </w:r>
    </w:p>
    <w:p>
      <w:r>
        <w:t>本页未设置失效日期，也不声明优先于其他文件。记录补办周期时保留原始单位，不折算成其他计时口径。</w:t>
      </w:r>
    </w:p>
    <w:p>
      <w:r>
        <w:t>来源：本项目自建虚构业务资料，不代表真实企业。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