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星桥漏斗报表支持工单复盘（2026-09）</w:t>
      </w:r>
    </w:p>
    <w:p>
      <w:pPr>
        <w:pStyle w:val="Heading1"/>
      </w:pPr>
      <w:r>
        <w:t>工单现象</w:t>
      </w:r>
    </w:p>
    <w:p>
      <w:r>
        <w:t>漏斗分析先确认步骤顺序与用户口径，更新延迟不能直接解释为转化下降。</w:t>
      </w:r>
    </w:p>
    <w:p>
      <w:pPr>
        <w:pStyle w:val="Heading1"/>
      </w:pPr>
      <w:r>
        <w:t>处理记录</w:t>
      </w:r>
    </w:p>
    <w:p>
      <w:r>
        <w:t>发起漏斗报表前，先确定组织、环境和处理对象，保存原始请求或申请编号。检查当前记录是否已经处理过，再核对最大步骤数对应的限制；重复提交不能绕过这项限制。</w:t>
      </w:r>
    </w:p>
    <w:p>
      <w:r>
        <w:t>执行中分别记录开始、等待、处理结束和确认结果的时间。如果漏斗报表依赖其他团队，写清等待对象和最后一次确认情况，不把发送通知当作对方已完成。</w:t>
      </w:r>
    </w:p>
    <w:p>
      <w:r>
        <w:t>收尾时核对数据更新间隔对应的条件，并保存实际结果与原始记录的关联。异常不能只写“失败”或“已解决”，需要列出已确认的现象、做过的操作和仍未解决的问题。</w:t>
      </w:r>
    </w:p>
    <w:p>
      <w:pPr>
        <w:pStyle w:val="Heading1"/>
      </w:pPr>
      <w:r>
        <w:t>核对依据</w:t>
      </w:r>
    </w:p>
    <w:p>
      <w:r>
        <w:t>本节只规定星桥软件的漏斗报表，适用时间从 2026 年 9 月 1 日开始。其他公司的同名服务，以及没有明确生效日期的讨论记录，不适用这里的数值。</w:t>
      </w:r>
    </w:p>
    <w:p>
      <w:r>
        <w:t>漏斗报表：最大步骤数为 9 步；数据更新间隔为 2 小时。两个数值分别约束各自事项，不相加，也不能用其中一个替代另一个。</w:t>
      </w:r>
    </w:p>
    <w:p>
      <w:r>
        <w:t>记录最大步骤数时，应同时写清漏斗报表的对象和计量单位；记录数据更新间隔时同样保留单位。对工作日、自然日、小时和分钟不得自行换算成另一种计时口径。比例与数量上限也不能互换。</w:t>
      </w:r>
    </w:p>
    <w:p>
      <w:pPr>
        <w:pStyle w:val="Heading1"/>
      </w:pPr>
      <w:r>
        <w:t>结单条件</w:t>
      </w:r>
    </w:p>
    <w:p>
      <w:r>
        <w:t>超出漏斗报表的规定范围时，提交例外申请，写明业务影响、所需范围、负责人及结束条件。没有确认前仍按本页规则执行；个别申请获批不能修改其他任务的默认设置。</w:t>
      </w:r>
    </w:p>
    <w:p>
      <w:r>
        <w:t>检查材料时，注意区分实际漏斗报表记录、界面展示和口头说明。若实际记录与本页数值不一致，保留双方来源并交由负责人核对，不能删掉差异后填写“符合”。</w:t>
      </w:r>
    </w:p>
    <w:p>
      <w:r>
        <w:t>本页负责人负责漏斗报表的解释与变更登记。修订需要标明新生效日期和受影响对象；本页不提供旧版本的数值，也不代表未列出的特殊地区已经获得例外。</w:t>
      </w:r>
    </w:p>
    <w:p>
      <w:r>
        <w:t>验收清单：对象是否正确；最大步骤数是否满足；数据更新间隔是否满足；原始编号能否找到；异常是否有人跟进。验收人应查看记录本身，而不是只读结论。</w:t>
      </w:r>
    </w:p>
    <w:p>
      <w:r>
        <w:t>来源：本项目自建虚构业务资料，用于测试检索、证据与访问权限；不代表真实企业制度。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