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急救箱检查周期说明（2026-09 版）</w:t>
      </w:r>
    </w:p>
    <w:p>
      <w:r>
        <w:t>本页列出星桥软件急救箱检查周期的各项参数，自 2026 年 9 月 1 日执行。</w:t>
      </w:r>
    </w:p>
    <w:p>
      <w:r>
        <w:t>急救箱检查周期的日常检查周期为 每月 1 次。</w:t>
      </w:r>
    </w:p>
    <w:p>
      <w:r>
        <w:t>急救箱检查周期的药品更换周期为 每 6 个月。</w:t>
      </w:r>
    </w:p>
    <w:p>
      <w:r>
        <w:t>以上两项是不同指标，各自独立约束，不互相替代，也不存在矛盾。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