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7EA" w:rsidRPr="00F63E00" w:rsidRDefault="00B011E1" w:rsidP="00C847EA">
      <w:pPr>
        <w:spacing w:beforeLines="150" w:before="468" w:afterLines="150" w:after="468" w:line="560" w:lineRule="exact"/>
        <w:rPr>
          <w:rFonts w:ascii="方正小标宋_GBK" w:eastAsia="方正小标宋_GBK"/>
          <w:sz w:val="44"/>
          <w:szCs w:val="44"/>
        </w:rPr>
      </w:pPr>
      <w:r>
        <w:rPr>
          <w:rFonts w:ascii="方正小标宋_GBK" w:eastAsia="方正小标宋_GBK" w:hint="eastAsia"/>
          <w:sz w:val="44"/>
          <w:szCs w:val="44"/>
        </w:rPr>
        <w:t>我院</w:t>
      </w:r>
      <w:r w:rsidR="00BE775E" w:rsidRPr="00F63E00">
        <w:rPr>
          <w:rFonts w:ascii="方正小标宋_GBK" w:eastAsia="方正小标宋_GBK" w:hint="eastAsia"/>
          <w:sz w:val="44"/>
          <w:szCs w:val="44"/>
        </w:rPr>
        <w:t>施珊珊</w:t>
      </w:r>
      <w:r>
        <w:rPr>
          <w:rFonts w:ascii="方正小标宋_GBK" w:eastAsia="方正小标宋_GBK" w:hint="eastAsia"/>
          <w:sz w:val="44"/>
          <w:szCs w:val="44"/>
        </w:rPr>
        <w:t>老师</w:t>
      </w:r>
      <w:bookmarkStart w:id="0" w:name="_GoBack"/>
      <w:bookmarkEnd w:id="0"/>
      <w:r w:rsidR="00BE775E">
        <w:rPr>
          <w:rFonts w:ascii="方正小标宋_GBK" w:eastAsia="方正小标宋_GBK" w:hint="eastAsia"/>
          <w:sz w:val="44"/>
          <w:szCs w:val="44"/>
        </w:rPr>
        <w:t>在</w:t>
      </w:r>
      <w:r w:rsidR="00F63E00" w:rsidRPr="00F63E00">
        <w:rPr>
          <w:rFonts w:ascii="方正小标宋_GBK" w:eastAsia="方正小标宋_GBK" w:hint="eastAsia"/>
          <w:sz w:val="44"/>
          <w:szCs w:val="44"/>
        </w:rPr>
        <w:t>《柳叶刀-行星健康》</w:t>
      </w:r>
      <w:r w:rsidR="00BE775E">
        <w:rPr>
          <w:rFonts w:ascii="方正小标宋_GBK" w:eastAsia="方正小标宋_GBK" w:hint="eastAsia"/>
          <w:sz w:val="44"/>
          <w:szCs w:val="44"/>
        </w:rPr>
        <w:t>发文</w:t>
      </w:r>
      <w:r w:rsidR="001C525B">
        <w:rPr>
          <w:rFonts w:ascii="方正小标宋_GBK" w:eastAsia="方正小标宋_GBK" w:hint="eastAsia"/>
          <w:sz w:val="44"/>
          <w:szCs w:val="44"/>
        </w:rPr>
        <w:t>剖析</w:t>
      </w:r>
      <w:r w:rsidR="00F63E00" w:rsidRPr="00F63E00">
        <w:rPr>
          <w:rFonts w:ascii="方正小标宋_GBK" w:eastAsia="方正小标宋_GBK" w:hint="eastAsia"/>
          <w:sz w:val="44"/>
          <w:szCs w:val="44"/>
        </w:rPr>
        <w:t>空气净化模式对</w:t>
      </w:r>
      <w:r w:rsidR="00C847EA">
        <w:rPr>
          <w:rFonts w:ascii="方正小标宋_GBK" w:eastAsia="方正小标宋_GBK" w:hint="eastAsia"/>
          <w:sz w:val="44"/>
          <w:szCs w:val="44"/>
        </w:rPr>
        <w:t>室内</w:t>
      </w:r>
      <w:r w:rsidR="00C847EA">
        <w:rPr>
          <w:rFonts w:ascii="方正小标宋_GBK" w:eastAsia="方正小标宋_GBK"/>
          <w:sz w:val="44"/>
          <w:szCs w:val="44"/>
        </w:rPr>
        <w:t>半挥发有机化合</w:t>
      </w:r>
      <w:r w:rsidR="00C847EA">
        <w:rPr>
          <w:rFonts w:ascii="方正小标宋_GBK" w:eastAsia="方正小标宋_GBK" w:hint="eastAsia"/>
          <w:sz w:val="44"/>
          <w:szCs w:val="44"/>
        </w:rPr>
        <w:t>污染物致癌风险的影</w:t>
      </w:r>
      <w:r w:rsidR="00C847EA" w:rsidRPr="00F63E00">
        <w:rPr>
          <w:rFonts w:ascii="方正小标宋_GBK" w:eastAsia="方正小标宋_GBK" w:hint="eastAsia"/>
          <w:sz w:val="44"/>
          <w:szCs w:val="44"/>
        </w:rPr>
        <w:t>响</w:t>
      </w:r>
    </w:p>
    <w:p w:rsidR="00F63E00" w:rsidRPr="00C847EA" w:rsidRDefault="00C847EA" w:rsidP="00C847EA">
      <w:pPr>
        <w:spacing w:line="560" w:lineRule="exact"/>
        <w:ind w:firstLineChars="200" w:firstLine="560"/>
        <w:rPr>
          <w:rFonts w:ascii="仿宋" w:eastAsia="仿宋" w:hAnsi="仿宋" w:cs="Times New Roman"/>
          <w:sz w:val="28"/>
          <w:szCs w:val="28"/>
        </w:rPr>
      </w:pPr>
      <w:r w:rsidRPr="00C847EA">
        <w:rPr>
          <w:rFonts w:ascii="仿宋" w:eastAsia="仿宋" w:hAnsi="仿宋" w:cs="Times New Roman" w:hint="eastAsia"/>
          <w:sz w:val="28"/>
          <w:szCs w:val="28"/>
        </w:rPr>
        <w:t>12月5日，</w:t>
      </w:r>
      <w:r w:rsidR="00B011E1">
        <w:rPr>
          <w:rFonts w:ascii="仿宋" w:eastAsia="仿宋" w:hAnsi="仿宋" w:cs="Times New Roman"/>
          <w:sz w:val="28"/>
          <w:szCs w:val="28"/>
        </w:rPr>
        <w:t>我</w:t>
      </w:r>
      <w:r w:rsidR="00EB0599" w:rsidRPr="00C847EA">
        <w:rPr>
          <w:rFonts w:ascii="仿宋" w:eastAsia="仿宋" w:hAnsi="仿宋" w:cs="Times New Roman" w:hint="eastAsia"/>
          <w:sz w:val="28"/>
          <w:szCs w:val="28"/>
        </w:rPr>
        <w:t>院</w:t>
      </w:r>
      <w:r w:rsidR="00F63E00" w:rsidRPr="00C847EA">
        <w:rPr>
          <w:rFonts w:ascii="仿宋" w:eastAsia="仿宋" w:hAnsi="仿宋" w:cs="Times New Roman"/>
          <w:sz w:val="28"/>
          <w:szCs w:val="28"/>
        </w:rPr>
        <w:t>助理研究员施珊珊与清华大学建筑学院教授赵彬、美国杜克大学环境学院教授</w:t>
      </w:r>
      <w:r w:rsidRPr="00C847EA">
        <w:rPr>
          <w:rFonts w:ascii="仿宋" w:eastAsia="仿宋" w:hAnsi="仿宋" w:cs="Times New Roman" w:hint="eastAsia"/>
          <w:sz w:val="28"/>
          <w:szCs w:val="28"/>
        </w:rPr>
        <w:t>张军锋（</w:t>
      </w:r>
      <w:r w:rsidRPr="00C847EA">
        <w:rPr>
          <w:rFonts w:ascii="仿宋" w:eastAsia="仿宋" w:hAnsi="仿宋" w:cs="Times New Roman"/>
          <w:sz w:val="28"/>
          <w:szCs w:val="28"/>
        </w:rPr>
        <w:t>Junfeng (Jim) Zhang</w:t>
      </w:r>
      <w:r w:rsidRPr="00C847EA">
        <w:rPr>
          <w:rFonts w:ascii="仿宋" w:eastAsia="仿宋" w:hAnsi="仿宋" w:cs="Times New Roman" w:hint="eastAsia"/>
          <w:sz w:val="28"/>
          <w:szCs w:val="28"/>
        </w:rPr>
        <w:t>）</w:t>
      </w:r>
      <w:r w:rsidRPr="00C847EA">
        <w:rPr>
          <w:rFonts w:ascii="仿宋" w:eastAsia="仿宋" w:hAnsi="仿宋" w:cs="Times New Roman"/>
          <w:sz w:val="28"/>
          <w:szCs w:val="28"/>
        </w:rPr>
        <w:t>合作的研究文章（Research Article）在国际著名期刊《柳叶刀》子刊：《柳叶刀-行星健康》发表。该文剖析了空气净化模式对室内半挥发有机化合物（SVOC）致癌风险的影响。</w:t>
      </w:r>
      <w:r w:rsidR="005B04CA" w:rsidRPr="00C847EA">
        <w:rPr>
          <w:rFonts w:ascii="仿宋" w:eastAsia="仿宋" w:hAnsi="仿宋" w:cs="Times New Roman" w:hint="eastAsia"/>
          <w:sz w:val="28"/>
          <w:szCs w:val="28"/>
        </w:rPr>
        <w:t>这也是</w:t>
      </w:r>
      <w:r w:rsidR="00F63E00" w:rsidRPr="00C847EA">
        <w:rPr>
          <w:rFonts w:ascii="仿宋" w:eastAsia="仿宋" w:hAnsi="仿宋" w:cs="Times New Roman"/>
          <w:sz w:val="28"/>
          <w:szCs w:val="28"/>
        </w:rPr>
        <w:t>我校</w:t>
      </w:r>
      <w:r w:rsidR="00794671">
        <w:rPr>
          <w:rFonts w:ascii="仿宋" w:eastAsia="仿宋" w:hAnsi="仿宋" w:cs="Times New Roman" w:hint="eastAsia"/>
          <w:sz w:val="28"/>
          <w:szCs w:val="28"/>
        </w:rPr>
        <w:t>首次</w:t>
      </w:r>
      <w:r w:rsidR="00F63E00" w:rsidRPr="00C847EA">
        <w:rPr>
          <w:rFonts w:ascii="仿宋" w:eastAsia="仿宋" w:hAnsi="仿宋" w:cs="Times New Roman"/>
          <w:sz w:val="28"/>
          <w:szCs w:val="28"/>
        </w:rPr>
        <w:t>作为第一作者</w:t>
      </w:r>
      <w:r w:rsidRPr="00C847EA">
        <w:rPr>
          <w:rFonts w:ascii="仿宋" w:eastAsia="仿宋" w:hAnsi="仿宋" w:cs="Times New Roman" w:hint="eastAsia"/>
          <w:sz w:val="28"/>
          <w:szCs w:val="28"/>
        </w:rPr>
        <w:t>单位</w:t>
      </w:r>
      <w:r w:rsidR="00F63E00" w:rsidRPr="00C847EA">
        <w:rPr>
          <w:rFonts w:ascii="仿宋" w:eastAsia="仿宋" w:hAnsi="仿宋" w:cs="Times New Roman"/>
          <w:sz w:val="28"/>
          <w:szCs w:val="28"/>
        </w:rPr>
        <w:t>在此期刊发表</w:t>
      </w:r>
      <w:r w:rsidR="00794671">
        <w:rPr>
          <w:rFonts w:ascii="仿宋" w:eastAsia="仿宋" w:hAnsi="仿宋" w:cs="Times New Roman" w:hint="eastAsia"/>
          <w:sz w:val="28"/>
          <w:szCs w:val="28"/>
        </w:rPr>
        <w:t>研究</w:t>
      </w:r>
      <w:r w:rsidR="00F63E00" w:rsidRPr="00C847EA">
        <w:rPr>
          <w:rFonts w:ascii="仿宋" w:eastAsia="仿宋" w:hAnsi="仿宋" w:cs="Times New Roman"/>
          <w:sz w:val="28"/>
          <w:szCs w:val="28"/>
        </w:rPr>
        <w:t>论文。</w:t>
      </w:r>
    </w:p>
    <w:p w:rsidR="00C847EA" w:rsidRPr="00C847EA" w:rsidRDefault="00C847EA" w:rsidP="00C847EA">
      <w:pPr>
        <w:spacing w:line="560" w:lineRule="exact"/>
        <w:ind w:firstLineChars="200" w:firstLine="560"/>
        <w:rPr>
          <w:rFonts w:ascii="仿宋" w:eastAsia="仿宋" w:hAnsi="仿宋" w:cs="Times New Roman"/>
          <w:sz w:val="28"/>
          <w:szCs w:val="28"/>
        </w:rPr>
      </w:pPr>
      <w:r w:rsidRPr="00C847EA">
        <w:rPr>
          <w:rFonts w:ascii="仿宋" w:eastAsia="仿宋" w:hAnsi="仿宋" w:cs="Times New Roman"/>
          <w:sz w:val="28"/>
          <w:szCs w:val="28"/>
        </w:rPr>
        <w:t>SVOC是一类常见的室内污染物，挥发性较弱，在室内环境中除以气相形式存在以外，还会吸附在悬浮颗粒物、降尘及家具表面上。一些SVOC能引发人体的呼吸道疾病、生殖系统障碍甚至癌症。常用的室内空气净化模式（家用空气净化器和具有空气净化功能的新风系统）可有效去除颗粒相SVOC，但多相存在的SVOC之间存在动态分配过程，不同空气净化手段对于室内多相存在的SVOC及其引起的总体癌症风险的影响仍不清晰。</w:t>
      </w:r>
    </w:p>
    <w:p w:rsidR="00C847EA" w:rsidRPr="00C847EA" w:rsidRDefault="00C847EA" w:rsidP="00C847EA">
      <w:pPr>
        <w:spacing w:line="560" w:lineRule="exact"/>
        <w:ind w:firstLineChars="200" w:firstLine="560"/>
        <w:rPr>
          <w:rFonts w:ascii="仿宋" w:eastAsia="仿宋" w:hAnsi="仿宋" w:cs="Times New Roman"/>
          <w:sz w:val="28"/>
          <w:szCs w:val="28"/>
        </w:rPr>
      </w:pPr>
      <w:r w:rsidRPr="00C847EA">
        <w:rPr>
          <w:rFonts w:ascii="仿宋" w:eastAsia="仿宋" w:hAnsi="仿宋" w:cs="Times New Roman"/>
          <w:sz w:val="28"/>
          <w:szCs w:val="28"/>
        </w:rPr>
        <w:t>该研究以八种具有致癌风险的SVOC（七种多环芳烃及邻苯二甲酸二（2-乙基）己酯）作为目标污染物，基于赵彬教授课题组建立的室内SVOC多相浓度模型、人员多相暴露模型，通过实验、调研获取通风净化模式相关参数，利用蒙特卡罗法模拟获得了北京市非吸烟成年人口在以下三种通风净化模式下由目标SVOC所引起的癌症风险增量：1）自然通风住宅无空气净化措施；2）自然通风住宅使用家用净化器；3）机械通风住</w:t>
      </w:r>
      <w:r w:rsidRPr="00C847EA">
        <w:rPr>
          <w:rFonts w:ascii="仿宋" w:eastAsia="仿宋" w:hAnsi="仿宋" w:cs="Times New Roman"/>
          <w:sz w:val="28"/>
          <w:szCs w:val="28"/>
        </w:rPr>
        <w:lastRenderedPageBreak/>
        <w:t>宅装载具有空气净化功能的新风系统。研究方法如图1所示：</w:t>
      </w:r>
    </w:p>
    <w:p w:rsidR="00C847EA" w:rsidRPr="00C847EA" w:rsidRDefault="00C847EA" w:rsidP="00C847EA">
      <w:pPr>
        <w:ind w:firstLineChars="200" w:firstLine="560"/>
        <w:jc w:val="center"/>
        <w:rPr>
          <w:rFonts w:ascii="仿宋" w:eastAsia="仿宋" w:hAnsi="仿宋" w:cs="Times New Roman"/>
          <w:sz w:val="28"/>
          <w:szCs w:val="28"/>
        </w:rPr>
      </w:pPr>
      <w:r w:rsidRPr="00C847EA">
        <w:rPr>
          <w:rFonts w:ascii="仿宋" w:eastAsia="仿宋" w:hAnsi="仿宋" w:cs="Times New Roman"/>
          <w:noProof/>
          <w:sz w:val="28"/>
          <w:szCs w:val="28"/>
        </w:rPr>
        <w:drawing>
          <wp:inline distT="0" distB="0" distL="0" distR="0" wp14:anchorId="586F37F2" wp14:editId="3DC21B3A">
            <wp:extent cx="3952829" cy="59080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4235" cy="5910142"/>
                    </a:xfrm>
                    <a:prstGeom prst="rect">
                      <a:avLst/>
                    </a:prstGeom>
                  </pic:spPr>
                </pic:pic>
              </a:graphicData>
            </a:graphic>
          </wp:inline>
        </w:drawing>
      </w:r>
    </w:p>
    <w:p w:rsidR="00C847EA" w:rsidRPr="00C847EA" w:rsidRDefault="00C847EA" w:rsidP="00C847EA">
      <w:pPr>
        <w:spacing w:line="560" w:lineRule="exact"/>
        <w:ind w:firstLineChars="200" w:firstLine="560"/>
        <w:jc w:val="center"/>
        <w:rPr>
          <w:rFonts w:ascii="仿宋" w:eastAsia="仿宋" w:hAnsi="仿宋" w:cs="Times New Roman"/>
          <w:sz w:val="28"/>
          <w:szCs w:val="28"/>
        </w:rPr>
      </w:pPr>
      <w:r w:rsidRPr="00C847EA">
        <w:rPr>
          <w:rFonts w:ascii="仿宋" w:eastAsia="仿宋" w:hAnsi="仿宋" w:cs="Times New Roman"/>
          <w:sz w:val="28"/>
          <w:szCs w:val="28"/>
        </w:rPr>
        <w:t>图1. 研究方法示意图</w:t>
      </w:r>
    </w:p>
    <w:p w:rsidR="004D688D" w:rsidRPr="00C847EA" w:rsidRDefault="004D688D" w:rsidP="00C847EA">
      <w:pPr>
        <w:spacing w:line="560" w:lineRule="exact"/>
        <w:ind w:firstLineChars="200" w:firstLine="560"/>
        <w:rPr>
          <w:rFonts w:ascii="仿宋" w:eastAsia="仿宋" w:hAnsi="仿宋" w:cs="Times New Roman"/>
          <w:sz w:val="28"/>
          <w:szCs w:val="28"/>
        </w:rPr>
      </w:pPr>
    </w:p>
    <w:p w:rsidR="00C847EA" w:rsidRPr="00C847EA" w:rsidRDefault="00C847EA" w:rsidP="00C847EA">
      <w:pPr>
        <w:spacing w:line="560" w:lineRule="exact"/>
        <w:ind w:firstLineChars="200" w:firstLine="560"/>
        <w:rPr>
          <w:rFonts w:ascii="仿宋" w:eastAsia="仿宋" w:hAnsi="仿宋" w:cs="Times New Roman"/>
          <w:sz w:val="28"/>
          <w:szCs w:val="28"/>
        </w:rPr>
      </w:pPr>
      <w:r w:rsidRPr="00C847EA">
        <w:rPr>
          <w:rFonts w:ascii="仿宋" w:eastAsia="仿宋" w:hAnsi="仿宋" w:cs="Times New Roman"/>
          <w:sz w:val="28"/>
          <w:szCs w:val="28"/>
        </w:rPr>
        <w:t>研究发现，在不使用任何空气净化手段的自然通风住宅中，约有97%及76%的目标人口对应暴露于BaP</w:t>
      </w:r>
      <w:r w:rsidRPr="00C847EA">
        <w:rPr>
          <w:rFonts w:ascii="仿宋" w:eastAsia="仿宋" w:hAnsi="仿宋" w:cs="Times New Roman"/>
          <w:sz w:val="28"/>
          <w:szCs w:val="28"/>
          <w:vertAlign w:val="subscript"/>
        </w:rPr>
        <w:t>eq</w:t>
      </w:r>
      <w:r w:rsidRPr="00C847EA">
        <w:rPr>
          <w:rFonts w:ascii="仿宋" w:eastAsia="仿宋" w:hAnsi="仿宋" w:cs="Times New Roman"/>
          <w:sz w:val="28"/>
          <w:szCs w:val="28"/>
        </w:rPr>
        <w:t>（等效苯并芘）和DEHP（邻苯二甲酸二（2-乙基）己酯）的癌症风险增量超过10</w:t>
      </w:r>
      <w:r w:rsidRPr="00C847EA">
        <w:rPr>
          <w:rFonts w:ascii="仿宋" w:eastAsia="仿宋" w:hAnsi="仿宋" w:cs="Times New Roman"/>
          <w:sz w:val="28"/>
          <w:szCs w:val="28"/>
          <w:vertAlign w:val="superscript"/>
        </w:rPr>
        <w:t>-6</w:t>
      </w:r>
      <w:r w:rsidRPr="00C847EA">
        <w:rPr>
          <w:rFonts w:ascii="仿宋" w:eastAsia="仿宋" w:hAnsi="仿宋" w:cs="Times New Roman"/>
          <w:sz w:val="28"/>
          <w:szCs w:val="28"/>
        </w:rPr>
        <w:t>（美国环保局规定限值，超</w:t>
      </w:r>
      <w:r w:rsidRPr="00C847EA">
        <w:rPr>
          <w:rFonts w:ascii="仿宋" w:eastAsia="仿宋" w:hAnsi="仿宋" w:cs="Times New Roman"/>
          <w:sz w:val="28"/>
          <w:szCs w:val="28"/>
        </w:rPr>
        <w:lastRenderedPageBreak/>
        <w:t>过此限值说明致癌风险不可忽略）。在使用了家用空气净化器的自然通风住宅中，约有80%及25%的目标人口对应暴露于BaP</w:t>
      </w:r>
      <w:r w:rsidRPr="00C847EA">
        <w:rPr>
          <w:rFonts w:ascii="仿宋" w:eastAsia="仿宋" w:hAnsi="仿宋" w:cs="Times New Roman"/>
          <w:sz w:val="28"/>
          <w:szCs w:val="28"/>
          <w:vertAlign w:val="subscript"/>
        </w:rPr>
        <w:t>eq</w:t>
      </w:r>
      <w:r w:rsidRPr="00C847EA">
        <w:rPr>
          <w:rFonts w:ascii="仿宋" w:eastAsia="仿宋" w:hAnsi="仿宋" w:cs="Times New Roman"/>
          <w:sz w:val="28"/>
          <w:szCs w:val="28"/>
        </w:rPr>
        <w:t>和DEHP的癌症风险增量超过10</w:t>
      </w:r>
      <w:r w:rsidRPr="00C847EA">
        <w:rPr>
          <w:rFonts w:ascii="仿宋" w:eastAsia="仿宋" w:hAnsi="仿宋" w:cs="Times New Roman"/>
          <w:sz w:val="28"/>
          <w:szCs w:val="28"/>
          <w:vertAlign w:val="superscript"/>
        </w:rPr>
        <w:t>-6</w:t>
      </w:r>
      <w:r w:rsidRPr="00C847EA">
        <w:rPr>
          <w:rFonts w:ascii="仿宋" w:eastAsia="仿宋" w:hAnsi="仿宋" w:cs="Times New Roman"/>
          <w:sz w:val="28"/>
          <w:szCs w:val="28"/>
        </w:rPr>
        <w:t>的限值。在装载了具有空气净化功能的新风系统住宅中，约有84%和87%的目标人口对应暴露于BaPeq和DEHP的癌症风险增量超过10</w:t>
      </w:r>
      <w:r w:rsidRPr="00C847EA">
        <w:rPr>
          <w:rFonts w:ascii="仿宋" w:eastAsia="仿宋" w:hAnsi="仿宋" w:cs="Times New Roman"/>
          <w:sz w:val="28"/>
          <w:szCs w:val="28"/>
          <w:vertAlign w:val="superscript"/>
        </w:rPr>
        <w:t>-6</w:t>
      </w:r>
      <w:r w:rsidRPr="00C847EA">
        <w:rPr>
          <w:rFonts w:ascii="仿宋" w:eastAsia="仿宋" w:hAnsi="仿宋" w:cs="Times New Roman"/>
          <w:sz w:val="28"/>
          <w:szCs w:val="28"/>
        </w:rPr>
        <w:t>的限值。</w:t>
      </w:r>
    </w:p>
    <w:p w:rsidR="00C847EA" w:rsidRPr="00C847EA" w:rsidRDefault="00C847EA" w:rsidP="00C847EA">
      <w:pPr>
        <w:spacing w:line="560" w:lineRule="exact"/>
        <w:ind w:firstLineChars="200" w:firstLine="560"/>
        <w:rPr>
          <w:rFonts w:ascii="仿宋" w:eastAsia="仿宋" w:hAnsi="仿宋" w:cs="Times New Roman"/>
          <w:sz w:val="28"/>
          <w:szCs w:val="28"/>
        </w:rPr>
      </w:pPr>
    </w:p>
    <w:p w:rsidR="00C847EA" w:rsidRPr="00C847EA" w:rsidRDefault="00C847EA" w:rsidP="00C847EA">
      <w:pPr>
        <w:jc w:val="center"/>
        <w:rPr>
          <w:rFonts w:ascii="仿宋" w:eastAsia="仿宋" w:hAnsi="仿宋" w:cs="Times New Roman"/>
          <w:color w:val="333333"/>
          <w:sz w:val="28"/>
          <w:szCs w:val="28"/>
          <w:shd w:val="clear" w:color="auto" w:fill="F3F3EE"/>
        </w:rPr>
      </w:pPr>
      <w:r w:rsidRPr="00C847EA">
        <w:rPr>
          <w:rFonts w:ascii="仿宋" w:eastAsia="仿宋" w:hAnsi="仿宋" w:hint="eastAsia"/>
          <w:noProof/>
          <w:sz w:val="28"/>
          <w:szCs w:val="28"/>
        </w:rPr>
        <w:drawing>
          <wp:inline distT="0" distB="0" distL="0" distR="0" wp14:anchorId="5A9B5184" wp14:editId="13931FCE">
            <wp:extent cx="2658818" cy="1872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818" cy="1872000"/>
                    </a:xfrm>
                    <a:prstGeom prst="rect">
                      <a:avLst/>
                    </a:prstGeom>
                    <a:noFill/>
                    <a:ln>
                      <a:noFill/>
                    </a:ln>
                  </pic:spPr>
                </pic:pic>
              </a:graphicData>
            </a:graphic>
          </wp:inline>
        </w:drawing>
      </w:r>
      <w:r w:rsidRPr="00C847EA">
        <w:rPr>
          <w:rFonts w:ascii="仿宋" w:eastAsia="仿宋" w:hAnsi="仿宋" w:hint="eastAsia"/>
          <w:noProof/>
          <w:sz w:val="28"/>
          <w:szCs w:val="28"/>
        </w:rPr>
        <w:drawing>
          <wp:inline distT="0" distB="0" distL="0" distR="0" wp14:anchorId="0E37D610" wp14:editId="0F1BEE72">
            <wp:extent cx="2846799" cy="187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6799" cy="1872000"/>
                    </a:xfrm>
                    <a:prstGeom prst="rect">
                      <a:avLst/>
                    </a:prstGeom>
                    <a:noFill/>
                    <a:ln>
                      <a:noFill/>
                    </a:ln>
                  </pic:spPr>
                </pic:pic>
              </a:graphicData>
            </a:graphic>
          </wp:inline>
        </w:drawing>
      </w:r>
    </w:p>
    <w:p w:rsidR="00C847EA" w:rsidRPr="00C847EA" w:rsidRDefault="00C847EA" w:rsidP="00C847EA">
      <w:pPr>
        <w:spacing w:line="560" w:lineRule="exact"/>
        <w:jc w:val="center"/>
        <w:rPr>
          <w:rFonts w:ascii="仿宋" w:eastAsia="仿宋" w:hAnsi="仿宋" w:cs="Times New Roman"/>
          <w:sz w:val="28"/>
          <w:szCs w:val="28"/>
        </w:rPr>
      </w:pPr>
      <w:r w:rsidRPr="00C847EA">
        <w:rPr>
          <w:rFonts w:ascii="仿宋" w:eastAsia="仿宋" w:hAnsi="仿宋" w:cs="Times New Roman"/>
          <w:sz w:val="28"/>
          <w:szCs w:val="28"/>
        </w:rPr>
        <w:t>图2. 不同通风净化模式下目标SVOC对应癌症风险的增量</w:t>
      </w:r>
    </w:p>
    <w:p w:rsidR="00C847EA" w:rsidRPr="00C847EA" w:rsidRDefault="00C847EA" w:rsidP="00C847EA">
      <w:pPr>
        <w:spacing w:line="560" w:lineRule="exact"/>
        <w:ind w:firstLineChars="200" w:firstLine="560"/>
        <w:rPr>
          <w:rFonts w:ascii="仿宋" w:eastAsia="仿宋" w:hAnsi="仿宋" w:cs="Times New Roman"/>
          <w:sz w:val="28"/>
          <w:szCs w:val="28"/>
        </w:rPr>
      </w:pPr>
    </w:p>
    <w:p w:rsidR="00C847EA" w:rsidRPr="00C847EA" w:rsidRDefault="00C847EA" w:rsidP="00C847EA">
      <w:pPr>
        <w:spacing w:line="560" w:lineRule="exact"/>
        <w:ind w:firstLineChars="200" w:firstLine="560"/>
        <w:rPr>
          <w:rFonts w:ascii="仿宋" w:eastAsia="仿宋" w:hAnsi="仿宋" w:cs="Times New Roman"/>
          <w:sz w:val="28"/>
          <w:szCs w:val="28"/>
        </w:rPr>
      </w:pPr>
      <w:r w:rsidRPr="00C847EA">
        <w:rPr>
          <w:rFonts w:ascii="仿宋" w:eastAsia="仿宋" w:hAnsi="仿宋" w:cs="Times New Roman"/>
          <w:sz w:val="28"/>
          <w:szCs w:val="28"/>
        </w:rPr>
        <w:t>这样的研究结果意味着自然通风住宅中的家用空气净化器可以有效降低</w:t>
      </w:r>
      <w:r w:rsidRPr="00C847EA">
        <w:rPr>
          <w:rFonts w:ascii="仿宋" w:eastAsia="仿宋" w:hAnsi="仿宋" w:cs="Times New Roman"/>
          <w:color w:val="000000" w:themeColor="text1"/>
          <w:sz w:val="28"/>
          <w:szCs w:val="28"/>
        </w:rPr>
        <w:t>目标SVOC的致癌风险；而</w:t>
      </w:r>
      <w:r w:rsidRPr="00C847EA">
        <w:rPr>
          <w:rFonts w:ascii="仿宋" w:eastAsia="仿宋" w:hAnsi="仿宋" w:cs="Times New Roman"/>
          <w:sz w:val="28"/>
          <w:szCs w:val="28"/>
        </w:rPr>
        <w:t>具有空气净化功能的新风系统，与自然通风住宅中的家用空气净化器相比，由于长期平均换气量较小，非但未能有效降低BaPeq相关的癌症风险，甚至增大了与DEHP相关的癌症风险。因此，在住宅中大规模装载具有空气净化功能新风系统的必要性仍需要慎重评估，能够降低多相存在SVOC浓度的有效空气净化策略仍需进一步探索。</w:t>
      </w:r>
    </w:p>
    <w:p w:rsidR="000B2272" w:rsidRPr="00C847EA" w:rsidRDefault="00C847EA" w:rsidP="00C847EA">
      <w:pPr>
        <w:spacing w:line="560" w:lineRule="exact"/>
        <w:ind w:firstLineChars="200" w:firstLine="560"/>
        <w:rPr>
          <w:rFonts w:ascii="仿宋" w:eastAsia="仿宋" w:hAnsi="仿宋" w:cs="Times New Roman"/>
          <w:color w:val="000000" w:themeColor="text1"/>
          <w:sz w:val="28"/>
          <w:szCs w:val="28"/>
        </w:rPr>
      </w:pPr>
      <w:r w:rsidRPr="00C847EA">
        <w:rPr>
          <w:rFonts w:ascii="仿宋" w:eastAsia="仿宋" w:hAnsi="仿宋" w:cs="Times New Roman"/>
          <w:color w:val="000000" w:themeColor="text1"/>
          <w:sz w:val="28"/>
          <w:szCs w:val="28"/>
        </w:rPr>
        <w:t>施珊珊</w:t>
      </w:r>
      <w:r w:rsidRPr="00C847EA">
        <w:rPr>
          <w:rFonts w:ascii="仿宋" w:eastAsia="仿宋" w:hAnsi="仿宋" w:cs="Times New Roman" w:hint="eastAsia"/>
          <w:color w:val="000000" w:themeColor="text1"/>
          <w:sz w:val="28"/>
          <w:szCs w:val="28"/>
        </w:rPr>
        <w:t>博士</w:t>
      </w:r>
      <w:r w:rsidRPr="00C847EA">
        <w:rPr>
          <w:rFonts w:ascii="仿宋" w:eastAsia="仿宋" w:hAnsi="仿宋" w:cs="Times New Roman"/>
          <w:color w:val="000000" w:themeColor="text1"/>
          <w:sz w:val="28"/>
          <w:szCs w:val="28"/>
        </w:rPr>
        <w:t>为</w:t>
      </w:r>
      <w:r w:rsidRPr="00C847EA">
        <w:rPr>
          <w:rFonts w:ascii="仿宋" w:eastAsia="仿宋" w:hAnsi="仿宋" w:cs="Times New Roman" w:hint="eastAsia"/>
          <w:color w:val="000000" w:themeColor="text1"/>
          <w:sz w:val="28"/>
          <w:szCs w:val="28"/>
        </w:rPr>
        <w:t>本文</w:t>
      </w:r>
      <w:r w:rsidRPr="00C847EA">
        <w:rPr>
          <w:rFonts w:ascii="仿宋" w:eastAsia="仿宋" w:hAnsi="仿宋" w:cs="Times New Roman"/>
          <w:color w:val="000000" w:themeColor="text1"/>
          <w:sz w:val="28"/>
          <w:szCs w:val="28"/>
        </w:rPr>
        <w:t>第一作者，赵彬教授为本文通讯作者，张军锋教授为重要共同作者。该研究得到国家科技部十三五重大科技支撑计划项</w:t>
      </w:r>
      <w:r w:rsidRPr="00C847EA">
        <w:rPr>
          <w:rFonts w:ascii="仿宋" w:eastAsia="仿宋" w:hAnsi="仿宋" w:cs="Times New Roman"/>
          <w:color w:val="000000" w:themeColor="text1"/>
          <w:sz w:val="28"/>
          <w:szCs w:val="28"/>
        </w:rPr>
        <w:lastRenderedPageBreak/>
        <w:t>目、国家自然科学基金委创新群体项目资助。</w:t>
      </w:r>
      <w:r w:rsidR="000B2272" w:rsidRPr="00C847EA">
        <w:rPr>
          <w:rFonts w:ascii="仿宋" w:eastAsia="仿宋" w:hAnsi="仿宋" w:cs="Times New Roman" w:hint="eastAsia"/>
          <w:color w:val="000000" w:themeColor="text1"/>
          <w:sz w:val="28"/>
          <w:szCs w:val="28"/>
        </w:rPr>
        <w:t>《柳叶刀》为</w:t>
      </w:r>
      <w:r w:rsidR="000B2272" w:rsidRPr="00C847EA">
        <w:rPr>
          <w:rFonts w:ascii="仿宋" w:eastAsia="仿宋" w:hAnsi="仿宋" w:cs="Times New Roman"/>
          <w:color w:val="000000" w:themeColor="text1"/>
          <w:sz w:val="28"/>
          <w:szCs w:val="28"/>
        </w:rPr>
        <w:t>医学领域顶级期刊，针对不同</w:t>
      </w:r>
      <w:r>
        <w:rPr>
          <w:rFonts w:ascii="仿宋" w:eastAsia="仿宋" w:hAnsi="仿宋" w:cs="Times New Roman" w:hint="eastAsia"/>
          <w:color w:val="000000" w:themeColor="text1"/>
          <w:sz w:val="28"/>
          <w:szCs w:val="28"/>
        </w:rPr>
        <w:t>研究方向</w:t>
      </w:r>
      <w:r w:rsidR="000B2272" w:rsidRPr="00C847EA">
        <w:rPr>
          <w:rFonts w:ascii="仿宋" w:eastAsia="仿宋" w:hAnsi="仿宋" w:cs="Times New Roman"/>
          <w:color w:val="000000" w:themeColor="text1"/>
          <w:sz w:val="28"/>
          <w:szCs w:val="28"/>
        </w:rPr>
        <w:t>旗下拥有</w:t>
      </w:r>
      <w:r w:rsidR="000B2272" w:rsidRPr="00C847EA">
        <w:rPr>
          <w:rFonts w:ascii="仿宋" w:eastAsia="仿宋" w:hAnsi="仿宋" w:cs="Times New Roman" w:hint="eastAsia"/>
          <w:color w:val="000000" w:themeColor="text1"/>
          <w:sz w:val="28"/>
          <w:szCs w:val="28"/>
        </w:rPr>
        <w:t>1</w:t>
      </w:r>
      <w:r w:rsidR="000B2272" w:rsidRPr="00C847EA">
        <w:rPr>
          <w:rFonts w:ascii="仿宋" w:eastAsia="仿宋" w:hAnsi="仿宋" w:cs="Times New Roman"/>
          <w:color w:val="000000" w:themeColor="text1"/>
          <w:sz w:val="28"/>
          <w:szCs w:val="28"/>
        </w:rPr>
        <w:t>3个子刊，已有</w:t>
      </w:r>
      <w:r w:rsidR="000B2272" w:rsidRPr="00C847EA">
        <w:rPr>
          <w:rFonts w:ascii="仿宋" w:eastAsia="仿宋" w:hAnsi="仿宋" w:cs="Times New Roman" w:hint="eastAsia"/>
          <w:color w:val="000000" w:themeColor="text1"/>
          <w:sz w:val="28"/>
          <w:szCs w:val="28"/>
        </w:rPr>
        <w:t>子刊2017年</w:t>
      </w:r>
      <w:r w:rsidR="000B2272" w:rsidRPr="00C847EA">
        <w:rPr>
          <w:rFonts w:ascii="仿宋" w:eastAsia="仿宋" w:hAnsi="仿宋" w:cs="Times New Roman"/>
          <w:color w:val="000000" w:themeColor="text1"/>
          <w:sz w:val="28"/>
          <w:szCs w:val="28"/>
        </w:rPr>
        <w:t>影响因子</w:t>
      </w:r>
      <w:r>
        <w:rPr>
          <w:rFonts w:ascii="仿宋" w:eastAsia="仿宋" w:hAnsi="仿宋" w:cs="Times New Roman" w:hint="eastAsia"/>
          <w:color w:val="000000" w:themeColor="text1"/>
          <w:sz w:val="28"/>
          <w:szCs w:val="28"/>
        </w:rPr>
        <w:t>范围为</w:t>
      </w:r>
      <w:r w:rsidR="000B2272" w:rsidRPr="00C847EA">
        <w:rPr>
          <w:rFonts w:ascii="仿宋" w:eastAsia="仿宋" w:hAnsi="仿宋" w:cs="Times New Roman" w:hint="eastAsia"/>
          <w:color w:val="000000" w:themeColor="text1"/>
          <w:sz w:val="28"/>
          <w:szCs w:val="28"/>
        </w:rPr>
        <w:t>1</w:t>
      </w:r>
      <w:r w:rsidR="000B2272" w:rsidRPr="00C847EA">
        <w:rPr>
          <w:rFonts w:ascii="仿宋" w:eastAsia="仿宋" w:hAnsi="仿宋" w:cs="Times New Roman"/>
          <w:color w:val="000000" w:themeColor="text1"/>
          <w:sz w:val="28"/>
          <w:szCs w:val="28"/>
        </w:rPr>
        <w:t>0.7-36.4</w:t>
      </w:r>
      <w:r w:rsidR="000B2272" w:rsidRPr="00C847EA">
        <w:rPr>
          <w:rFonts w:ascii="仿宋" w:eastAsia="仿宋" w:hAnsi="仿宋" w:cs="Times New Roman" w:hint="eastAsia"/>
          <w:color w:val="000000" w:themeColor="text1"/>
          <w:sz w:val="28"/>
          <w:szCs w:val="28"/>
        </w:rPr>
        <w:t>。</w:t>
      </w:r>
      <w:r w:rsidR="00F63E00" w:rsidRPr="00C847EA">
        <w:rPr>
          <w:rFonts w:ascii="仿宋" w:eastAsia="仿宋" w:hAnsi="仿宋" w:cs="Times New Roman"/>
          <w:color w:val="000000" w:themeColor="text1"/>
          <w:sz w:val="28"/>
          <w:szCs w:val="28"/>
        </w:rPr>
        <w:t>《柳叶刀-行星健康》2016年创办的新子刊，致力于出版高质量的原创研究论文、社论和评论等，旨在研究人类生活和自然环境中健康及其影响因素之间的相互作用。</w:t>
      </w:r>
    </w:p>
    <w:p w:rsidR="00986BD5" w:rsidRPr="00C847EA" w:rsidRDefault="00986BD5" w:rsidP="00C847EA">
      <w:pPr>
        <w:spacing w:line="560" w:lineRule="exact"/>
        <w:ind w:firstLineChars="200" w:firstLine="560"/>
        <w:rPr>
          <w:rFonts w:ascii="仿宋" w:eastAsia="仿宋" w:hAnsi="仿宋" w:cs="Times New Roman"/>
          <w:color w:val="FF0000"/>
          <w:sz w:val="28"/>
          <w:szCs w:val="28"/>
        </w:rPr>
      </w:pPr>
    </w:p>
    <w:sectPr w:rsidR="00986BD5" w:rsidRPr="00C847EA" w:rsidSect="00F63E00">
      <w:pgSz w:w="11906" w:h="16838"/>
      <w:pgMar w:top="2041" w:right="1559" w:bottom="1701" w:left="1559"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70B" w:rsidRDefault="00CF570B" w:rsidP="00B12A23">
      <w:r>
        <w:separator/>
      </w:r>
    </w:p>
  </w:endnote>
  <w:endnote w:type="continuationSeparator" w:id="0">
    <w:p w:rsidR="00CF570B" w:rsidRDefault="00CF570B" w:rsidP="00B12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haker 2 Lancet Regular">
    <w:altName w:val="Arial Unicode MS"/>
    <w:panose1 w:val="00000000000000000000"/>
    <w:charset w:val="86"/>
    <w:family w:val="swiss"/>
    <w:notTrueType/>
    <w:pitch w:val="default"/>
    <w:sig w:usb0="00000001" w:usb1="080E0000" w:usb2="00000010" w:usb3="00000000" w:csb0="00040000" w:csb1="00000000"/>
  </w:font>
  <w:font w:name="方正小标宋_GBK">
    <w:altName w:val="Arial Unicode MS"/>
    <w:charset w:val="88"/>
    <w:family w:val="auto"/>
    <w:pitch w:val="variable"/>
    <w:sig w:usb0="00000000" w:usb1="080E0000" w:usb2="00000010" w:usb3="00000000" w:csb0="001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70B" w:rsidRDefault="00CF570B" w:rsidP="00B12A23">
      <w:r>
        <w:separator/>
      </w:r>
    </w:p>
  </w:footnote>
  <w:footnote w:type="continuationSeparator" w:id="0">
    <w:p w:rsidR="00CF570B" w:rsidRDefault="00CF570B" w:rsidP="00B12A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9D4"/>
    <w:rsid w:val="00012E51"/>
    <w:rsid w:val="000B2272"/>
    <w:rsid w:val="00117956"/>
    <w:rsid w:val="00155BA6"/>
    <w:rsid w:val="001C525B"/>
    <w:rsid w:val="002D14C9"/>
    <w:rsid w:val="002F2D6A"/>
    <w:rsid w:val="00347270"/>
    <w:rsid w:val="00355EE4"/>
    <w:rsid w:val="00385C97"/>
    <w:rsid w:val="003A0153"/>
    <w:rsid w:val="003A35A0"/>
    <w:rsid w:val="004137E9"/>
    <w:rsid w:val="00476C28"/>
    <w:rsid w:val="004A75FB"/>
    <w:rsid w:val="004B2769"/>
    <w:rsid w:val="004D688D"/>
    <w:rsid w:val="00544619"/>
    <w:rsid w:val="005969D4"/>
    <w:rsid w:val="005A560F"/>
    <w:rsid w:val="005A7716"/>
    <w:rsid w:val="005B04CA"/>
    <w:rsid w:val="005D00C3"/>
    <w:rsid w:val="005F0334"/>
    <w:rsid w:val="006173D8"/>
    <w:rsid w:val="00635E6D"/>
    <w:rsid w:val="006D47B9"/>
    <w:rsid w:val="00725A1B"/>
    <w:rsid w:val="00750B3E"/>
    <w:rsid w:val="00794671"/>
    <w:rsid w:val="007A5222"/>
    <w:rsid w:val="007C7FD1"/>
    <w:rsid w:val="007E0918"/>
    <w:rsid w:val="00874960"/>
    <w:rsid w:val="00887F47"/>
    <w:rsid w:val="008D5F49"/>
    <w:rsid w:val="00945F53"/>
    <w:rsid w:val="0098029F"/>
    <w:rsid w:val="00986BD5"/>
    <w:rsid w:val="009C5155"/>
    <w:rsid w:val="00AA0D14"/>
    <w:rsid w:val="00AF4B85"/>
    <w:rsid w:val="00B011E1"/>
    <w:rsid w:val="00B12A23"/>
    <w:rsid w:val="00B17C46"/>
    <w:rsid w:val="00B930E6"/>
    <w:rsid w:val="00BD669A"/>
    <w:rsid w:val="00BE775E"/>
    <w:rsid w:val="00BF55BE"/>
    <w:rsid w:val="00C160DA"/>
    <w:rsid w:val="00C1677B"/>
    <w:rsid w:val="00C8259A"/>
    <w:rsid w:val="00C847EA"/>
    <w:rsid w:val="00CE2970"/>
    <w:rsid w:val="00CF570B"/>
    <w:rsid w:val="00D0512F"/>
    <w:rsid w:val="00D548A0"/>
    <w:rsid w:val="00DA6A61"/>
    <w:rsid w:val="00DB30B1"/>
    <w:rsid w:val="00DD7B33"/>
    <w:rsid w:val="00E451B4"/>
    <w:rsid w:val="00EA2926"/>
    <w:rsid w:val="00EB0599"/>
    <w:rsid w:val="00EC1D22"/>
    <w:rsid w:val="00EF2199"/>
    <w:rsid w:val="00F63E00"/>
    <w:rsid w:val="00F9143B"/>
    <w:rsid w:val="00FC3BB6"/>
    <w:rsid w:val="00FF4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899DA6-45D1-49B2-AFD4-08742D596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25A1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25A1B"/>
    <w:rPr>
      <w:rFonts w:ascii="宋体" w:eastAsia="宋体" w:hAnsi="宋体" w:cs="宋体"/>
      <w:b/>
      <w:bCs/>
      <w:kern w:val="36"/>
      <w:sz w:val="48"/>
      <w:szCs w:val="48"/>
    </w:rPr>
  </w:style>
  <w:style w:type="paragraph" w:customStyle="1" w:styleId="Default">
    <w:name w:val="Default"/>
    <w:rsid w:val="008D5F49"/>
    <w:pPr>
      <w:widowControl w:val="0"/>
      <w:autoSpaceDE w:val="0"/>
      <w:autoSpaceDN w:val="0"/>
      <w:adjustRightInd w:val="0"/>
    </w:pPr>
    <w:rPr>
      <w:rFonts w:ascii="Shaker 2 Lancet Regular" w:eastAsia="Shaker 2 Lancet Regular" w:cs="Shaker 2 Lancet Regular"/>
      <w:color w:val="000000"/>
      <w:kern w:val="0"/>
      <w:sz w:val="24"/>
      <w:szCs w:val="24"/>
    </w:rPr>
  </w:style>
  <w:style w:type="paragraph" w:styleId="HTML">
    <w:name w:val="HTML Preformatted"/>
    <w:basedOn w:val="a"/>
    <w:link w:val="HTMLChar"/>
    <w:uiPriority w:val="99"/>
    <w:semiHidden/>
    <w:unhideWhenUsed/>
    <w:rsid w:val="00C82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8259A"/>
    <w:rPr>
      <w:rFonts w:ascii="宋体" w:eastAsia="宋体" w:hAnsi="宋体" w:cs="宋体"/>
      <w:kern w:val="0"/>
      <w:sz w:val="24"/>
      <w:szCs w:val="24"/>
    </w:rPr>
  </w:style>
  <w:style w:type="paragraph" w:styleId="a3">
    <w:name w:val="header"/>
    <w:basedOn w:val="a"/>
    <w:link w:val="Char"/>
    <w:uiPriority w:val="99"/>
    <w:unhideWhenUsed/>
    <w:rsid w:val="00B12A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12A23"/>
    <w:rPr>
      <w:sz w:val="18"/>
      <w:szCs w:val="18"/>
    </w:rPr>
  </w:style>
  <w:style w:type="paragraph" w:styleId="a4">
    <w:name w:val="footer"/>
    <w:basedOn w:val="a"/>
    <w:link w:val="Char0"/>
    <w:uiPriority w:val="99"/>
    <w:unhideWhenUsed/>
    <w:rsid w:val="00B12A23"/>
    <w:pPr>
      <w:tabs>
        <w:tab w:val="center" w:pos="4153"/>
        <w:tab w:val="right" w:pos="8306"/>
      </w:tabs>
      <w:snapToGrid w:val="0"/>
      <w:jc w:val="left"/>
    </w:pPr>
    <w:rPr>
      <w:sz w:val="18"/>
      <w:szCs w:val="18"/>
    </w:rPr>
  </w:style>
  <w:style w:type="character" w:customStyle="1" w:styleId="Char0">
    <w:name w:val="页脚 Char"/>
    <w:basedOn w:val="a0"/>
    <w:link w:val="a4"/>
    <w:uiPriority w:val="99"/>
    <w:rsid w:val="00B12A23"/>
    <w:rPr>
      <w:sz w:val="18"/>
      <w:szCs w:val="18"/>
    </w:rPr>
  </w:style>
  <w:style w:type="paragraph" w:styleId="a5">
    <w:name w:val="Balloon Text"/>
    <w:basedOn w:val="a"/>
    <w:link w:val="Char1"/>
    <w:uiPriority w:val="99"/>
    <w:semiHidden/>
    <w:unhideWhenUsed/>
    <w:rsid w:val="00B12A23"/>
    <w:rPr>
      <w:sz w:val="18"/>
      <w:szCs w:val="18"/>
    </w:rPr>
  </w:style>
  <w:style w:type="character" w:customStyle="1" w:styleId="Char1">
    <w:name w:val="批注框文本 Char"/>
    <w:basedOn w:val="a0"/>
    <w:link w:val="a5"/>
    <w:uiPriority w:val="99"/>
    <w:semiHidden/>
    <w:rsid w:val="00B12A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072690">
      <w:bodyDiv w:val="1"/>
      <w:marLeft w:val="0"/>
      <w:marRight w:val="0"/>
      <w:marTop w:val="0"/>
      <w:marBottom w:val="0"/>
      <w:divBdr>
        <w:top w:val="none" w:sz="0" w:space="0" w:color="auto"/>
        <w:left w:val="none" w:sz="0" w:space="0" w:color="auto"/>
        <w:bottom w:val="none" w:sz="0" w:space="0" w:color="auto"/>
        <w:right w:val="none" w:sz="0" w:space="0" w:color="auto"/>
      </w:divBdr>
    </w:div>
    <w:div w:id="133414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DF30F-8AB2-4571-9F61-FE5655B3D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203</Words>
  <Characters>1160</Characters>
  <Application>Microsoft Office Word</Application>
  <DocSecurity>0</DocSecurity>
  <Lines>9</Lines>
  <Paragraphs>2</Paragraphs>
  <ScaleCrop>false</ScaleCrop>
  <Company>NJU</Company>
  <LinksUpToDate>false</LinksUpToDate>
  <CharactersWithSpaces>1361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Shanshan Shi</dc:creator>
  <cp:lastModifiedBy>Shanshan Shi</cp:lastModifiedBy>
  <cp:revision>4</cp:revision>
  <dcterms:created xsi:type="dcterms:W3CDTF">2018-12-05T13:44:00Z</dcterms:created>
  <dcterms:modified xsi:type="dcterms:W3CDTF">2018-12-07T08:47:00Z</dcterms:modified>
</cp:coreProperties>
</file>